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highlight w:val="white"/>
        </w:rPr>
        <w:t>Niels van Opstal 24-1</w:t>
      </w:r>
    </w:p>
    <w:p>
      <w:pPr>
        <w:pStyle w:val="Normal"/>
        <w:spacing w:lineRule="auto" w:line="360"/>
        <w:jc w:val="both"/>
        <w:rPr>
          <w:b/>
          <w:b/>
          <w:bCs/>
          <w:color w:val="000000"/>
          <w:ins w:id="5" w:author="Simon ter Meulen" w:date="2019-01-25T13:41:00Z"/>
          <w:highlight w:val="white"/>
        </w:rPr>
      </w:pPr>
      <w:ins w:id="0" w:author="Simon ter Meulen" w:date="2019-01-25T13:41:00Z">
        <w:r>
          <w:rPr>
            <w:b/>
            <w:bCs/>
            <w:color w:val="000000"/>
            <w:highlight w:val="white"/>
          </w:rPr>
          <w:t xml:space="preserve">Please add something on </w:t>
        </w:r>
      </w:ins>
      <w:ins w:id="1" w:author="Simon ter Meulen" w:date="2019-01-25T13:41:00Z">
        <w:commentRangeStart w:id="0"/>
        <w:r>
          <w:rPr>
            <w:b/>
            <w:bCs/>
            <w:color w:val="000000"/>
            <w:highlight w:val="white"/>
          </w:rPr>
          <w:t xml:space="preserve">the ceiling effect i.e. </w:t>
        </w:r>
      </w:ins>
      <w:ins w:id="2" w:author="Simon ter Meulen" w:date="2019-01-25T13:42:00Z">
        <w:r>
          <w:rPr>
            <w:b/>
            <w:bCs/>
            <w:color w:val="000000"/>
            <w:highlight w:val="white"/>
          </w:rPr>
          <w:t>you are so close to perfect health that it is very hard to improve anyth</w:t>
        </w:r>
      </w:ins>
      <w:r>
        <w:rPr>
          <w:b/>
          <w:bCs/>
          <w:color w:val="000000"/>
          <w:highlight w:val="white"/>
        </w:rPr>
      </w:r>
      <w:ins w:id="3" w:author="Simon ter Meulen" w:date="2019-01-25T13:42:00Z">
        <w:commentRangeEnd w:id="0"/>
        <w:r>
          <w:commentReference w:id="0"/>
        </w:r>
        <w:r>
          <w:rPr>
            <w:b/>
            <w:bCs/>
            <w:color w:val="000000"/>
            <w:highlight w:val="white"/>
          </w:rPr>
          <w:t>ing.</w:t>
        </w:r>
      </w:ins>
      <w:ins w:id="4" w:author="Simon ter Meulen" w:date="2019-01-25T13:43:00Z">
        <w:r>
          <w:rPr>
            <w:b/>
            <w:bCs/>
            <w:color w:val="000000"/>
            <w:highlight w:val="white"/>
          </w:rPr>
          <w:t xml:space="preserve"> </w:t>
        </w:r>
      </w:ins>
    </w:p>
    <w:p>
      <w:pPr>
        <w:pStyle w:val="Normal"/>
        <w:spacing w:lineRule="auto" w:line="360"/>
        <w:jc w:val="both"/>
        <w:rPr>
          <w:b/>
          <w:b/>
          <w:bCs/>
          <w:color w:val="000000"/>
          <w:highlight w:val="white"/>
        </w:rPr>
      </w:pPr>
      <w:r>
        <w:rPr>
          <w:b/>
          <w:bCs/>
          <w:color w:val="000000"/>
          <w:highlight w:val="white"/>
        </w:rPr>
      </w:r>
    </w:p>
    <w:p>
      <w:pPr>
        <w:pStyle w:val="Normal"/>
        <w:spacing w:lineRule="auto" w:line="360"/>
        <w:jc w:val="both"/>
        <w:rPr>
          <w:b/>
          <w:b/>
          <w:bCs/>
          <w:color w:val="000000"/>
          <w:highlight w:val="white"/>
        </w:rPr>
      </w:pPr>
      <w:r>
        <w:rPr>
          <w:b/>
          <w:bCs/>
          <w:color w:val="000000"/>
          <w:highlight w:val="white"/>
        </w:rPr>
        <w:t>Abstract:</w:t>
      </w:r>
    </w:p>
    <w:p>
      <w:pPr>
        <w:pStyle w:val="Normal"/>
        <w:spacing w:lineRule="auto" w:line="360"/>
        <w:jc w:val="both"/>
        <w:rPr/>
      </w:pPr>
      <w:r>
        <w:rPr>
          <w:bCs/>
          <w:color w:val="000000"/>
          <w:highlight w:val="white"/>
        </w:rPr>
        <w:t xml:space="preserve">This paper tries to find a causal relationship from wealth to health in the Netherlands using a difference in differences analysis. In this study, </w:t>
      </w:r>
      <w:r>
        <w:rPr>
          <w:bCs/>
          <w:color w:val="000000"/>
          <w:highlight w:val="yellow"/>
        </w:rPr>
        <w:t>the treatment used for the difference in differences analysis is the sudden drop</w:t>
      </w:r>
      <w:ins w:id="6" w:author="Simon ter Meulen" w:date="2019-01-25T08:11:00Z">
        <w:r>
          <w:rPr>
            <w:bCs/>
            <w:color w:val="000000"/>
            <w:highlight w:val="yellow"/>
          </w:rPr>
          <w:t xml:space="preserve"> </w:t>
        </w:r>
      </w:ins>
      <w:r>
        <w:rPr>
          <w:bCs/>
          <w:color w:val="000000"/>
          <w:highlight w:val="yellow"/>
        </w:rPr>
        <w:t>and bounce back in housing prices caused by the financial crisis</w:t>
      </w:r>
      <w:r>
        <w:rPr>
          <w:bCs/>
          <w:color w:val="000000"/>
          <w:highlight w:val="white"/>
        </w:rPr>
        <w:t xml:space="preserve">. The treatment group consists of people who own a house and the control group consists of people who rent a house. This makes the net wealth of the treatment group more responsive to the change in housing prices than the net wealth of the control group. </w:t>
      </w:r>
      <w:r>
        <w:rPr>
          <w:bCs/>
          <w:color w:val="000000"/>
          <w:highlight w:val="white"/>
        </w:rPr>
        <w:t xml:space="preserve">This study </w:t>
      </w:r>
      <w:commentRangeStart w:id="1"/>
      <w:r>
        <w:rPr>
          <w:bCs/>
          <w:color w:val="000000"/>
          <w:highlight w:val="white"/>
        </w:rPr>
        <w:t>uses</w:t>
      </w:r>
      <w:r>
        <w:rPr>
          <w:bCs/>
          <w:color w:val="000000"/>
          <w:highlight w:val="white"/>
        </w:rPr>
      </w:r>
      <w:commentRangeEnd w:id="1"/>
      <w:r>
        <w:commentReference w:id="1"/>
      </w:r>
      <w:r>
        <w:rPr>
          <w:bCs/>
          <w:color w:val="000000"/>
          <w:highlight w:val="white"/>
        </w:rPr>
        <w:t xml:space="preserve"> </w:t>
      </w:r>
      <w:r>
        <w:rPr>
          <w:bCs/>
          <w:color w:val="000000"/>
          <w:highlight w:val="white"/>
        </w:rPr>
        <w:t>Self-assessed health as the health variable</w:t>
      </w:r>
      <w:del w:id="7" w:author="Simon ter Meulen" w:date="2019-01-25T08:15:00Z">
        <w:r>
          <w:rPr>
            <w:bCs/>
            <w:color w:val="000000"/>
            <w:highlight w:val="white"/>
          </w:rPr>
          <w:delText xml:space="preserve"> </w:delText>
        </w:r>
      </w:del>
      <w:r>
        <w:rPr>
          <w:bCs/>
          <w:color w:val="000000"/>
          <w:highlight w:val="white"/>
        </w:rPr>
        <w:t>. The data used consists of 3 waves from the Dutch Household Survey. The study found no evidence of a significant causal effect of wealth on health in the short run.</w:t>
      </w:r>
    </w:p>
    <w:p>
      <w:pPr>
        <w:pStyle w:val="Normal"/>
        <w:spacing w:lineRule="auto" w:line="360"/>
        <w:jc w:val="both"/>
        <w:rPr>
          <w:b/>
          <w:b/>
          <w:bCs/>
          <w:color w:val="000000"/>
          <w:highlight w:val="white"/>
        </w:rPr>
      </w:pPr>
      <w:r>
        <w:rPr>
          <w:b/>
          <w:bCs/>
          <w:color w:val="000000"/>
          <w:highlight w:val="white"/>
        </w:rPr>
      </w:r>
    </w:p>
    <w:p>
      <w:pPr>
        <w:pStyle w:val="Heading1"/>
        <w:rPr/>
      </w:pPr>
      <w:r>
        <w:rPr>
          <w:highlight w:val="white"/>
        </w:rPr>
        <w:t>Introduction:</w:t>
      </w:r>
    </w:p>
    <w:p>
      <w:pPr>
        <w:pStyle w:val="Normal"/>
        <w:spacing w:lineRule="auto" w:line="360"/>
        <w:jc w:val="both"/>
        <w:rPr/>
      </w:pPr>
      <w:r>
        <w:rPr/>
        <w:t xml:space="preserve">The positive correlation between health and wealth has been shown many times. Pollack et al. (2007)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spacing w:lineRule="auto" w:line="360"/>
        <w:jc w:val="both"/>
        <w:rPr/>
      </w:pPr>
      <w:r>
        <w:rPr/>
        <w:tab/>
        <w:t xml:space="preserve">As Aittomäki, Martikainen, Laaksonen, Lahelma, and Rahkonen (2010) point out, </w:t>
      </w:r>
      <w:r>
        <w:rPr>
          <w:rFonts w:cs="Times New Roman" w:ascii="Times New Roman" w:hAnsi="Times New Roman"/>
        </w:rPr>
        <w:t>“</w:t>
      </w:r>
      <w:r>
        <w:rPr/>
        <w:t>Wealth in particular is not directly affected by changes in labor market participation that may radically alter the current income level</w:t>
      </w:r>
      <w:r>
        <w:rPr>
          <w:rFonts w:cs="Times New Roman" w:ascii="Times New Roman" w:hAnsi="Times New Roman"/>
        </w:rPr>
        <w:t>”</w:t>
      </w:r>
      <w:r>
        <w:rPr/>
        <w:t>. They find that wealth is highly relevant in explaining health.</w:t>
      </w:r>
    </w:p>
    <w:p>
      <w:pPr>
        <w:pStyle w:val="Normal"/>
        <w:spacing w:lineRule="auto" w:line="360"/>
        <w:jc w:val="both"/>
        <w:rPr/>
      </w:pPr>
      <w:r>
        <w:rPr/>
        <w:tab/>
        <w:t>Even though the correlation between health and wealth is researched a lot and a majority of these studies find positive results, the body of literature addressing the causality between health and wealth is smaller and finds mixed results. As Meer et al. (2003) point out, more research is needed on the subject of direction of causality between health and wealth. This is especially important for public policy since it cannot simply rely on correlations in this case.</w:t>
      </w:r>
    </w:p>
    <w:p>
      <w:pPr>
        <w:pStyle w:val="Normal"/>
        <w:spacing w:lineRule="auto" w:line="360"/>
        <w:jc w:val="both"/>
        <w:rPr/>
      </w:pPr>
      <w:r>
        <w:rPr/>
        <w:tab/>
        <w:t>The goal of this paper is to examine the causality between health and wealth in the Netherlands. Especially, this paper will try to find a causal relation from wealth to health. This paper will try to deal with the endogeneity between health and wealth in two ways. The first is using a difference in difference analysis. The second way this paper tries to deal with the endogeneity is by focusing on the effect of wealth on health transitions.</w:t>
      </w:r>
    </w:p>
    <w:p>
      <w:pPr>
        <w:pStyle w:val="Normal"/>
        <w:spacing w:lineRule="auto" w:line="360"/>
        <w:ind w:firstLine="720"/>
        <w:jc w:val="both"/>
        <w:rPr/>
      </w:pPr>
      <w:r>
        <w:rPr/>
        <w:t xml:space="preserve">In the difference in differences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net wealth of the home-owners more than the net wealth of tenants since the wealth of home owners is more exposed to changes in housing prices than the wealth of tenants. </w:t>
      </w:r>
      <w:commentRangeStart w:id="2"/>
      <w:r>
        <w:rPr/>
        <w:t>It stands to reason that the change in housing prices does neither directly affect health status nor are the housing prices directly affect by health.</w:t>
      </w:r>
      <w:r>
        <w:rPr/>
      </w:r>
      <w:commentRangeEnd w:id="2"/>
      <w:r>
        <w:commentReference w:id="2"/>
      </w:r>
      <w:r>
        <w:rPr/>
        <w:t xml:space="preserve"> So if there is a causal effect from wealth to health, the health of the home owners should thus react differently to the change in housing prices than the health of the tenants. In this paper, health is dummy variable where a person is either healthy or unhealthy, based on their self-assessed health.</w:t>
      </w:r>
    </w:p>
    <w:p>
      <w:pPr>
        <w:pStyle w:val="Normal"/>
        <w:spacing w:lineRule="auto" w:line="360"/>
        <w:ind w:firstLine="720"/>
        <w:jc w:val="both"/>
        <w:rPr/>
      </w:pPr>
      <w:r>
        <w:rP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pPr>
        <w:pStyle w:val="Normal"/>
        <w:spacing w:lineRule="auto" w:line="360"/>
        <w:jc w:val="both"/>
        <w:rPr>
          <w:color w:val="000000"/>
        </w:rPr>
      </w:pPr>
      <w:r>
        <w:rPr/>
        <w:tab/>
        <w:t xml:space="preserve">To examine causal relationship between health and wealth, this study uses the data from the DNB Household Survey (DHS) from CenterData. This dataset allows to study both the psychological as well as the economic aspects of financial behavior. The data has information of health, housing, possessions among other thing. </w:t>
      </w:r>
      <w:r>
        <w:rPr>
          <w:color w:val="000000"/>
          <w:highlight w:val="white"/>
        </w:rPr>
        <w:t>(“DHS data access | CentERdata.nl,” n.d.). The survey tries to get as many recurring respondents as possible and adds new respondents when needed to make the average number of respondents around 2000. Using different waves of this dataset will allow this paper to try and find a causal relationship using the difference in difference analysis.</w:t>
      </w:r>
    </w:p>
    <w:p>
      <w:pPr>
        <w:pStyle w:val="Normal"/>
        <w:spacing w:lineRule="auto" w:line="360"/>
        <w:jc w:val="both"/>
        <w:rPr>
          <w:color w:val="000000"/>
          <w:highlight w:val="white"/>
        </w:rPr>
      </w:pPr>
      <w:r>
        <w:rPr>
          <w:color w:val="000000"/>
          <w:highlight w:val="white"/>
        </w:rPr>
        <w:tab/>
        <w:t xml:space="preserve">The paper will be structured as follows. The first chapter will discuss relevant literature on the subject of causality between health and wealth. The second chapter will briefly </w:t>
      </w:r>
    </w:p>
    <w:p>
      <w:pPr>
        <w:pStyle w:val="Normal"/>
        <w:spacing w:lineRule="auto" w:line="360"/>
        <w:jc w:val="both"/>
        <w:rPr/>
      </w:pPr>
      <w:r>
        <w:rPr>
          <w:color w:val="000000"/>
          <w:highlight w:val="white"/>
        </w:rPr>
        <w:t xml:space="preserve">Describe the institutional setting in the Netherlands. The third chapter will describe the data and the variables used in this study. The fourth chapter will describe the different statistical methods used. Here, the methods for identifying the correlation and causal relationships between wealth and health will be further discussed. The fifth chapter presents the results of the statistical analyses. The sixth chapter will present results from different robustness tests and the final chapter will </w:t>
      </w:r>
      <w:r>
        <w:rPr>
          <w:color w:val="000000"/>
        </w:rPr>
        <w:t>conclude this paper and present some improvements and ideas for further research</w:t>
      </w:r>
    </w:p>
    <w:p>
      <w:pPr>
        <w:pStyle w:val="Normal"/>
        <w:spacing w:lineRule="auto" w:line="360"/>
        <w:jc w:val="both"/>
        <w:rPr>
          <w:b/>
          <w:b/>
          <w:bCs/>
          <w:color w:val="000000"/>
          <w:highlight w:val="white"/>
        </w:rPr>
      </w:pPr>
      <w:r>
        <w:rPr>
          <w:b/>
          <w:bCs/>
          <w:color w:val="000000"/>
          <w:highlight w:val="white"/>
        </w:rPr>
      </w:r>
    </w:p>
    <w:p>
      <w:pPr>
        <w:pStyle w:val="Heading1"/>
        <w:rPr/>
      </w:pPr>
      <w:r>
        <w:rPr>
          <w:highlight w:val="white"/>
        </w:rPr>
        <w:t>Related literature:</w:t>
      </w:r>
    </w:p>
    <w:p>
      <w:pPr>
        <w:pStyle w:val="Normal"/>
        <w:spacing w:lineRule="auto" w:line="360"/>
        <w:rPr/>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8" w:author="Simon ter Meulen" w:date="2019-01-25T08:36:00Z">
        <w:r>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highlight w:val="white"/>
        </w:rPr>
        <w:t>h and wealth. The correlation between health and wealth was most significant when the wealth variables were constructed from detailed questions instead of simpler questions (for example just a single question). It should however be noted that they only check for correlations and do not address causality.</w:t>
      </w:r>
    </w:p>
    <w:p>
      <w:pPr>
        <w:pStyle w:val="Normal"/>
        <w:spacing w:lineRule="auto" w:line="360"/>
        <w:rPr>
          <w:highlight w:val="white"/>
        </w:rPr>
      </w:pPr>
      <w:r>
        <w:rPr>
          <w:highlight w:val="white"/>
        </w:rPr>
        <w:tab/>
        <w:t>There are however some studies that do address causality in the health wealth connection and some find insignificant causal effects. Meer et al. (2003) use a straightforward instrumental variable strategy to deal with the endogeneity. They use inheritance as the instrument because, they reason, it does affect health but does not directly affect health nor is it affected by health. They do not find a significant effect from wealth on health by using inheritance as the instrument variable. They conclude that short run changes in wealth do not affect health. They do however note: “This finding does not rule out the possibility of a long-term impact of wealth on health” (Meer et al., 2003, p. 729). Kim and Ruhm (2012) also use inheritance as exogenous wealth shocks and also find no significant effect on health. Au and Johnston (2015) even find that wealth shocks in the form of inheritance might even increase obesity in women. As obesity is an indicator or not so good health, this result is surprising as it contradicts the positive correlation between wealth and health.</w:t>
      </w:r>
      <w:ins w:id="9" w:author="Simon ter Meulen" w:date="2019-01-25T08:38:00Z">
        <w:r>
          <w:rPr>
            <w:highlight w:val="white"/>
          </w:rPr>
          <w:t xml:space="preserve"> What about the correlation between genes and inherentences? It seems that there exclusion </w:t>
        </w:r>
      </w:ins>
      <w:ins w:id="10" w:author="Simon ter Meulen" w:date="2019-01-25T08:39:00Z">
        <w:r>
          <w:rPr>
            <w:highlight w:val="white"/>
          </w:rPr>
          <w:t>restriction</w:t>
        </w:r>
      </w:ins>
      <w:ins w:id="11" w:author="Simon ter Meulen" w:date="2019-01-25T08:38:00Z">
        <w:r>
          <w:rPr>
            <w:highlight w:val="white"/>
          </w:rPr>
          <w:t xml:space="preserve"> </w:t>
        </w:r>
      </w:ins>
      <w:ins w:id="12" w:author="Simon ter Meulen" w:date="2019-01-25T08:39:00Z">
        <w:r>
          <w:rPr>
            <w:highlight w:val="white"/>
          </w:rPr>
          <w:t xml:space="preserve">is trivially violated. </w:t>
        </w:r>
      </w:ins>
    </w:p>
    <w:p>
      <w:pPr>
        <w:pStyle w:val="Normal"/>
        <w:spacing w:lineRule="auto" w:line="360"/>
        <w:rPr/>
      </w:pPr>
      <w:r>
        <w:rPr>
          <w:highlight w:val="white"/>
        </w:rPr>
        <w:tab/>
        <w:t>Apouey and Clark (2015)</w:t>
      </w:r>
      <w:r>
        <w:rPr>
          <w:rFonts w:cs="Times New Roman" w:ascii="Times New Roman" w:hAnsi="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pPr>
        <w:pStyle w:val="Normal"/>
        <w:spacing w:lineRule="auto" w:line="360"/>
        <w:ind w:firstLine="720"/>
        <w:rPr/>
      </w:pPr>
      <w:r>
        <w:rPr>
          <w:highlight w:val="white"/>
        </w:rPr>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rPr/>
        <w:t xml:space="preserve"> Since winning the lottery is less predictable, lottery winnings might be a better instrument in this case.</w:t>
      </w:r>
    </w:p>
    <w:p>
      <w:pPr>
        <w:pStyle w:val="Normal"/>
        <w:spacing w:lineRule="auto" w:line="360"/>
        <w:rPr/>
      </w:pPr>
      <w:r>
        <w:rPr>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between countries to see if institutions have an impact on the possible causal relationship.</w:t>
      </w:r>
    </w:p>
    <w:p>
      <w:pPr>
        <w:pStyle w:val="Normal"/>
        <w:spacing w:lineRule="auto" w:line="360"/>
        <w:rPr/>
      </w:pPr>
      <w:r>
        <w:rPr>
          <w:highlight w:val="white"/>
        </w:rPr>
        <w:tab/>
        <w:t xml:space="preserve">There are studies that do find a significant causal effect of wealth on health. Cai (2009), for example, focuses on health transitions instead of health status itself to avoid the endogeneity of wealth and health. She finds that wealthy people are less likely of transitioning from healthy to unhealthy compared to people in the lower end of the wealth distribution in Australia. This, she argues, is evidence that there might be a causal effect of wealth on health in Australia. </w:t>
      </w:r>
      <w:ins w:id="13" w:author="Simon ter Meulen" w:date="2019-01-25T08:42:00Z">
        <w:r>
          <w:rPr>
            <w:highlight w:val="white"/>
          </w:rPr>
          <w:t>This is largely what you do, since you use such short timespans.</w:t>
        </w:r>
      </w:ins>
      <w:r>
        <w:rPr>
          <w:highlight w:val="white"/>
        </w:rPr>
        <w:t xml:space="preserve"> She proposes four different explanations of the causal effect of wealth on health. Firstly, because the study focuses on people in Australia malnutrition might not be an issue but eating less healthy food is associated with people with less economic recourses such as wealth or income.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ins w:id="14" w:author="Simon ter Meulen" w:date="2019-01-25T08:44:00Z">
        <w:r>
          <w:rPr/>
          <w:t xml:space="preserve"> What do you measure?</w:t>
        </w:r>
      </w:ins>
    </w:p>
    <w:p>
      <w:pPr>
        <w:pStyle w:val="Normal"/>
        <w:spacing w:lineRule="auto" w:line="360"/>
        <w:rPr/>
      </w:pPr>
      <w:r>
        <w:rPr>
          <w:highlight w:val="white"/>
        </w:rPr>
        <w:tab/>
      </w:r>
      <w:bookmarkStart w:id="1" w:name="__UnoMark__2194_363168767"/>
      <w:bookmarkStart w:id="2" w:name="__UnoMark__2189_363168767"/>
      <w:bookmarkStart w:id="3" w:name="__UnoMark__2196_363168767"/>
      <w:bookmarkStart w:id="4" w:name="__UnoMark__2185_363168767"/>
      <w:r>
        <w:rPr>
          <w:highlight w:val="white"/>
        </w:rPr>
        <w:t>Keese and Schmitz (2014)</w:t>
      </w:r>
      <w:bookmarkEnd w:id="1"/>
      <w:bookmarkEnd w:id="2"/>
      <w:bookmarkEnd w:id="3"/>
      <w:bookmarkEnd w:id="4"/>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Pr/>
        <w:t>is the interest of this paper.</w:t>
      </w:r>
    </w:p>
    <w:p>
      <w:pPr>
        <w:pStyle w:val="Normal"/>
        <w:spacing w:lineRule="auto" w:line="360"/>
        <w:rPr/>
      </w:pPr>
      <w:r>
        <w:rPr/>
        <w:tab/>
        <w:t xml:space="preserve">This paper contributes to the current literature in two ways.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Cai (2009) in which she uses health transitions to estimate the causal effect of wealth on health to data from the Netherlands. </w:t>
      </w:r>
    </w:p>
    <w:p>
      <w:pPr>
        <w:pStyle w:val="Heading1"/>
        <w:rPr/>
      </w:pPr>
      <w:r>
        <w:rPr>
          <w:highlight w:val="white"/>
        </w:rPr>
        <w:t>Institutional section:</w:t>
      </w:r>
    </w:p>
    <w:p>
      <w:pPr>
        <w:pStyle w:val="Normal"/>
        <w:spacing w:lineRule="auto" w:line="360"/>
        <w:jc w:val="both"/>
        <w:rPr/>
      </w:pPr>
      <w:r>
        <w:rPr>
          <w:bCs/>
          <w:color w:val="000000"/>
          <w:highlight w:val="white"/>
        </w:rPr>
        <w:t>As Michaud and Soest (2008) pointed out, differences in institutions between countries might have an impact on the relationship between wealth and health. Since the data consists of respondents from the Netherlands it is important to look at Dutch institutions setting. There are two key features of Dutch institutional context that might impact the relationship between health and wealth: the obligated health insurance, the paying of salary for a sick person with and without a permanent contract.</w:t>
      </w:r>
    </w:p>
    <w:p>
      <w:pPr>
        <w:pStyle w:val="Normal"/>
        <w:spacing w:lineRule="auto" w:line="360"/>
        <w:jc w:val="both"/>
        <w:rPr/>
      </w:pPr>
      <w:r>
        <w:rPr>
          <w:bCs/>
          <w:color w:val="000000"/>
          <w:highlight w:val="white"/>
        </w:rPr>
        <w:tab/>
        <w:t xml:space="preserve">In the Netherlands, every Dutch citizen is obligated to have a health insurance. There is a basic insurance and the possibility to buy additional insurances which increases coverage. With the basic insurance all visits to the family physician are covered and if you are treated with a referral from the family physician, most of the referred treatments are covered as well. There also is a mandatory yearly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and it can be argued that the rational individual who has poor health will always set their deductible as low as possible. Someone can also receive a health insurance subsidy, if you are eligible. Whether or not a person is eligible depends on the income of that person. The maximum income to receive the subsidy is €29,562 for a single person and €37,885 for a couple (Belastingdienst, 2018). Therefore, everyone has, and can afford, an health insurance. </w:t>
      </w:r>
    </w:p>
    <w:p>
      <w:pPr>
        <w:pStyle w:val="Normal"/>
        <w:spacing w:lineRule="auto" w:line="360"/>
        <w:jc w:val="both"/>
        <w:rPr/>
      </w:pPr>
      <w:r>
        <w:rPr/>
        <w:tab/>
        <w:t>The other feature is the paying of salary when you are sick. If someone is sick and has a permanent contract he gets payed at least 70% of their salary in the first year of being sick, whether a person is sick for a week or a year. Someone could receive more than 70% if specified in his or her contract . If 70% of the salary is below the minimum loan, they get payed at least the minimum loan in the first year. In the second year of being sick, at least 70% of the salary is continued to be paid but it can be less than the minimum loan. If a person does receive less than the minimum loan in the second year he can apply for a benefit which makes the total income equal to the minimum year. (UWV, n.d.) When a person without a permanent contract gets sick, salary will continue to be paid for the duration of the contract. When someone is still sick when the contracts ends, he or she can possibly get a benefit (Het Juridisch Loket, n.d.). Overall, someone who has an income from working but is unable to keep working due to poor health will keep roughly the same income. And will not impact wealth (at least in the short run)?</w:t>
      </w:r>
    </w:p>
    <w:p>
      <w:pPr>
        <w:pStyle w:val="Normal"/>
        <w:spacing w:lineRule="auto" w:line="360"/>
        <w:jc w:val="both"/>
        <w:rPr/>
      </w:pPr>
      <w:r>
        <w:rPr/>
        <w:tab/>
        <w:t xml:space="preserve">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 </w:t>
      </w:r>
      <w:ins w:id="15" w:author="Simon ter Meulen" w:date="2019-01-25T09:19:00Z">
        <w:r>
          <w:rPr/>
          <w:t>[Good, also mention this in the introduction and the discussion on why the literature find different effects.]</w:t>
        </w:r>
      </w:ins>
    </w:p>
    <w:p>
      <w:pPr>
        <w:pStyle w:val="Normal"/>
        <w:spacing w:lineRule="auto" w:line="360"/>
        <w:jc w:val="both"/>
        <w:rPr/>
      </w:pPr>
      <w:r>
        <w:rP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short run.</w:t>
      </w:r>
      <w:ins w:id="16" w:author="Simon ter Meulen" w:date="2019-01-25T09:20:00Z">
        <w:r>
          <w:rPr/>
          <w:t xml:space="preserve"> You forget about job changes and/or wage increases.</w:t>
        </w:r>
      </w:ins>
      <w:r>
        <w:rPr/>
        <w:t xml:space="preserve"> Also because the height of the benefit depends on the income before a person gets sick, people do not only keep an income but also an income which is in line with their income before becoming sick.</w:t>
      </w:r>
    </w:p>
    <w:p>
      <w:pPr>
        <w:pStyle w:val="Normal"/>
        <w:spacing w:lineRule="auto" w:line="360"/>
        <w:jc w:val="both"/>
        <w:rPr/>
      </w:pPr>
      <w:r>
        <w:rPr/>
        <w:tab/>
        <w:t>Hurd and Kapteyn (2005) also point there are “generous income maintenance provisions [that] aim to mitigate any adverse effect of health related earnings interruptions” (Hurd &amp; Kapteyn, 2005, p. 311) in the Netherlands. They add to this that since healthcare is basically universal, the explanation that different access to healthcare is due to differences in wealth or income  is of limited importance.</w:t>
      </w:r>
    </w:p>
    <w:p>
      <w:pPr>
        <w:pStyle w:val="Normal"/>
        <w:spacing w:lineRule="auto" w:line="360"/>
        <w:jc w:val="both"/>
        <w:rPr/>
      </w:pPr>
      <w:r>
        <w:rPr/>
      </w:r>
    </w:p>
    <w:p>
      <w:pPr>
        <w:pStyle w:val="Heading1"/>
        <w:rPr>
          <w:highlight w:val="white"/>
        </w:rPr>
      </w:pPr>
      <w:r>
        <w:rPr>
          <w:highlight w:val="white"/>
        </w:rPr>
        <w:t>Data</w:t>
      </w:r>
    </w:p>
    <w:p>
      <w:pPr>
        <w:pStyle w:val="Normal"/>
        <w:spacing w:lineRule="auto" w:line="360"/>
        <w:jc w:val="both"/>
        <w:rPr>
          <w:rFonts w:ascii="OpenSymbol" w:hAnsi="OpenSymbol" w:eastAsia="OpenSymbol" w:cs="OpenSymbol"/>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 xml:space="preserve">.d.) </w:t>
      </w: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spacing w:lineRule="auto" w:line="360"/>
        <w:jc w:val="both"/>
        <w:rPr/>
      </w:pPr>
      <w:r>
        <w:rPr>
          <w:rStyle w:val="Bullets"/>
          <w:highlight w:val="white"/>
        </w:rPr>
        <w:tab/>
      </w:r>
      <w:r>
        <w:rPr>
          <w:highlight w:val="white"/>
        </w:rPr>
        <w:t>The health variable is a categorical variable with two options, either healthy (1) or not healthy (0).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 which is a good indicator for health. Individuals who considered themselves to be in poor or not so good health are placed in the not healthy category. The persons that consider themselves to be in fair, good or excellent health will be placed in the healthy category.</w:t>
      </w:r>
    </w:p>
    <w:p>
      <w:pPr>
        <w:pStyle w:val="Normal"/>
        <w:spacing w:lineRule="auto" w:line="360"/>
        <w:jc w:val="both"/>
        <w:rPr/>
      </w:pPr>
      <w:r>
        <w:rPr>
          <w:rStyle w:val="Bullets"/>
          <w:highlight w:val="white"/>
        </w:rPr>
        <w:tab/>
      </w:r>
      <w:r>
        <w:rPr>
          <w:highlight w:val="white"/>
        </w:rPr>
        <w:t>In this paper, wealth is defined as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spacing w:lineRule="auto" w:line="360"/>
        <w:ind w:firstLine="720"/>
        <w:rPr>
          <w:highlight w:val="white"/>
        </w:rPr>
      </w:pPr>
      <w:r>
        <w:rPr/>
        <w:t>The assets and liabilities that could be found in the aggregated wealth data and of which the net worth variable consists of can be seen in table 1.</w:t>
      </w:r>
    </w:p>
    <w:p>
      <w:pPr>
        <w:pStyle w:val="Caption2"/>
        <w:keepNext/>
        <w:spacing w:lineRule="auto" w:line="360"/>
        <w:jc w:val="both"/>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ind w:left="360" w:hanging="0"/>
              <w:jc w:val="both"/>
              <w:rPr>
                <w:color w:val="000000"/>
                <w:spacing w:val="15"/>
              </w:rPr>
            </w:pPr>
            <w:r>
              <w:rPr>
                <w:b/>
                <w:bCs/>
                <w:color w:val="000000"/>
                <w:spacing w:val="15"/>
              </w:rPr>
              <w:t>Assets</w:t>
            </w:r>
          </w:p>
        </w:tc>
        <w:tc>
          <w:tcPr>
            <w:tcW w:w="4926" w:type="dxa"/>
            <w:tcBorders/>
            <w:shd w:color="auto" w:fill="auto" w:val="clear"/>
          </w:tcPr>
          <w:p>
            <w:pPr>
              <w:pStyle w:val="Normal"/>
              <w:spacing w:lineRule="auto" w:line="360" w:before="0" w:after="0"/>
              <w:ind w:left="360" w:hanging="0"/>
              <w:jc w:val="both"/>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jc w:val="both"/>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spacing w:lineRule="auto" w:line="360"/>
              <w:ind w:left="360" w:hanging="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jc w:val="both"/>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spacing w:lineRule="auto" w:line="360"/>
              <w:ind w:left="360" w:hanging="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spacing w:lineRule="auto" w:line="360"/>
        <w:jc w:val="both"/>
        <w:rPr>
          <w:color w:val="000000"/>
          <w:spacing w:val="15"/>
          <w:highlight w:val="white"/>
        </w:rPr>
      </w:pPr>
      <w:r>
        <w:rPr>
          <w:color w:val="000000"/>
          <w:spacing w:val="15"/>
          <w:highlight w:val="white"/>
        </w:rPr>
      </w:r>
    </w:p>
    <w:p>
      <w:pPr>
        <w:pStyle w:val="Normal"/>
        <w:spacing w:lineRule="auto" w:line="360"/>
        <w:jc w:val="both"/>
        <w:rPr>
          <w:color w:val="000000"/>
          <w:spacing w:val="15"/>
          <w:highlight w:val="white"/>
        </w:rPr>
      </w:pPr>
      <w:r>
        <w:rPr>
          <w:color w:val="000000"/>
          <w:spacing w:val="15"/>
          <w:highlight w:val="white"/>
        </w:rPr>
      </w:r>
    </w:p>
    <w:p>
      <w:pPr>
        <w:pStyle w:val="Normal"/>
        <w:keepNext/>
        <w:spacing w:lineRule="auto" w:line="360"/>
        <w:jc w:val="both"/>
        <w:rPr/>
      </w:pPr>
      <w:commentRangeStart w:id="3"/>
      <w:r>
        <w:rPr/>
        <w:drawing>
          <wp:inline distT="0" distB="7620" distL="0" distR="0">
            <wp:extent cx="4972050" cy="36125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3612515"/>
                    </a:xfrm>
                    <a:prstGeom prst="rect">
                      <a:avLst/>
                    </a:prstGeom>
                  </pic:spPr>
                </pic:pic>
              </a:graphicData>
            </a:graphic>
          </wp:inline>
        </w:drawing>
      </w:r>
      <w:commentRangeEnd w:id="3"/>
      <w:r>
        <w:commentReference w:id="3"/>
      </w:r>
      <w:r>
        <w:rPr/>
      </w:r>
    </w:p>
    <w:p>
      <w:pPr>
        <w:pStyle w:val="Caption2"/>
        <w:spacing w:lineRule="auto" w:line="360"/>
        <w:jc w:val="both"/>
        <w:rPr/>
      </w:pPr>
      <w:r>
        <w:rPr/>
        <w:t xml:space="preserve">Figure </w:t>
      </w:r>
      <w:r>
        <w:rPr/>
        <w:fldChar w:fldCharType="begin"/>
      </w:r>
      <w:r>
        <w:instrText> SEQ Figure \* ARABIC </w:instrText>
      </w:r>
      <w:r>
        <w:fldChar w:fldCharType="separate"/>
      </w:r>
      <w:r>
        <w:t>1</w:t>
      </w:r>
      <w:r>
        <w:fldChar w:fldCharType="end"/>
      </w:r>
      <w:r>
        <w:rPr/>
        <w:t xml:space="preserve"> Housing Prices in the Netherlands. (CBS, 2019)</w:t>
      </w:r>
    </w:p>
    <w:p>
      <w:pPr>
        <w:pStyle w:val="Normal"/>
        <w:spacing w:lineRule="auto" w:line="360"/>
        <w:jc w:val="both"/>
        <w:rPr>
          <w:color w:val="000000"/>
          <w:spacing w:val="15"/>
          <w:highlight w:val="white"/>
        </w:rPr>
      </w:pPr>
      <w:r>
        <w:rPr>
          <w:color w:val="000000"/>
          <w:spacing w:val="15"/>
          <w:highlight w:val="white"/>
        </w:rPr>
      </w:r>
    </w:p>
    <w:p>
      <w:pPr>
        <w:pStyle w:val="Normal"/>
        <w:spacing w:lineRule="auto" w:line="360"/>
        <w:jc w:val="both"/>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it might have affected some observations while others not. 2013 is the year when the housing prices were at the lowest in the Netherlands. If wealth would cause short-term changes in health, it should be visible in the difference in differences regression 2007 – 2013 and 2013 - 2017. So in the first case, 2007 is the pre-treatment year and 2013 the post-treatment year. In the second case, 2013 is the pre-treatment year and 2017 the post-treatment year. Because in the DD analysis the treatment is the effect of the difference in housing prices, housing prices of single years will be used instead of averages. When for example the average housing prices of 2004 until 2007 will be used and the average housing prices of 2009 until 2013, the difference between the two averages will almost completely be canceled out against each other. </w:t>
      </w:r>
      <w:r>
        <w:rPr/>
        <w:t>This will make the effect of the change in housing prices less noticeable on the net wealth.</w:t>
      </w:r>
    </w:p>
    <w:p>
      <w:pPr>
        <w:pStyle w:val="Normal"/>
        <w:spacing w:lineRule="auto" w:line="360"/>
        <w:jc w:val="both"/>
        <w:rPr/>
      </w:pPr>
      <w:r>
        <w:rPr/>
        <w:tab/>
        <w:t xml:space="preserve">For the analysis that </w:t>
      </w:r>
      <w:r>
        <w:rPr/>
        <w:t>on</w:t>
      </w:r>
      <w:r>
        <w:rPr/>
        <w:t xml:space="preserve"> health transitions </w:t>
      </w:r>
      <w:r>
        <w:rPr/>
        <w:t>uses</w:t>
      </w:r>
      <w:r>
        <w:rPr/>
        <w:t xml:space="preserve"> the same years as in the difference in differences analysis. Since changes in health are not likely to happen over a short time span as for example a year, as was noted above, a five year timespan could be enough for changes in health to happen. It also makes sense to use the same years as the DD analysis since it allows to compare the results of both </w:t>
      </w:r>
      <w:r>
        <w:rPr/>
        <w:t>analyses</w:t>
      </w:r>
      <w:r>
        <w:rPr/>
        <w:t>.</w:t>
      </w:r>
    </w:p>
    <w:p>
      <w:pPr>
        <w:pStyle w:val="Normal"/>
        <w:spacing w:lineRule="auto" w:line="360"/>
        <w:jc w:val="both"/>
        <w:rPr>
          <w:highlight w:val="white"/>
        </w:rPr>
      </w:pPr>
      <w:r>
        <w:rP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pPr>
        <w:pStyle w:val="Caption2"/>
        <w:keepNext/>
        <w:spacing w:lineRule="auto" w:line="360"/>
        <w:jc w:val="both"/>
        <w:rPr/>
      </w:pPr>
      <w:r>
        <w:rPr/>
        <w:t xml:space="preserve">Table </w:t>
      </w:r>
      <w:r>
        <w:rPr/>
        <w:fldChar w:fldCharType="begin"/>
      </w:r>
      <w:r>
        <w:instrText> SEQ Table \* ARABIC </w:instrText>
      </w:r>
      <w:r>
        <w:fldChar w:fldCharType="separate"/>
      </w:r>
      <w:r>
        <w:t>2</w:t>
      </w:r>
      <w:r>
        <w:fldChar w:fldCharType="end"/>
      </w:r>
      <w:r>
        <w:rPr/>
        <w:t xml:space="preserve"> distribution of individuals in the control and treatment group</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pPrChange w:id="0" w:author="Simon ter Meulen" w:date="2019-01-25T09:34:00Z">
                <w:pPr>
                  <w:jc w:val="both"/>
                  <w:cnfStyle w:val="100000000000" w:firstRow="1" w:lastRow="0" w:firstColumn="0" w:lastColumn="0" w:oddVBand="0" w:evenVBand="0" w:oddHBand="0" w:evenHBand="0" w:firstRowFirstColumn="0" w:firstRowLastColumn="0" w:lastRowFirstColumn="0" w:lastRowLastColumn="0"/>
                  <w:spacing w:lineRule="auto" w:line="360"/>
                </w:pPr>
              </w:pPrChange>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jc w:val="both"/>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spacing w:lineRule="auto" w:line="360"/>
        <w:jc w:val="both"/>
        <w:rPr/>
      </w:pPr>
      <w:ins w:id="17" w:author="Simon ter Meulen" w:date="2019-01-25T09:34:00Z">
        <w:r>
          <w:rPr/>
          <w:t xml:space="preserve">Please add the ones you observe twice. </w:t>
        </w:r>
      </w:ins>
      <w:ins w:id="18" w:author="Simon ter Meulen" w:date="2019-01-25T09:35:00Z">
        <w:r>
          <w:rPr/>
          <w:t>Also add maybe somewhere else, what you gain from a repeated cross section and what you gain from a panel.</w:t>
        </w:r>
      </w:ins>
    </w:p>
    <w:p>
      <w:pPr>
        <w:pStyle w:val="Normal"/>
        <w:spacing w:lineRule="auto" w:line="360"/>
        <w:jc w:val="both"/>
        <w:rPr/>
      </w:pPr>
      <w:r>
        <w:rPr/>
        <w:t xml:space="preserve">Table </w:t>
      </w:r>
      <w:commentRangeStart w:id="4"/>
      <w:r>
        <w:rPr/>
        <w:t xml:space="preserve">three </w:t>
      </w:r>
      <w:r>
        <w:rPr/>
      </w:r>
      <w:commentRangeEnd w:id="4"/>
      <w:r>
        <w:commentReference w:id="4"/>
      </w:r>
      <w:r>
        <w:rPr/>
        <w:t xml:space="preserve">shows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commentRangeStart w:id="5"/>
      <w:r>
        <w:rPr/>
        <w:t>This is important as it indicates that the characteristics across the different treatment groups should be  successfully balanced.</w:t>
      </w:r>
      <w:ins w:id="19" w:author="Simon ter Meulen" w:date="2019-01-25T09:37:00Z">
        <w:r>
          <w:rPr/>
          <w:t xml:space="preserve"> </w:t>
        </w:r>
      </w:ins>
      <w:commentRangeEnd w:id="5"/>
      <w:r>
        <w:commentReference w:id="5"/>
      </w:r>
      <w:r>
        <w:rPr/>
      </w:r>
    </w:p>
    <w:p>
      <w:pPr>
        <w:pStyle w:val="Normal"/>
        <w:spacing w:lineRule="auto" w:line="360"/>
        <w:jc w:val="both"/>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2"/>
        <w:keepNext/>
        <w:spacing w:lineRule="auto" w:line="360"/>
        <w:jc w:val="both"/>
        <w:rPr>
          <w:lang w:val="nl-NL"/>
        </w:rPr>
      </w:pPr>
      <w:r>
        <w:rPr>
          <w:lang w:val="nl-NL"/>
          <w:rPrChange w:id="0" w:author="UvA" w:date="2019-01-28T12:21:00Z"/>
        </w:rPr>
        <w:br/>
        <w:br/>
      </w:r>
      <w:r>
        <w:rPr>
          <w:lang w:val="nl-NL"/>
        </w:rPr>
        <w:t xml:space="preserve">Table </w:t>
      </w:r>
      <w:r>
        <w:rPr>
          <w:lang w:val="nl-NL"/>
        </w:rPr>
        <w:fldChar w:fldCharType="begin"/>
      </w:r>
      <w:r>
        <w:instrText> SEQ Table \* ARABIC </w:instrText>
      </w:r>
      <w:r>
        <w:fldChar w:fldCharType="separate"/>
      </w:r>
      <w:r>
        <w:t>3</w:t>
      </w:r>
      <w:r>
        <w:fldChar w:fldCharType="end"/>
      </w:r>
      <w:r>
        <w:rPr>
          <w:lang w:val="nl-NL"/>
        </w:rPr>
        <w:t xml:space="preserve">: summary statistics 2007  </w:t>
      </w:r>
      <w:commentRangeStart w:id="6"/>
      <w:r>
        <w:rPr>
          <w:lang w:val="nl-NL"/>
        </w:rPr>
        <w:t>(Deze zijn al netjes gemaakt in LaTeX)</w:t>
      </w:r>
      <w:commentRangeEnd w:id="6"/>
      <w:r>
        <w:commentReference w:id="6"/>
      </w:r>
      <w:r>
        <w:rPr>
          <w:lang w:val="nl-NL"/>
        </w:rPr>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spacing w:lineRule="auto" w:line="360"/>
        <w:jc w:val="both"/>
        <w:rPr>
          <w:b/>
          <w:b/>
          <w:bCs/>
          <w:color w:val="000000"/>
          <w:spacing w:val="15"/>
          <w:highlight w:val="white"/>
        </w:rPr>
      </w:pPr>
      <w:r>
        <w:rPr>
          <w:b/>
          <w:bCs/>
          <w:color w:val="000000"/>
          <w:spacing w:val="15"/>
          <w:highlight w:val="white"/>
        </w:rPr>
      </w:r>
    </w:p>
    <w:p>
      <w:pPr>
        <w:pStyle w:val="Caption2"/>
        <w:keepNext/>
        <w:spacing w:lineRule="auto" w:line="360"/>
        <w:jc w:val="both"/>
        <w:rPr/>
      </w:pPr>
      <w:r>
        <w:rPr/>
        <w:t xml:space="preserve">Table </w:t>
      </w:r>
      <w:r>
        <w:rPr/>
        <w:fldChar w:fldCharType="begin"/>
      </w:r>
      <w:r>
        <w:instrText> SEQ Table \* ARABIC </w:instrText>
      </w:r>
      <w:r>
        <w:fldChar w:fldCharType="separate"/>
      </w:r>
      <w:r>
        <w:t>4</w:t>
      </w:r>
      <w:r>
        <w:fldChar w:fldCharType="end"/>
      </w:r>
      <w:r>
        <w:rPr/>
        <w:t>: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spacing w:lineRule="auto" w:line="360"/>
        <w:jc w:val="both"/>
        <w:rPr>
          <w:b/>
          <w:b/>
          <w:bCs/>
          <w:color w:val="000000"/>
          <w:spacing w:val="15"/>
          <w:highlight w:val="white"/>
        </w:rPr>
      </w:pPr>
      <w:r>
        <w:rPr>
          <w:b/>
          <w:bCs/>
          <w:color w:val="000000"/>
          <w:spacing w:val="15"/>
          <w:highlight w:val="white"/>
        </w:rPr>
      </w:r>
    </w:p>
    <w:p>
      <w:pPr>
        <w:pStyle w:val="Caption2"/>
        <w:keepNext/>
        <w:spacing w:lineRule="auto" w:line="360"/>
        <w:jc w:val="both"/>
        <w:rPr/>
      </w:pPr>
      <w:r>
        <w:rPr/>
        <w:t xml:space="preserve">Table </w:t>
      </w:r>
      <w:r>
        <w:rPr/>
        <w:fldChar w:fldCharType="begin"/>
      </w:r>
      <w:r>
        <w:instrText> SEQ Table \* ARABIC </w:instrText>
      </w:r>
      <w:r>
        <w:fldChar w:fldCharType="separate"/>
      </w:r>
      <w:r>
        <w:t>5</w:t>
      </w:r>
      <w:r>
        <w:fldChar w:fldCharType="end"/>
      </w:r>
      <w:r>
        <w:rPr/>
        <w:t>: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jc w:val="both"/>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jc w:val="both"/>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insideH w:val="nil"/>
            </w:tcBorders>
            <w:shd w:color="auto" w:fill="D3DFEE" w:themeFill="accent1"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spacing w:lineRule="auto" w:line="360"/>
        <w:jc w:val="both"/>
        <w:rPr>
          <w:b/>
          <w:b/>
          <w:bCs/>
          <w:color w:val="000000"/>
          <w:spacing w:val="15"/>
          <w:highlight w:val="white"/>
        </w:rPr>
      </w:pPr>
      <w:r>
        <w:rPr>
          <w:b/>
          <w:bCs/>
          <w:color w:val="000000"/>
          <w:spacing w:val="15"/>
          <w:highlight w:val="white"/>
        </w:rPr>
      </w:r>
    </w:p>
    <w:p>
      <w:pPr>
        <w:pStyle w:val="Normal"/>
        <w:spacing w:lineRule="auto" w:line="360"/>
        <w:jc w:val="both"/>
        <w:rPr>
          <w:b/>
          <w:b/>
          <w:bCs/>
          <w:color w:val="000000"/>
          <w:spacing w:val="15"/>
          <w:highlight w:val="white"/>
        </w:rPr>
      </w:pPr>
      <w:r>
        <w:rPr>
          <w:b/>
          <w:bCs/>
          <w:color w:val="000000"/>
          <w:spacing w:val="15"/>
          <w:highlight w:val="white"/>
        </w:rPr>
      </w:r>
    </w:p>
    <w:p>
      <w:pPr>
        <w:pStyle w:val="Heading1"/>
        <w:rPr/>
      </w:pPr>
      <w:r>
        <w:rPr>
          <w:highlight w:val="white"/>
        </w:rPr>
        <w:t>Methods</w:t>
      </w:r>
    </w:p>
    <w:p>
      <w:pPr>
        <w:pStyle w:val="Normal"/>
        <w:spacing w:lineRule="auto" w:line="360"/>
        <w:jc w:val="both"/>
        <w:rPr/>
      </w:pPr>
      <w:r>
        <w:rPr/>
      </w:r>
    </w:p>
    <w:p>
      <w:pPr>
        <w:pStyle w:val="Normal"/>
        <w:spacing w:lineRule="auto" w:line="360"/>
        <w:jc w:val="both"/>
        <w:rPr/>
      </w:pPr>
      <w:r>
        <w:rPr/>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7"/>
      <w:r>
        <w:rPr/>
        <w:t>briefly.</w:t>
      </w:r>
      <w:commentRangeEnd w:id="7"/>
      <w:r>
        <w:commentReference w:id="7"/>
      </w:r>
      <w:r>
        <w:rPr/>
      </w:r>
    </w:p>
    <w:p>
      <w:pPr>
        <w:pStyle w:val="Heading2"/>
        <w:rPr/>
      </w:pPr>
      <w:r>
        <w:rPr/>
        <w:t>OLS</w:t>
      </w:r>
    </w:p>
    <w:p>
      <w:pPr>
        <w:pStyle w:val="Normal"/>
        <w:spacing w:lineRule="auto" w:line="360"/>
        <w:ind w:firstLine="720"/>
        <w:jc w:val="both"/>
        <w:pPrChange w:id="0" w:author="Simon ter Meulen" w:date="2019-01-25T09:47:00Z">
          <w:pPr>
            <w:jc w:val="both"/>
            <w:spacing w:lineRule="auto" w:line="360"/>
          </w:pPr>
        </w:pPrChange>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Heading2"/>
        <w:rPr/>
      </w:pPr>
      <w:r>
        <w:rPr/>
        <w:t>Difference in differences</w:t>
      </w:r>
    </w:p>
    <w:p>
      <w:pPr>
        <w:pStyle w:val="Normal"/>
        <w:spacing w:lineRule="auto" w:line="360"/>
        <w:jc w:val="both"/>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spacing w:lineRule="auto" w:line="360"/>
        <w:jc w:val="both"/>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can be assumed that the health of people did not directly cause the financial crisis</w:t>
      </w:r>
      <w:commentRangeStart w:id="8"/>
      <w:r>
        <w:rPr/>
        <w:t>, or that health was directly affected by the crisis</w:t>
      </w:r>
      <w:r>
        <w:rPr/>
      </w:r>
      <w:commentRangeEnd w:id="8"/>
      <w:r>
        <w:commentReference w:id="8"/>
      </w:r>
      <w:r>
        <w:rPr/>
        <w:commentReference w:id="9"/>
      </w:r>
      <w:r>
        <w:rPr/>
        <w:t>.  The treatment group consists of people who own one or more houses and the control group consists of people who rent a house. Although the net worth of tenants might also have been impacted in the years after the financial crisis, the home owners are exposed more to a wealth shock due to the change in housing prices. Therefore the net wealth of the control group should be affected less than the net wealth of the treatment group by the changes in the housing prices.</w:t>
      </w:r>
    </w:p>
    <w:p>
      <w:pPr>
        <w:pStyle w:val="Normal"/>
        <w:spacing w:lineRule="auto" w:line="360"/>
        <w:ind w:firstLine="720"/>
        <w:jc w:val="both"/>
        <w:rPr/>
      </w:pPr>
      <w:r>
        <w:rPr/>
        <w:t xml:space="preserve"> </w:t>
      </w:r>
      <w:r>
        <w:rPr/>
        <w:t xml:space="preserve">Since the participants of the DHS are randomly selected, it can be assumed that the only real difference between the control and treatment group is the ownership of a house. </w:t>
      </w:r>
      <w:commentRangeStart w:id="10"/>
      <w:r>
        <w:rPr/>
        <w:t>As was noted above, because health does not significantly differ between home-owners and tenants in each individual year, the distribution of other characteristics should be approximately the same in both groups.</w:t>
      </w:r>
      <w:r>
        <w:rPr/>
      </w:r>
      <w:commentRangeEnd w:id="10"/>
      <w:r>
        <w:commentReference w:id="10"/>
      </w:r>
      <w:r>
        <w:rPr/>
        <w:t xml:space="preserve"> Therefore the other ways in which the financial crisis could have affected health, </w:t>
      </w:r>
      <w:commentRangeStart w:id="11"/>
      <w:r>
        <w:rPr/>
        <w:t xml:space="preserve">for example through job loss, </w:t>
      </w:r>
      <w:r>
        <w:rPr/>
      </w:r>
      <w:commentRangeEnd w:id="11"/>
      <w:r>
        <w:commentReference w:id="11"/>
      </w:r>
      <w:r>
        <w:rPr/>
        <w:t xml:space="preserve">should be roughly the same in both the treatment and the control group. </w:t>
      </w:r>
    </w:p>
    <w:p>
      <w:pPr>
        <w:pStyle w:val="Normal"/>
        <w:spacing w:lineRule="auto" w:line="360"/>
        <w:jc w:val="both"/>
        <w:rPr/>
      </w:pPr>
      <w:r>
        <w:rP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perfect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w:t>
      </w:r>
      <w:r>
        <w:rPr/>
        <w:t xml:space="preserve">The assumption that characteristics are equally distributed between the control and treatment group in the pre- and posttreatment period is also tested in the robustness section. This test confirms the assumption. </w:t>
      </w:r>
      <w:r>
        <w:rPr/>
        <w:t xml:space="preserve"> Also, because the first group is bigger, the estimations should be better. For certainty, the second group is added which should show the same results as the first group.</w:t>
      </w:r>
    </w:p>
    <w:p>
      <w:pPr>
        <w:pStyle w:val="Normal"/>
        <w:spacing w:lineRule="auto" w:line="360"/>
        <w:jc w:val="both"/>
        <w:rPr/>
      </w:pPr>
      <w:r>
        <w:rPr/>
        <w:tab/>
        <w:tab/>
      </w:r>
    </w:p>
    <w:p>
      <w:pPr>
        <w:pStyle w:val="Normal"/>
        <w:spacing w:lineRule="auto" w:line="360"/>
        <w:jc w:val="both"/>
        <w:rPr/>
      </w:pPr>
      <w:r>
        <w:rPr/>
        <w:t>The following regression model will be used for the difference in difference analysis:</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spacing w:lineRule="auto" w:line="360"/>
        <w:jc w:val="both"/>
        <w:rPr/>
      </w:pPr>
      <w:r>
        <w:rPr/>
      </w:r>
    </w:p>
    <w:p>
      <w:pPr>
        <w:pStyle w:val="Normal"/>
        <w:spacing w:lineRule="auto" w:line="360"/>
        <w:jc w:val="both"/>
        <w:rPr/>
      </w:pPr>
      <w:r>
        <w:rPr/>
        <w:t>Where</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oMath>
      <w:r>
        <w:rPr/>
        <w:t xml:space="preserve"> is whether or not person i is healthy or not in period t.  Time is whether an observation is pre or post treatment. Treated is whether a person is in the treatment or control group and Time * Diff is the difference in change over time. If the Time * Diff coefficient is statistically different from zero, there is an effect from the treatment on the dependent variable. The coefficients will be estimated with an OLS regression.</w:t>
      </w:r>
    </w:p>
    <w:p>
      <w:pPr>
        <w:pStyle w:val="Normal"/>
        <w:spacing w:lineRule="auto" w:line="360"/>
        <w:jc w:val="both"/>
        <w:rPr/>
      </w:pPr>
      <w:r>
        <w:rPr/>
        <w:tab/>
        <w:t>Therefore the hypotheses are:</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2</w:t>
            </w:r>
            <w:r>
              <w:fldChar w:fldCharType="end"/>
            </w:r>
            <w:r>
              <w:rPr/>
              <w:t>)</w:t>
            </w:r>
          </w:p>
        </w:tc>
      </w:tr>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3</w:t>
            </w:r>
            <w:r>
              <w:fldChar w:fldCharType="end"/>
            </w:r>
            <w:r>
              <w:rPr/>
              <w:t>)</w:t>
            </w:r>
          </w:p>
        </w:tc>
      </w:tr>
    </w:tbl>
    <w:p>
      <w:pPr>
        <w:pStyle w:val="Normal"/>
        <w:spacing w:lineRule="auto" w:line="360"/>
        <w:jc w:val="both"/>
        <w:rPr/>
      </w:pPr>
      <w:r>
        <w:rPr/>
        <w:t xml:space="preserve">More specifically,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 xml:space="preserve"> is expected to be smaller than zero in the 2007 – 2013 regression since the housing prices decreased in this period and the health of the treatment group should therefore decrease more than the health of the control group.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 xml:space="preserve"> is expected to be greater than 0 in the 2013 – 2017 regression since the housing prices increased in this period and the health of the treatment group should therefore have increased more than the health of the control group.</w:t>
      </w:r>
    </w:p>
    <w:p>
      <w:pPr>
        <w:pStyle w:val="Normal"/>
        <w:spacing w:lineRule="auto" w:line="360"/>
        <w:ind w:firstLine="720"/>
        <w:jc w:val="both"/>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(1) or the control group, i.e., tenants(0) and the period </w:t>
      </w:r>
      <w:r>
        <w:rPr>
          <w:i/>
        </w:rPr>
        <w:t xml:space="preserve">i </w:t>
      </w:r>
      <w:r>
        <w:rPr/>
        <w:t xml:space="preserve">is either before (0) or after the treatment (1). </w:t>
      </w:r>
    </w:p>
    <w:p>
      <w:pPr>
        <w:pStyle w:val="Normal"/>
        <w:spacing w:lineRule="auto" w:line="360"/>
        <w:jc w:val="both"/>
        <w:rPr/>
      </w:pPr>
      <w:r>
        <w:rPr/>
        <w:tab/>
        <w:t>Assume that:</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eqArr>
                <m:e>
                  <m:sSub>
                    <m:e>
                      <m:r>
                        <w:rPr>
                          <w:rFonts w:ascii="Cambria Math" w:hAnsi="Cambria Math"/>
                        </w:rPr>
                        <m:t xml:space="preserve">Y</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e>
              </m:eqArr>
            </m:oMath>
            <w:r>
              <w:rPr/>
              <w:t>.</w:t>
            </w:r>
          </w:p>
          <w:p>
            <w:pPr>
              <w:pStyle w:val="Normal"/>
              <w:spacing w:lineRule="auto" w:line="360"/>
              <w:jc w:val="both"/>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4</w:t>
            </w:r>
            <w:r>
              <w:fldChar w:fldCharType="end"/>
            </w:r>
            <w:r>
              <w:rPr/>
              <w:t>)</w:t>
            </w:r>
          </w:p>
        </w:tc>
      </w:tr>
    </w:tbl>
    <w:p>
      <w:pPr>
        <w:pStyle w:val="Normal"/>
        <w:spacing w:lineRule="auto" w:line="360"/>
        <w:jc w:val="both"/>
        <w:rPr/>
      </w:pPr>
      <w:r>
        <w:rPr/>
        <w:t>Equation 4 tells us that in absence of the sudden changes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spacing w:lineRule="auto" w:line="360"/>
        <w:jc w:val="both"/>
        <w:rPr/>
      </w:pPr>
      <w:r>
        <w:rPr/>
        <w:tab/>
        <w:t xml:space="preserve">Let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be a dummy for the interaction between home-owners and the period.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spacing w:lineRule="auto" w:line="360"/>
              <w:jc w:val="both"/>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spacing w:lineRule="auto" w:line="360"/>
        <w:jc w:val="both"/>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we get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spacing w:lineRule="auto" w:line="360"/>
        <w:jc w:val="both"/>
        <w:rPr/>
      </w:pPr>
      <w:r>
        <w:rPr/>
        <w:t>Therefore we get</w:t>
      </w:r>
    </w:p>
    <w:tbl>
      <w:tblPr>
        <w:tblStyle w:val="TableGrid"/>
        <w:tblW w:w="4950" w:type="pct"/>
        <w:jc w:val="left"/>
        <w:tblInd w:w="0" w:type="dxa"/>
        <w:tblCellMar>
          <w:top w:w="0" w:type="dxa"/>
          <w:left w:w="143"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10" w:type="dxa"/>
            <w:tcBorders>
              <w:top w:val="nil"/>
              <w:left w:val="nil"/>
              <w:bottom w:val="nil"/>
              <w:right w:val="nil"/>
              <w:insideH w:val="nil"/>
              <w:insideV w:val="nil"/>
            </w:tcBorders>
            <w:shd w:color="auto" w:fill="auto" w:val="clear"/>
          </w:tcPr>
          <w:p>
            <w:pPr>
              <w:pStyle w:val="Normal"/>
              <w:spacing w:lineRule="auto" w:line="360"/>
              <w:jc w:val="both"/>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6</w:t>
            </w:r>
            <w:r>
              <w:fldChar w:fldCharType="end"/>
            </w:r>
            <w:r>
              <w:rPr/>
              <w:t>)</w:t>
            </w:r>
          </w:p>
        </w:tc>
      </w:tr>
    </w:tbl>
    <w:p>
      <w:pPr>
        <w:pStyle w:val="Normal"/>
        <w:spacing w:lineRule="auto" w:line="360"/>
        <w:jc w:val="both"/>
        <w:rPr/>
      </w:pPr>
      <w:r>
        <w:rPr/>
        <w:t>and</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7</w:t>
            </w:r>
            <w:r>
              <w:fldChar w:fldCharType="end"/>
            </w:r>
            <w:r>
              <w:rPr/>
              <w:t>)</w:t>
            </w:r>
          </w:p>
        </w:tc>
      </w:tr>
    </w:tbl>
    <w:p>
      <w:pPr>
        <w:pStyle w:val="Normal"/>
        <w:spacing w:lineRule="auto" w:line="360"/>
        <w:jc w:val="both"/>
        <w:rPr/>
      </w:pPr>
      <w:r>
        <w:rPr/>
        <w:t>Therefore, the population difference in differences is:</w:t>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8</w:t>
            </w:r>
            <w:r>
              <w:fldChar w:fldCharType="end"/>
            </w:r>
            <w:r>
              <w:rPr/>
              <w:t>)</w:t>
            </w:r>
          </w:p>
        </w:tc>
      </w:tr>
    </w:tbl>
    <w:p>
      <w:pPr>
        <w:pStyle w:val="Normal"/>
        <w:spacing w:lineRule="auto" w:line="360"/>
        <w:jc w:val="both"/>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in the following way:</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9</w:t>
            </w:r>
            <w:r>
              <w:fldChar w:fldCharType="end"/>
            </w:r>
            <w:r>
              <w:rPr/>
              <w:t>)</w:t>
            </w:r>
          </w:p>
        </w:tc>
      </w:tr>
    </w:tbl>
    <w:p>
      <w:pPr>
        <w:pStyle w:val="Normal"/>
        <w:spacing w:lineRule="auto" w:line="360"/>
        <w:jc w:val="both"/>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10</w:t>
            </w:r>
            <w:r>
              <w:fldChar w:fldCharType="end"/>
            </w:r>
            <w:r>
              <w:rPr/>
              <w:t>)</w:t>
            </w:r>
          </w:p>
          <w:p>
            <w:pPr>
              <w:pStyle w:val="Normal"/>
              <w:spacing w:lineRule="auto" w:line="360"/>
              <w:jc w:val="both"/>
              <w:rPr/>
            </w:pPr>
            <w:r>
              <w:rPr/>
            </w:r>
          </w:p>
        </w:tc>
      </w:tr>
    </w:tbl>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11</w:t>
            </w:r>
            <w:r>
              <w:fldChar w:fldCharType="end"/>
            </w:r>
            <w:r>
              <w:rPr/>
              <w:t>)</w:t>
            </w:r>
          </w:p>
        </w:tc>
      </w:tr>
    </w:tbl>
    <w:p>
      <w:pPr>
        <w:pStyle w:val="Normal"/>
        <w:spacing w:lineRule="auto" w:line="360"/>
        <w:jc w:val="both"/>
        <w:rPr/>
      </w:pPr>
      <w:r>
        <w:rPr/>
      </w:r>
    </w:p>
    <w:p>
      <w:pPr>
        <w:pStyle w:val="Normal"/>
        <w:spacing w:lineRule="auto" w:line="360"/>
        <w:jc w:val="both"/>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spacing w:lineRule="auto" w:line="360"/>
        <w:jc w:val="both"/>
        <w:rPr/>
      </w:pPr>
      <w:r>
        <w:rPr/>
      </w:r>
    </w:p>
    <w:tbl>
      <w:tblPr>
        <w:tblStyle w:val="TableGrid"/>
        <w:tblW w:w="5000" w:type="pct"/>
        <w:jc w:val="left"/>
        <w:tblInd w:w="0" w:type="dxa"/>
        <w:tblCellMar>
          <w:top w:w="0" w:type="dxa"/>
          <w:left w:w="143" w:type="dxa"/>
          <w:bottom w:w="0" w:type="dxa"/>
          <w:right w:w="108" w:type="dxa"/>
        </w:tblCellMar>
        <w:tblLook w:val="04a0" w:noVBand="1" w:noHBand="0" w:lastColumn="0" w:firstColumn="1" w:lastRow="0" w:firstRow="1"/>
      </w:tblPr>
      <w:tblGrid>
        <w:gridCol w:w="668"/>
        <w:gridCol w:w="8291"/>
        <w:gridCol w:w="679"/>
      </w:tblGrid>
      <w:tr>
        <w:trPr/>
        <w:tc>
          <w:tcPr>
            <w:tcW w:w="668" w:type="dxa"/>
            <w:tcBorders>
              <w:top w:val="nil"/>
              <w:left w:val="nil"/>
              <w:bottom w:val="nil"/>
              <w:right w:val="nil"/>
              <w:insideH w:val="nil"/>
              <w:insideV w:val="nil"/>
            </w:tcBorders>
            <w:shd w:color="auto" w:fill="auto" w:val="clear"/>
          </w:tcPr>
          <w:p>
            <w:pPr>
              <w:pStyle w:val="Normal"/>
              <w:spacing w:lineRule="auto" w:line="360"/>
              <w:jc w:val="both"/>
              <w:rPr/>
            </w:pPr>
            <w:r>
              <w:rPr/>
            </w:r>
          </w:p>
        </w:tc>
        <w:tc>
          <w:tcPr>
            <w:tcW w:w="8291"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p>
        </w:tc>
        <w:tc>
          <w:tcPr>
            <w:tcW w:w="679" w:type="dxa"/>
            <w:tcBorders>
              <w:top w:val="nil"/>
              <w:left w:val="nil"/>
              <w:bottom w:val="nil"/>
              <w:right w:val="nil"/>
              <w:insideH w:val="nil"/>
              <w:insideV w:val="nil"/>
            </w:tcBorders>
            <w:shd w:color="auto" w:fill="auto" w:val="clear"/>
          </w:tcPr>
          <w:p>
            <w:pPr>
              <w:pStyle w:val="Normal"/>
              <w:spacing w:lineRule="auto" w:line="360"/>
              <w:jc w:val="both"/>
              <w:rPr/>
            </w:pPr>
            <w:r>
              <w:rPr/>
              <w:t>(</w:t>
            </w:r>
            <w:r>
              <w:rPr/>
              <w:fldChar w:fldCharType="begin"/>
            </w:r>
            <w:r>
              <w:instrText> SEQ Equation \* ARABIC </w:instrText>
            </w:r>
            <w:r>
              <w:fldChar w:fldCharType="separate"/>
            </w:r>
            <w:r>
              <w:t>12</w:t>
            </w:r>
            <w:r>
              <w:fldChar w:fldCharType="end"/>
            </w:r>
            <w:r>
              <w:rPr/>
              <w:t>)</w:t>
            </w:r>
          </w:p>
        </w:tc>
      </w:tr>
    </w:tbl>
    <w:p>
      <w:pPr>
        <w:pStyle w:val="Normal"/>
        <w:spacing w:lineRule="auto" w:line="360"/>
        <w:jc w:val="both"/>
        <w:rPr/>
      </w:pPr>
      <w:r>
        <w:rPr/>
        <w:t>So this is the difference in differences between average health before and after the treatment of the home owners and the tenants.</w:t>
      </w:r>
    </w:p>
    <w:p>
      <w:pPr>
        <w:pStyle w:val="Heading3"/>
        <w:rPr/>
      </w:pPr>
      <w:r>
        <w:rPr/>
        <w:t>Extra  characteristic variables</w:t>
      </w:r>
    </w:p>
    <w:p>
      <w:pPr>
        <w:pStyle w:val="Normal"/>
        <w:spacing w:lineRule="auto" w:line="360"/>
        <w:jc w:val="both"/>
        <w:rPr/>
      </w:pPr>
      <w:r>
        <w:rPr/>
        <w:tab/>
        <w:t>Because characteristics could differ and therefore explain some of the variation in health in the first group (i.e. all the observations) an extra regression on that group will be run which includes some extra variables. The extra variables are net income, education, unemployed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p>
      <w:pPr>
        <w:pStyle w:val="Normal"/>
        <w:spacing w:lineRule="auto" w:line="360"/>
        <w:jc w:val="both"/>
        <w:rPr/>
      </w:pPr>
      <w:r>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represents the extra coefficients. Net income is the net income reported by the data set in the aggregated income dataset. Education is a dummy variable where 1 represents highly educated and 0 not highly educated. Highly educated are people who have finished an education at the HBO level or university. Unemployed is also a dummy variable where 1 means unemployed and 0 means not unemployed. People who are unemployed are people who are looking for a job because they lost their last job or a looking for a job for the first time. Gender is a dummy variable as well where 1 represents male and 0 represent female.</w:t>
      </w:r>
    </w:p>
    <w:p>
      <w:pPr>
        <w:pStyle w:val="Heading3"/>
        <w:rPr/>
      </w:pPr>
      <w:r>
        <w:rPr/>
        <w:t>Fixed effects</w:t>
      </w:r>
    </w:p>
    <w:p>
      <w:pPr>
        <w:pStyle w:val="Normal"/>
        <w:spacing w:lineRule="auto" w:line="360"/>
        <w:jc w:val="both"/>
        <w:rPr/>
      </w:pPr>
      <w:r>
        <w:rPr/>
        <w:tab/>
        <w:t>To control for unobserved heterogeneity caused by time invariant characteristics (gender for example) in the same persons group, a fixed effects model is used. By using the fixed effect model, the time invariant characteristics of an individual that influence health are controlled for and therefore this model might produce better estimates. The model here is:</w:t>
      </w:r>
    </w:p>
    <w:p>
      <w:pPr>
        <w:pStyle w:val="Normal"/>
        <w:spacing w:lineRule="auto" w:line="360"/>
        <w:jc w:val="both"/>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t</m:t>
            </m:r>
          </m:sub>
        </m:sSub>
        <m:sSub>
          <m:e/>
          <m:sub/>
        </m:sSub>
        <m:sSub>
          <m:e/>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p>
      <w:pPr>
        <w:pStyle w:val="Normal"/>
        <w:spacing w:lineRule="auto" w:line="360"/>
        <w:jc w:val="both"/>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t xml:space="preserve"> is the individuals intercept. This will cancel out in the fixed effects model regression, therefore reducing the error term.</w:t>
      </w:r>
    </w:p>
    <w:p>
      <w:pPr>
        <w:pStyle w:val="Normal"/>
        <w:spacing w:lineRule="auto" w:line="360"/>
        <w:jc w:val="both"/>
        <w:rPr/>
      </w:pPr>
      <w:r>
        <w:rPr/>
      </w:r>
    </w:p>
    <w:p>
      <w:pPr>
        <w:pStyle w:val="Heading2"/>
        <w:rPr/>
      </w:pPr>
      <w:r>
        <w:rPr/>
        <w:t>Health transitions</w:t>
      </w:r>
    </w:p>
    <w:p>
      <w:pPr>
        <w:pStyle w:val="Normal"/>
        <w:spacing w:lineRule="auto" w:line="360"/>
        <w:rPr/>
      </w:pPr>
      <w:r>
        <w:rPr/>
        <w:t xml:space="preserve">Thirdly, this paper uses an analysis which uses health transitions rather than health status. This method is based off the method used by Cai (2009). By focusing on health transitions the endogeneity between health and wealth is avoided. The transitions are measured between the same years which are used in the DD analysis. Therefore, there is one analysis which focusses on the transition between 2007 and 2013 and analysis which focusses on the transition between 2013 and 2017. This paper uses negative health transitions where a negative health transition is defined as the decrease in self-assessed health scale. People got to pick from </w:t>
      </w:r>
      <w:r>
        <w:rPr>
          <w:i/>
        </w:rPr>
        <w:t xml:space="preserve">excellent, good, fair, not so good </w:t>
      </w:r>
      <w:r>
        <w:rPr/>
        <w:t xml:space="preserve">and </w:t>
      </w:r>
      <w:r>
        <w:rPr>
          <w:i/>
        </w:rPr>
        <w:t>poor</w:t>
      </w:r>
      <w:r>
        <w:rPr/>
        <w:t xml:space="preserve"> health which is the ordered form best to worst health.  Only negative transitions are taken in account since 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pPr>
        <w:pStyle w:val="Normal"/>
        <w:spacing w:lineRule="auto" w:line="360"/>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net</m:t>
            </m:r>
          </m:e>
          <m:sub>
            <m:r>
              <w:rPr>
                <w:rFonts w:ascii="Cambria Math" w:hAnsi="Cambria Math"/>
              </w:rPr>
              <m:t xml:space="preserve">weal</m:t>
            </m:r>
          </m:sub>
        </m:sSub>
        <m:sSub>
          <m:e>
            <m:r>
              <w:rPr>
                <w:rFonts w:ascii="Cambria Math" w:hAnsi="Cambria Math"/>
              </w:rPr>
              <m:t xml:space="preserve">th</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m:t>
            </m:r>
          </m:sub>
        </m:sSub>
      </m:oMath>
    </w:p>
    <w:p>
      <w:pPr>
        <w:pStyle w:val="Normal"/>
        <w:spacing w:lineRule="auto" w:line="360"/>
        <w:rPr/>
      </w:pPr>
      <w:r>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is whether or not a person decreased in health scale. </w:t>
      </w:r>
      <w:r>
        <w:rPr/>
      </w:r>
      <m:oMath xmlns:m="http://schemas.openxmlformats.org/officeDocument/2006/math">
        <m:sSub>
          <m:e>
            <m:sSub>
              <m:e>
                <m:r>
                  <w:rPr>
                    <w:rFonts w:ascii="Cambria Math" w:hAnsi="Cambria Math"/>
                  </w:rPr>
                  <m:t xml:space="preserve">Net</m:t>
                </m:r>
              </m:e>
              <m:sub>
                <m:r>
                  <w:rPr>
                    <w:rFonts w:ascii="Cambria Math" w:hAnsi="Cambria Math"/>
                  </w:rPr>
                  <m:t xml:space="preserve">wealth</m:t>
                </m:r>
              </m:sub>
            </m:sSub>
          </m:e>
          <m:sub>
            <m:r>
              <w:rPr>
                <w:rFonts w:ascii="Cambria Math" w:hAnsi="Cambria Math"/>
              </w:rPr>
              <m:t xml:space="preserve">io</m:t>
            </m:r>
          </m:sub>
        </m:sSub>
      </m:oMath>
      <w:r>
        <w:rPr/>
        <w:t xml:space="preserve"> stands for the net wealth of person i in the base year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are different characteristics of person i. The coefficients will be estimated by an OLS regression.</w:t>
      </w:r>
    </w:p>
    <w:p>
      <w:pPr>
        <w:pStyle w:val="Normal"/>
        <w:rPr/>
      </w:pPr>
      <w:r>
        <w:rPr/>
      </w:r>
    </w:p>
    <w:p>
      <w:pPr>
        <w:pStyle w:val="Normal"/>
        <w:rPr/>
      </w:pPr>
      <w:r>
        <w:rPr/>
      </w:r>
    </w:p>
    <w:p>
      <w:pPr>
        <w:pStyle w:val="Normal"/>
        <w:spacing w:lineRule="auto" w:line="360"/>
        <w:jc w:val="both"/>
        <w:rPr>
          <w:b/>
          <w:b/>
          <w:sz w:val="28"/>
          <w:szCs w:val="28"/>
        </w:rPr>
      </w:pPr>
      <w:r>
        <w:rPr>
          <w:b/>
          <w:sz w:val="28"/>
          <w:szCs w:val="28"/>
        </w:rPr>
      </w:r>
    </w:p>
    <w:p>
      <w:pPr>
        <w:pStyle w:val="Heading1"/>
        <w:rPr/>
      </w:pPr>
      <w:r>
        <w:rPr>
          <w:rStyle w:val="Heading1Char"/>
          <w:b/>
          <w:bCs/>
        </w:rPr>
        <w:t>Results</w:t>
      </w:r>
      <w:r>
        <w:rPr/>
        <w:t>:</w:t>
      </w:r>
    </w:p>
    <w:p>
      <w:pPr>
        <w:pStyle w:val="Normal"/>
        <w:spacing w:lineRule="auto" w:line="360"/>
        <w:jc w:val="both"/>
        <w:rPr>
          <w:b/>
          <w:b/>
        </w:rPr>
      </w:pPr>
      <w:r>
        <w:rPr>
          <w:b/>
        </w:rPr>
      </w:r>
    </w:p>
    <w:p>
      <w:pPr>
        <w:pStyle w:val="Heading2"/>
        <w:rPr/>
      </w:pPr>
      <w:r>
        <w:rPr/>
        <w:t>Basic OLS results</w:t>
      </w:r>
    </w:p>
    <w:p>
      <w:pPr>
        <w:pStyle w:val="Normal"/>
        <w:spacing w:lineRule="auto" w:line="360"/>
        <w:jc w:val="both"/>
        <w:rPr/>
      </w:pPr>
      <w:r>
        <w:rPr/>
        <w:t>A simple OLS regression was conducted first to check whether or not there exists a correlation between health  and health in this dataset. With the simple model:</w:t>
      </w:r>
    </w:p>
    <w:p>
      <w:pPr>
        <w:pStyle w:val="Normal"/>
        <w:spacing w:lineRule="auto" w:line="360"/>
        <w:jc w:val="both"/>
        <w:rPr/>
      </w:pPr>
      <w:r>
        <w:rPr/>
      </w:r>
      <m:oMath xmlns:m="http://schemas.openxmlformats.org/officeDocument/2006/math">
        <m:r>
          <w:rPr>
            <w:rFonts w:ascii="Cambria Math" w:hAnsi="Cambria Math"/>
          </w:rPr>
          <m:t xml:space="preserve">Healt</m:t>
        </m:r>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m:t>
        </m:r>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m:t>
            </m:r>
          </m:sub>
        </m:sSub>
      </m:oMath>
    </w:p>
    <w:p>
      <w:pPr>
        <w:pStyle w:val="Normal"/>
        <w:spacing w:lineRule="auto" w:line="360"/>
        <w:jc w:val="both"/>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a possible causal effect. </w:t>
      </w:r>
    </w:p>
    <w:p>
      <w:pPr>
        <w:pStyle w:val="Normal"/>
        <w:spacing w:lineRule="auto" w:line="36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jc w:val="both"/>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360" w:before="0" w:after="0"/>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jc w:val="both"/>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jc w:val="both"/>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jc w:val="both"/>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spacing w:lineRule="auto" w:line="360"/>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Caption2"/>
        <w:spacing w:lineRule="auto" w:line="360"/>
        <w:jc w:val="both"/>
        <w:rPr/>
      </w:pPr>
      <w:r>
        <w:rPr/>
      </w:r>
    </w:p>
    <w:p>
      <w:pPr>
        <w:pStyle w:val="Heading2"/>
        <w:rPr/>
      </w:pPr>
      <w:r>
        <w:rPr/>
        <w:t>Difference in Differences Analysis</w:t>
      </w:r>
    </w:p>
    <w:p>
      <w:pPr>
        <w:pStyle w:val="Normal"/>
        <w:spacing w:lineRule="auto" w:line="360"/>
        <w:jc w:val="both"/>
        <w:rPr/>
      </w:pPr>
      <w:r>
        <w:rPr/>
        <w:t xml:space="preserve">As pointed out before in this paper, endogeneity is a problem when considering the causality of the effect of wealth on health. This study conducted a number of DID analyses to try to find a causal effect in the short-term of wealth on health. The first analyses the short term effects of wealth on health. It uses the waves from 2007 and 2013. The second analysis also analyses the short-term effect by using the 2013 and 2017 waves. The variable of interest is DID. If this variable is significant there is a significant difference in differences and therefore implies a causal effect from wealth to health. </w:t>
      </w:r>
    </w:p>
    <w:p>
      <w:pPr>
        <w:pStyle w:val="Normal"/>
        <w:spacing w:lineRule="auto" w:line="360"/>
        <w:ind w:firstLine="720"/>
        <w:jc w:val="both"/>
        <w:rPr/>
      </w:pPr>
      <w:r>
        <w:rPr/>
        <w:t>The results from the analyses on the first group, i.e. all the observations, can be seen in table 7. The 2007 – 2013 regression does not have a significant DID. The 2013 – 2017 regression does have a significant (p &lt; 5%) DID coefficient.</w:t>
      </w:r>
    </w:p>
    <w:p>
      <w:pPr>
        <w:pStyle w:val="Normal"/>
        <w:spacing w:lineRule="auto" w:line="360"/>
        <w:ind w:firstLine="720"/>
        <w:jc w:val="both"/>
        <w:rPr/>
      </w:pPr>
      <w:r>
        <w:rP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w:t>
      </w:r>
    </w:p>
    <w:p>
      <w:pPr>
        <w:pStyle w:val="Normal"/>
        <w:spacing w:lineRule="auto" w:line="360"/>
        <w:jc w:val="both"/>
        <w:rPr/>
      </w:pPr>
      <w:r>
        <w:rPr/>
        <w:tab/>
        <w:t xml:space="preserve">When controlling for the other variables the significance of the DID coefficients that was significant disappears. </w:t>
      </w:r>
      <w:commentRangeStart w:id="12"/>
      <w:r>
        <w:rPr/>
        <w:t>Net income is however significant (p &lt; 1%) which could imply that the variation in health is caused by net income rather than the change in housing prices caused by the financial crisis</w:t>
      </w:r>
      <w:r>
        <w:rPr/>
      </w:r>
      <w:commentRangeEnd w:id="12"/>
      <w:r>
        <w:commentReference w:id="12"/>
      </w:r>
      <w:r>
        <w:rPr/>
        <w:t>. Because the DID coefficient is insignificant in both years, this implies that there is no causal relationship between wealth and health in this group.</w:t>
      </w:r>
    </w:p>
    <w:p>
      <w:pPr>
        <w:pStyle w:val="Caption2"/>
        <w:keepNext/>
        <w:spacing w:lineRule="auto" w:line="36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6084" w:type="dxa"/>
        <w:jc w:val="center"/>
        <w:tblInd w:w="0"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159"/>
        <w:gridCol w:w="278"/>
        <w:gridCol w:w="885"/>
        <w:gridCol w:w="278"/>
        <w:gridCol w:w="867"/>
        <w:gridCol w:w="117"/>
        <w:gridCol w:w="175"/>
        <w:gridCol w:w="1164"/>
        <w:gridCol w:w="1161"/>
      </w:tblGrid>
      <w:tr>
        <w:trPr>
          <w:trHeight w:val="255" w:hRule="atLeast"/>
        </w:trPr>
        <w:tc>
          <w:tcPr>
            <w:tcW w:w="1437" w:type="dxa"/>
            <w:gridSpan w:val="2"/>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3" w:type="dxa"/>
            <w:gridSpan w:val="2"/>
            <w:tcBorders>
              <w:top w:val="single" w:sz="4" w:space="0" w:color="000001"/>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59" w:type="dxa"/>
            <w:gridSpan w:val="3"/>
            <w:tcBorders>
              <w:top w:val="single" w:sz="4" w:space="0" w:color="000001"/>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c>
          <w:tcPr>
            <w:tcW w:w="1164"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2007- 2013</w:t>
            </w:r>
          </w:p>
        </w:tc>
        <w:tc>
          <w:tcPr>
            <w:tcW w:w="1161"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r>
      <w:tr>
        <w:trPr>
          <w:trHeight w:val="255" w:hRule="atLeast"/>
        </w:trPr>
        <w:tc>
          <w:tcPr>
            <w:tcW w:w="1437" w:type="dxa"/>
            <w:gridSpan w:val="2"/>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3" w:type="dxa"/>
            <w:gridSpan w:val="2"/>
            <w:tcBorders>
              <w:left w:val="single" w:sz="4" w:space="0" w:color="00000A"/>
              <w:bottom w:val="single" w:sz="4" w:space="0" w:color="00000A"/>
              <w:insideH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3"/>
            <w:tcBorders>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4" w:type="dxa"/>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1" w:type="dxa"/>
            <w:tcBorders>
              <w:bottom w:val="single" w:sz="4" w:space="0" w:color="00000A"/>
              <w:insideH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ins w:id="22" w:author="Simon ter Meulen" w:date="2019-01-25T10:18:00Z"/>
          <w:trHeight w:val="255" w:hRule="atLeast"/>
        </w:trPr>
        <w:tc>
          <w:tcPr>
            <w:tcW w:w="1437" w:type="dxa"/>
            <w:gridSpan w:val="2"/>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3" w:author="Simon ter Meulen" w:date="2019-01-25T10:18:00Z">
              <w:r>
                <w:rPr>
                  <w:rFonts w:eastAsia="Times New Roman" w:cs="Times New Roman" w:ascii="Calibri" w:hAnsi="Calibri"/>
                  <w:sz w:val="20"/>
                  <w:szCs w:val="20"/>
                  <w:lang w:eastAsia="en-US" w:bidi="ar-SA"/>
                </w:rPr>
                <w:t>Treated</w:t>
              </w:r>
            </w:ins>
          </w:p>
        </w:tc>
        <w:tc>
          <w:tcPr>
            <w:tcW w:w="1163" w:type="dxa"/>
            <w:gridSpan w:val="2"/>
            <w:tcBorders>
              <w:top w:val="single" w:sz="4" w:space="0" w:color="00000A"/>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ins w:id="24" w:author="Simon ter Meulen" w:date="2019-01-25T10:18:00Z">
              <w:r>
                <w:rPr>
                  <w:rFonts w:eastAsia="Times New Roman" w:cs="Times New Roman" w:ascii="Calibri" w:hAnsi="Calibri"/>
                  <w:sz w:val="20"/>
                  <w:szCs w:val="20"/>
                  <w:lang w:eastAsia="en-US" w:bidi="ar-SA"/>
                </w:rPr>
                <w:t>0.0190**</w:t>
              </w:r>
            </w:ins>
          </w:p>
        </w:tc>
        <w:tc>
          <w:tcPr>
            <w:tcW w:w="1159" w:type="dxa"/>
            <w:gridSpan w:val="3"/>
            <w:tcBorders>
              <w:top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ins w:id="25" w:author="Simon ter Meulen" w:date="2019-01-25T10:18:00Z">
              <w:r>
                <w:rPr>
                  <w:rFonts w:eastAsia="Times New Roman" w:cs="Times New Roman" w:ascii="Calibri" w:hAnsi="Calibri"/>
                  <w:sz w:val="20"/>
                  <w:szCs w:val="20"/>
                  <w:lang w:eastAsia="en-US" w:bidi="ar-SA"/>
                </w:rPr>
                <w:t>0.0078</w:t>
              </w:r>
            </w:ins>
          </w:p>
        </w:tc>
        <w:tc>
          <w:tcPr>
            <w:tcW w:w="1164" w:type="dxa"/>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6" w:author="Simon ter Meulen" w:date="2019-01-25T10:18:00Z">
              <w:r>
                <w:rPr>
                  <w:rFonts w:eastAsia="Times New Roman" w:cs="Times New Roman" w:ascii="Calibri" w:hAnsi="Calibri"/>
                  <w:sz w:val="20"/>
                  <w:szCs w:val="20"/>
                  <w:lang w:eastAsia="en-US" w:bidi="ar-SA"/>
                </w:rPr>
                <w:t>0.0173</w:t>
              </w:r>
            </w:ins>
          </w:p>
        </w:tc>
        <w:tc>
          <w:tcPr>
            <w:tcW w:w="1161" w:type="dxa"/>
            <w:tcBorders>
              <w:top w:val="single" w:sz="4" w:space="0" w:color="00000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27" w:author="Simon ter Meulen" w:date="2019-01-25T10:18:00Z">
              <w:r>
                <w:rPr>
                  <w:rFonts w:eastAsia="Times New Roman" w:cs="Times New Roman" w:ascii="Calibri" w:hAnsi="Calibri"/>
                  <w:sz w:val="20"/>
                  <w:szCs w:val="20"/>
                  <w:lang w:eastAsia="en-US" w:bidi="ar-SA"/>
                </w:rPr>
                <w:t>0.0028</w:t>
              </w:r>
            </w:ins>
          </w:p>
        </w:tc>
      </w:tr>
      <w:tr>
        <w:trPr>
          <w:ins w:id="28" w:author="Simon ter Meulen" w:date="2019-01-25T10:18:00Z"/>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tcMar>
              <w:left w:w="88" w:type="dxa"/>
            </w:tcMar>
            <w:vAlign w:val="bottom"/>
          </w:tcPr>
          <w:p>
            <w:pPr>
              <w:pStyle w:val="Normal"/>
              <w:spacing w:lineRule="auto" w:line="360"/>
              <w:jc w:val="both"/>
              <w:rPr>
                <w:rFonts w:ascii="Calibri" w:hAnsi="Calibri" w:eastAsia="Times New Roman" w:cs="Times New Roman"/>
                <w:sz w:val="20"/>
                <w:szCs w:val="20"/>
                <w:lang w:eastAsia="en-US" w:bidi="ar-SA"/>
              </w:rPr>
            </w:pPr>
            <w:ins w:id="29" w:author="Simon ter Meulen" w:date="2019-01-25T10:18:00Z">
              <w:r>
                <w:rPr>
                  <w:rFonts w:eastAsia="Times New Roman" w:cs="Times New Roman" w:ascii="Calibri" w:hAnsi="Calibri"/>
                  <w:sz w:val="20"/>
                  <w:szCs w:val="20"/>
                  <w:lang w:eastAsia="en-US" w:bidi="ar-SA"/>
                </w:rPr>
                <w:t>(0.0096)</w:t>
              </w:r>
            </w:ins>
          </w:p>
        </w:tc>
        <w:tc>
          <w:tcPr>
            <w:tcW w:w="1159" w:type="dxa"/>
            <w:gridSpan w:val="3"/>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ins w:id="30" w:author="Simon ter Meulen" w:date="2019-01-25T10:18:00Z">
              <w:r>
                <w:rPr>
                  <w:rFonts w:eastAsia="Times New Roman" w:cs="Times New Roman" w:ascii="Calibri" w:hAnsi="Calibri"/>
                  <w:sz w:val="20"/>
                  <w:szCs w:val="20"/>
                  <w:lang w:eastAsia="en-US" w:bidi="ar-SA"/>
                </w:rPr>
                <w:t>(0.0108)</w:t>
              </w:r>
            </w:ins>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31" w:author="Simon ter Meulen" w:date="2019-01-25T10:18:00Z">
              <w:r>
                <w:rPr>
                  <w:rFonts w:eastAsia="Times New Roman" w:cs="Times New Roman" w:ascii="Calibri" w:hAnsi="Calibri"/>
                  <w:sz w:val="20"/>
                  <w:szCs w:val="20"/>
                  <w:lang w:eastAsia="en-US" w:bidi="ar-SA"/>
                </w:rPr>
                <w:t>(0.0116)</w:t>
              </w:r>
            </w:ins>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ins w:id="32" w:author="Simon ter Meulen" w:date="2019-01-25T10:18:00Z">
              <w:r>
                <w:rPr>
                  <w:rFonts w:eastAsia="Times New Roman" w:cs="Times New Roman" w:ascii="Calibri" w:hAnsi="Calibri"/>
                  <w:sz w:val="20"/>
                  <w:szCs w:val="20"/>
                  <w:lang w:eastAsia="en-US" w:bidi="ar-SA"/>
                </w:rPr>
                <w:t>(0.0123)</w:t>
              </w:r>
            </w:ins>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tcMar>
              <w:left w:w="8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-0.0112</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0.0234</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(0.0143)</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0.0026</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-0.0291***</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(0.0113)</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3" w:author="Simon ter Meulen" w:date="2019-01-25T10:18:00Z">
              <w:r>
                <w:rPr>
                  <w:rFonts w:eastAsia="Times New Roman" w:cs="Times New Roman" w:ascii="Calibri" w:hAnsi="Calibri"/>
                  <w:sz w:val="20"/>
                  <w:szCs w:val="20"/>
                  <w:lang w:eastAsia="en-US" w:bidi="ar-SA"/>
                </w:rPr>
                <w:delText>Treated</w:delText>
              </w:r>
            </w:del>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del w:id="34" w:author="Simon ter Meulen" w:date="2019-01-25T10:18:00Z">
              <w:r>
                <w:rPr>
                  <w:rFonts w:eastAsia="Times New Roman" w:cs="Times New Roman" w:ascii="Calibri" w:hAnsi="Calibri"/>
                  <w:sz w:val="20"/>
                  <w:szCs w:val="20"/>
                  <w:lang w:eastAsia="en-US" w:bidi="ar-SA"/>
                </w:rPr>
                <w:delText>0.0190**</w:delText>
              </w:r>
            </w:del>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del w:id="35" w:author="Simon ter Meulen" w:date="2019-01-25T10:18:00Z">
              <w:r>
                <w:rPr>
                  <w:rFonts w:eastAsia="Times New Roman" w:cs="Times New Roman" w:ascii="Calibri" w:hAnsi="Calibri"/>
                  <w:sz w:val="20"/>
                  <w:szCs w:val="20"/>
                  <w:lang w:eastAsia="en-US" w:bidi="ar-SA"/>
                </w:rPr>
                <w:delText>0.0078</w:delText>
              </w:r>
            </w:del>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6" w:author="Simon ter Meulen" w:date="2019-01-25T10:18:00Z">
              <w:r>
                <w:rPr>
                  <w:rFonts w:eastAsia="Times New Roman" w:cs="Times New Roman" w:ascii="Calibri" w:hAnsi="Calibri"/>
                  <w:sz w:val="20"/>
                  <w:szCs w:val="20"/>
                  <w:lang w:eastAsia="en-US" w:bidi="ar-SA"/>
                </w:rPr>
                <w:delText>0.0173</w:delText>
              </w:r>
            </w:del>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37" w:author="Simon ter Meulen" w:date="2019-01-25T10:18:00Z">
              <w:r>
                <w:rPr>
                  <w:rFonts w:eastAsia="Times New Roman" w:cs="Times New Roman" w:ascii="Calibri" w:hAnsi="Calibri"/>
                  <w:sz w:val="20"/>
                  <w:szCs w:val="20"/>
                  <w:lang w:eastAsia="en-US" w:bidi="ar-SA"/>
                </w:rPr>
                <w:delText>0.0028</w:delText>
              </w:r>
            </w:del>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del w:id="38" w:author="Simon ter Meulen" w:date="2019-01-25T10:18:00Z">
              <w:r>
                <w:rPr>
                  <w:rFonts w:eastAsia="Times New Roman" w:cs="Times New Roman" w:ascii="Calibri" w:hAnsi="Calibri"/>
                  <w:sz w:val="20"/>
                  <w:szCs w:val="20"/>
                  <w:lang w:eastAsia="en-US" w:bidi="ar-SA"/>
                </w:rPr>
                <w:delText>(0.0096)</w:delText>
              </w:r>
            </w:del>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del w:id="39" w:author="Simon ter Meulen" w:date="2019-01-25T10:18:00Z">
              <w:r>
                <w:rPr>
                  <w:rFonts w:eastAsia="Times New Roman" w:cs="Times New Roman" w:ascii="Calibri" w:hAnsi="Calibri"/>
                  <w:sz w:val="20"/>
                  <w:szCs w:val="20"/>
                  <w:lang w:eastAsia="en-US" w:bidi="ar-SA"/>
                </w:rPr>
                <w:delText>(0.0108)</w:delText>
              </w:r>
            </w:del>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40" w:author="Simon ter Meulen" w:date="2019-01-25T10:18:00Z">
              <w:r>
                <w:rPr>
                  <w:rFonts w:eastAsia="Times New Roman" w:cs="Times New Roman" w:ascii="Calibri" w:hAnsi="Calibri"/>
                  <w:sz w:val="20"/>
                  <w:szCs w:val="20"/>
                  <w:lang w:eastAsia="en-US" w:bidi="ar-SA"/>
                </w:rPr>
                <w:delText>(0.0116)</w:delText>
              </w:r>
            </w:del>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del w:id="41" w:author="Simon ter Meulen" w:date="2019-01-25T10:18:00Z">
              <w:r>
                <w:rPr>
                  <w:rFonts w:eastAsia="Times New Roman" w:cs="Times New Roman" w:ascii="Calibri" w:hAnsi="Calibri"/>
                  <w:sz w:val="20"/>
                  <w:szCs w:val="20"/>
                  <w:lang w:eastAsia="en-US" w:bidi="ar-SA"/>
                </w:rPr>
                <w:delText>(0.0123)</w:delText>
              </w:r>
            </w:del>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(0.0088)</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(0.0084)</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0.9513***</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0.9426***</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0.9450***</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(0.0065)</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(0.0076)</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(0.0087)</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(0.0097)</w:t>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3" w:type="dxa"/>
            <w:gridSpan w:val="2"/>
            <w:tcBorders>
              <w:left w:val="single" w:sz="4" w:space="0" w:color="00000A"/>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159" w:type="dxa"/>
            <w:gridSpan w:val="3"/>
            <w:tcBorders>
              <w:right w:val="single" w:sz="4" w:space="0" w:color="00000A"/>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37"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3" w:type="dxa"/>
            <w:gridSpan w:val="2"/>
            <w:tcBorders>
              <w:top w:val="single" w:sz="4" w:space="0" w:color="000001"/>
              <w:left w:val="single" w:sz="4" w:space="0" w:color="00000A"/>
              <w:bottom w:val="single" w:sz="4" w:space="0" w:color="000001"/>
              <w:insideH w:val="single" w:sz="4" w:space="0" w:color="000001"/>
            </w:tcBorders>
            <w:shd w:color="auto" w:fill="auto" w:val="clear"/>
            <w:tcMar>
              <w:left w:w="83"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0.0013</w:t>
            </w:r>
          </w:p>
        </w:tc>
        <w:tc>
          <w:tcPr>
            <w:tcW w:w="1159" w:type="dxa"/>
            <w:gridSpan w:val="3"/>
            <w:tcBorders>
              <w:top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0.0060</w:t>
            </w:r>
          </w:p>
        </w:tc>
        <w:tc>
          <w:tcPr>
            <w:tcW w:w="1164"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0.0046</w:t>
            </w:r>
          </w:p>
        </w:tc>
        <w:tc>
          <w:tcPr>
            <w:tcW w:w="1161"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r>
      <w:tr>
        <w:trPr>
          <w:trHeight w:val="255" w:hRule="atLeast"/>
        </w:trPr>
        <w:tc>
          <w:tcPr>
            <w:tcW w:w="1159"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2500"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467" w:type="dxa"/>
            <w:gridSpan w:val="5"/>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*p&lt;0.1</w:t>
            </w:r>
          </w:p>
        </w:tc>
        <w:tc>
          <w:tcPr>
            <w:tcW w:w="292"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3"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1"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2"/>
        <w:spacing w:lineRule="auto" w:line="360"/>
        <w:jc w:val="both"/>
        <w:rPr>
          <w:i w:val="false"/>
          <w:i w:val="false"/>
        </w:rPr>
      </w:pPr>
      <w:r>
        <w:rPr>
          <w:i w:val="false"/>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in this group. Even though the error term is smaller in the results of the fixed effects model, they DID coefficient is still not significant. </w:t>
      </w:r>
      <w:ins w:id="42" w:author="Simon ter Meulen" w:date="2019-01-25T10:36:00Z">
        <w:r>
          <w:rPr>
            <w:i w:val="false"/>
          </w:rPr>
          <w:t>Please theorize on why, with FE, the coefficients changes so much.</w:t>
        </w:r>
      </w:ins>
    </w:p>
    <w:p>
      <w:pPr>
        <w:pStyle w:val="Caption2"/>
        <w:keepNext/>
        <w:spacing w:lineRule="auto" w:line="360"/>
        <w:jc w:val="both"/>
        <w:rPr/>
      </w:pPr>
      <w:r>
        <w:rPr/>
        <w:t xml:space="preserve">Table </w:t>
      </w:r>
      <w:r>
        <w:rPr/>
        <w:fldChar w:fldCharType="begin"/>
      </w:r>
      <w:r>
        <w:instrText> SEQ Table \* ARABIC </w:instrText>
      </w:r>
      <w:r>
        <w:fldChar w:fldCharType="separate"/>
      </w:r>
      <w:r>
        <w:t>8</w:t>
      </w:r>
      <w:r>
        <w:fldChar w:fldCharType="end"/>
      </w:r>
      <w:r>
        <w:rPr/>
        <w:t>: DD results same persons</w:t>
      </w:r>
    </w:p>
    <w:tbl>
      <w:tblPr>
        <w:tblW w:w="6173" w:type="dxa"/>
        <w:jc w:val="center"/>
        <w:tblInd w:w="0" w:type="dxa"/>
        <w:tblBorders/>
        <w:tblCellMar>
          <w:top w:w="0" w:type="dxa"/>
          <w:left w:w="108" w:type="dxa"/>
          <w:bottom w:w="0" w:type="dxa"/>
          <w:right w:w="108" w:type="dxa"/>
        </w:tblCellMar>
        <w:tblLook w:val="04a0" w:noVBand="1" w:noHBand="0" w:lastColumn="0" w:firstColumn="1" w:lastRow="0" w:firstRow="1"/>
      </w:tblPr>
      <w:tblGrid>
        <w:gridCol w:w="93"/>
        <w:gridCol w:w="1347"/>
        <w:gridCol w:w="93"/>
        <w:gridCol w:w="1067"/>
        <w:gridCol w:w="93"/>
        <w:gridCol w:w="816"/>
        <w:gridCol w:w="250"/>
        <w:gridCol w:w="94"/>
        <w:gridCol w:w="1160"/>
        <w:gridCol w:w="1159"/>
      </w:tblGrid>
      <w:tr>
        <w:trPr>
          <w:trHeight w:val="255" w:hRule="atLeast"/>
        </w:trPr>
        <w:tc>
          <w:tcPr>
            <w:tcW w:w="93" w:type="dxa"/>
            <w:tcBorders/>
            <w:shd w:fill="auto" w:val="clear"/>
          </w:tcPr>
          <w:p>
            <w:pPr>
              <w:pStyle w:val="Caption2"/>
              <w:keepNext/>
              <w:spacing w:lineRule="auto" w:line="360" w:before="120" w:after="120"/>
              <w:jc w:val="both"/>
              <w:rPr/>
            </w:pPr>
            <w:r>
              <w:rPr/>
            </w:r>
          </w:p>
        </w:tc>
        <w:tc>
          <w:tcPr>
            <w:tcW w:w="1440" w:type="dxa"/>
            <w:gridSpan w:val="2"/>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2320" w:type="dxa"/>
            <w:gridSpan w:val="5"/>
            <w:tcBorders>
              <w:right w:val="single" w:sz="4" w:space="0" w:color="000001"/>
              <w:insideV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without fixed effects</w:t>
            </w:r>
          </w:p>
        </w:tc>
        <w:tc>
          <w:tcPr>
            <w:tcW w:w="2319"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with fixed effects</w:t>
            </w:r>
          </w:p>
        </w:tc>
      </w:tr>
      <w:tr>
        <w:trPr>
          <w:trHeight w:val="255" w:hRule="atLeast"/>
        </w:trPr>
        <w:tc>
          <w:tcPr>
            <w:tcW w:w="93" w:type="dxa"/>
            <w:tcBorders/>
            <w:shd w:fill="auto" w:val="clear"/>
          </w:tcPr>
          <w:p>
            <w:pPr>
              <w:pStyle w:val="Normal"/>
              <w:rPr/>
            </w:pPr>
            <w:r>
              <w:rPr/>
            </w:r>
          </w:p>
        </w:tc>
        <w:tc>
          <w:tcPr>
            <w:tcW w:w="1440" w:type="dxa"/>
            <w:gridSpan w:val="2"/>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2007 -2013</w:t>
            </w:r>
          </w:p>
        </w:tc>
        <w:tc>
          <w:tcPr>
            <w:tcW w:w="1160" w:type="dxa"/>
            <w:gridSpan w:val="3"/>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2013 -2017</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2007-2013</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2013-2017</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93" w:type="dxa"/>
            <w:tcBorders/>
            <w:shd w:fill="auto" w:val="clear"/>
          </w:tcPr>
          <w:p>
            <w:pPr>
              <w:pStyle w:val="Normal"/>
              <w:rPr/>
            </w:pPr>
            <w:r>
              <w:rPr/>
            </w:r>
          </w:p>
        </w:tc>
        <w:tc>
          <w:tcPr>
            <w:tcW w:w="1440" w:type="dxa"/>
            <w:gridSpan w:val="2"/>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3"/>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-0.0104</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0.0167</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-0.0204</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0.00884</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(0.0197)</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(0.0149)</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-0.0130</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-0.0155</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-0.00803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(0.0144)</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(0.0151)</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(0.0112)</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0.0205</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0.0243*</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0.0441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0.0119</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(0.0276)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(0.0258)</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0.9595***</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0.9410***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0.947***</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0.948***</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(0.0101)</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(0.0103)</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(0.0150)</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r>
      <w:tr>
        <w:trPr>
          <w:trHeight w:val="255" w:hRule="atLeast"/>
        </w:trPr>
        <w:tc>
          <w:tcPr>
            <w:tcW w:w="93" w:type="dxa"/>
            <w:tcBorders/>
            <w:shd w:fill="auto" w:val="clear"/>
          </w:tcPr>
          <w:p>
            <w:pPr>
              <w:pStyle w:val="Normal"/>
              <w:rPr/>
            </w:pPr>
            <w:r>
              <w:rPr/>
            </w:r>
          </w:p>
        </w:tc>
        <w:tc>
          <w:tcPr>
            <w:tcW w:w="1440"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persons</w:t>
            </w:r>
          </w:p>
        </w:tc>
        <w:tc>
          <w:tcPr>
            <w:tcW w:w="1160" w:type="dxa"/>
            <w:gridSpan w:val="2"/>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3"/>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770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943</w:t>
            </w:r>
          </w:p>
        </w:tc>
      </w:tr>
      <w:tr>
        <w:trPr>
          <w:trHeight w:val="255" w:hRule="atLeast"/>
        </w:trPr>
        <w:tc>
          <w:tcPr>
            <w:tcW w:w="93" w:type="dxa"/>
            <w:tcBorders/>
            <w:shd w:fill="auto" w:val="clear"/>
          </w:tcPr>
          <w:p>
            <w:pPr>
              <w:pStyle w:val="Normal"/>
              <w:rPr/>
            </w:pPr>
            <w:r>
              <w:rPr/>
            </w:r>
          </w:p>
        </w:tc>
        <w:tc>
          <w:tcPr>
            <w:tcW w:w="1440" w:type="dxa"/>
            <w:gridSpan w:val="2"/>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0" w:type="dxa"/>
            <w:gridSpan w:val="2"/>
            <w:tcBorders>
              <w:left w:val="single" w:sz="4" w:space="0" w:color="00000A"/>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0.0040</w:t>
            </w:r>
          </w:p>
        </w:tc>
        <w:tc>
          <w:tcPr>
            <w:tcW w:w="1160" w:type="dxa"/>
            <w:gridSpan w:val="3"/>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c>
          <w:tcPr>
            <w:tcW w:w="1160" w:type="dxa"/>
            <w:tcBorders>
              <w:left w:val="single" w:sz="4" w:space="0" w:color="000001"/>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0.001</w:t>
            </w:r>
          </w:p>
        </w:tc>
      </w:tr>
      <w:tr>
        <w:trPr>
          <w:trHeight w:val="255" w:hRule="atLeast"/>
        </w:trPr>
        <w:tc>
          <w:tcPr>
            <w:tcW w:w="93" w:type="dxa"/>
            <w:tcBorders/>
            <w:shd w:fill="auto" w:val="clear"/>
          </w:tcPr>
          <w:p>
            <w:pPr>
              <w:pStyle w:val="Normal"/>
              <w:rPr/>
            </w:pPr>
            <w:r>
              <w:rPr/>
            </w:r>
          </w:p>
        </w:tc>
        <w:tc>
          <w:tcPr>
            <w:tcW w:w="3760" w:type="dxa"/>
            <w:gridSpan w:val="7"/>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93" w:type="dxa"/>
            <w:tcBorders/>
            <w:shd w:fill="auto" w:val="clear"/>
          </w:tcPr>
          <w:p>
            <w:pPr>
              <w:pStyle w:val="Normal"/>
              <w:rPr/>
            </w:pPr>
            <w:r>
              <w:rPr/>
            </w:r>
          </w:p>
        </w:tc>
        <w:tc>
          <w:tcPr>
            <w:tcW w:w="3416" w:type="dxa"/>
            <w:gridSpan w:val="5"/>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34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40"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2413"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2"/>
        <w:spacing w:lineRule="auto" w:line="360"/>
        <w:ind w:firstLine="720"/>
        <w:jc w:val="both"/>
        <w:rPr>
          <w:i w:val="false"/>
          <w:i w:val="false"/>
        </w:rPr>
      </w:pPr>
      <w:r>
        <w:rPr>
          <w:i w:val="false"/>
        </w:rPr>
      </w:r>
    </w:p>
    <w:p>
      <w:pPr>
        <w:pStyle w:val="Caption2"/>
        <w:spacing w:lineRule="auto" w:line="360"/>
        <w:ind w:firstLine="720"/>
        <w:jc w:val="both"/>
        <w:rPr>
          <w:i w:val="false"/>
          <w:i w:val="false"/>
        </w:rPr>
      </w:pPr>
      <w:r>
        <w:rPr>
          <w:i w:val="false"/>
        </w:rPr>
      </w:r>
    </w:p>
    <w:p>
      <w:pPr>
        <w:pStyle w:val="Heading2"/>
        <w:rPr/>
      </w:pPr>
      <w:r>
        <w:rPr/>
        <w:t>Health transition analysis</w:t>
      </w:r>
    </w:p>
    <w:p>
      <w:pPr>
        <w:pStyle w:val="Normal"/>
        <w:rPr/>
      </w:pPr>
      <w:r>
        <w:rPr/>
      </w:r>
    </w:p>
    <w:p>
      <w:pPr>
        <w:pStyle w:val="Normal"/>
        <w:spacing w:lineRule="auto" w:line="360"/>
        <w:rPr/>
      </w:pPr>
      <w:r>
        <w:rPr/>
        <w:t xml:space="preserve">The results of the regression on health transitions can be seen in table </w:t>
      </w:r>
      <w:r>
        <w:rPr>
          <w:b/>
        </w:rPr>
        <w:t>9</w:t>
      </w:r>
      <w:r>
        <w:rPr/>
        <w:t>. The effect of wealth on a transition from healthy to unhealthy is insignificant, therefore we can conclude that the wealth of the base year does not have an effect on the chance of transitioning from healthy to unhealthy. This implies that there is not a causal effect from wealth to health. Education is significant in the 2007 – 2013 regression (p &lt; 10%) and the  2013-2017 regression (p &lt; 1 %). The coefficients mean that a highly educated person has a 6.7 percentage point between 2007 - 2013 and 3.2 percentage point between 2013-2017 lower chance to decrease in health scale. The gender coefficient is significant (p &lt; 10%) in the 2007 – 2013 regression which tells us that in that period a male had a 7.3 percentage point higher chance of decreasing in health scale than a woman The results found here contradict the findings of Cai (2009) as she did find a significant effect from wealth on the transition chance.</w:t>
      </w:r>
    </w:p>
    <w:p>
      <w:pPr>
        <w:pStyle w:val="Normal"/>
        <w:rPr/>
      </w:pPr>
      <w:r>
        <w:rPr/>
      </w:r>
    </w:p>
    <w:p>
      <w:pPr>
        <w:pStyle w:val="Caption2"/>
        <w:keepNext/>
        <w:rPr/>
      </w:pPr>
      <w:r>
        <w:rPr/>
        <w:t xml:space="preserve">Table </w:t>
      </w:r>
      <w:r>
        <w:rPr/>
        <w:fldChar w:fldCharType="begin"/>
      </w:r>
      <w:r>
        <w:instrText> SEQ Table \* ARABIC </w:instrText>
      </w:r>
      <w:r>
        <w:fldChar w:fldCharType="separate"/>
      </w:r>
      <w:r>
        <w:t>9</w:t>
      </w:r>
      <w:r>
        <w:fldChar w:fldCharType="end"/>
      </w:r>
      <w:r>
        <w:rPr/>
        <w:t>: Health transition results</w:t>
      </w:r>
    </w:p>
    <w:p>
      <w:pPr>
        <w:pStyle w:val="Caption2"/>
        <w:keepNext/>
        <w:rPr/>
      </w:pPr>
      <w:r>
        <w:rPr/>
      </w:r>
    </w:p>
    <w:tbl>
      <w:tblPr>
        <w:tblW w:w="385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205"/>
        <w:gridCol w:w="1"/>
        <w:gridCol w:w="1206"/>
      </w:tblGrid>
      <w:tr>
        <w:trPr>
          <w:trHeight w:val="23" w:hRule="exac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tcBorders/>
            <w:shd w:color="auto" w:fill="auto" w:val="clear"/>
            <w:vAlign w:val="bottom"/>
          </w:tcPr>
          <w:p>
            <w:pPr>
              <w:pStyle w:val="Normal"/>
              <w:rPr>
                <w:rFonts w:ascii="Calibri" w:hAnsi="Calibri"/>
                <w:sz w:val="20"/>
                <w:szCs w:val="20"/>
              </w:rPr>
            </w:pPr>
            <w:r>
              <w:rPr>
                <w:rFonts w:ascii="Calibri" w:hAnsi="Calibri"/>
                <w:sz w:val="20"/>
                <w:szCs w:val="20"/>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206" w:type="dxa"/>
            <w:gridSpan w:val="2"/>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2007-2013</w:t>
            </w:r>
          </w:p>
        </w:tc>
        <w:tc>
          <w:tcPr>
            <w:tcW w:w="1206"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2013-2017</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VARIABLES</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transitioned</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transitioned</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206" w:type="dxa"/>
            <w:gridSpan w:val="2"/>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06"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net wealth</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education</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-0.0674*</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-0.0322***</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(0.0363)</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(0.0121)</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gender</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0.0727*</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-0.0068</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(0.0405)</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(0.0129)</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unemployed</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-0.0522</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-0.0140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(0.0950)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(0.0395)</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net income</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(0.0000)</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Constant</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0.2144***</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0.0411***</w:t>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(0.0337)</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(0.0115)</w:t>
            </w:r>
          </w:p>
        </w:tc>
      </w:tr>
      <w:tr>
        <w:trPr>
          <w:trHeight w:val="23" w:hRule="exac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r>
      <w:tr>
        <w:trPr>
          <w:trHeight w:val="255" w:hRule="atLeast"/>
        </w:trPr>
        <w:tc>
          <w:tcPr>
            <w:tcW w:w="1440" w:type="dxa"/>
            <w:tcBorders/>
            <w:shd w:color="auto" w:fill="auto" w:val="clear"/>
            <w:vAlign w:val="bottom"/>
          </w:tcPr>
          <w:p>
            <w:pPr>
              <w:pStyle w:val="Normal"/>
              <w:rPr>
                <w:rFonts w:ascii="Calibri" w:hAnsi="Calibri"/>
                <w:sz w:val="20"/>
                <w:szCs w:val="20"/>
              </w:rPr>
            </w:pPr>
            <w:r>
              <w:rPr>
                <w:rFonts w:ascii="Calibri" w:hAnsi="Calibri"/>
                <w:sz w:val="20"/>
                <w:szCs w:val="20"/>
              </w:rPr>
              <w:t>Observations</w:t>
            </w:r>
          </w:p>
        </w:tc>
        <w:tc>
          <w:tcPr>
            <w:tcW w:w="1206" w:type="dxa"/>
            <w:gridSpan w:val="2"/>
            <w:tcBorders/>
            <w:shd w:color="auto" w:fill="auto" w:val="clear"/>
            <w:vAlign w:val="bottom"/>
          </w:tcPr>
          <w:p>
            <w:pPr>
              <w:pStyle w:val="Normal"/>
              <w:jc w:val="center"/>
              <w:rPr>
                <w:rFonts w:ascii="Calibri" w:hAnsi="Calibri"/>
                <w:sz w:val="20"/>
                <w:szCs w:val="20"/>
              </w:rPr>
            </w:pPr>
            <w:r>
              <w:rPr>
                <w:rFonts w:ascii="Calibri" w:hAnsi="Calibri"/>
                <w:sz w:val="20"/>
                <w:szCs w:val="20"/>
              </w:rPr>
              <w:t>513</w:t>
            </w:r>
          </w:p>
        </w:tc>
        <w:tc>
          <w:tcPr>
            <w:tcW w:w="1206" w:type="dxa"/>
            <w:tcBorders/>
            <w:shd w:color="auto" w:fill="auto" w:val="clear"/>
            <w:vAlign w:val="bottom"/>
          </w:tcPr>
          <w:p>
            <w:pPr>
              <w:pStyle w:val="Normal"/>
              <w:jc w:val="center"/>
              <w:rPr>
                <w:rFonts w:ascii="Calibri" w:hAnsi="Calibri"/>
                <w:sz w:val="20"/>
                <w:szCs w:val="20"/>
              </w:rPr>
            </w:pPr>
            <w:r>
              <w:rPr>
                <w:rFonts w:ascii="Calibri" w:hAnsi="Calibri"/>
                <w:sz w:val="20"/>
                <w:szCs w:val="20"/>
              </w:rPr>
              <w:t>588</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R-squared</w:t>
            </w:r>
          </w:p>
        </w:tc>
        <w:tc>
          <w:tcPr>
            <w:tcW w:w="1206"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0.0190</w:t>
            </w:r>
          </w:p>
        </w:tc>
        <w:tc>
          <w:tcPr>
            <w:tcW w:w="1206"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0.0175</w:t>
            </w:r>
          </w:p>
        </w:tc>
      </w:tr>
      <w:tr>
        <w:trPr>
          <w:trHeight w:val="255" w:hRule="atLeast"/>
        </w:trPr>
        <w:tc>
          <w:tcPr>
            <w:tcW w:w="3852" w:type="dxa"/>
            <w:gridSpan w:val="4"/>
            <w:tcBorders/>
            <w:shd w:color="auto" w:fill="auto" w:val="clear"/>
            <w:vAlign w:val="bottom"/>
          </w:tcPr>
          <w:p>
            <w:pPr>
              <w:pStyle w:val="Normal"/>
              <w:rPr>
                <w:rFonts w:ascii="Calibri" w:hAnsi="Calibri"/>
                <w:sz w:val="20"/>
                <w:szCs w:val="20"/>
              </w:rPr>
            </w:pPr>
            <w:r>
              <w:rPr>
                <w:rFonts w:ascii="Calibri" w:hAnsi="Calibri"/>
                <w:sz w:val="20"/>
                <w:szCs w:val="20"/>
              </w:rPr>
              <w:t>Standard errors in parentheses</w:t>
            </w:r>
          </w:p>
        </w:tc>
      </w:tr>
      <w:tr>
        <w:trPr>
          <w:trHeight w:val="255" w:hRule="atLeast"/>
        </w:trPr>
        <w:tc>
          <w:tcPr>
            <w:tcW w:w="2645" w:type="dxa"/>
            <w:gridSpan w:val="2"/>
            <w:tcBorders/>
            <w:shd w:color="auto" w:fill="auto" w:val="clear"/>
            <w:vAlign w:val="bottom"/>
          </w:tcPr>
          <w:p>
            <w:pPr>
              <w:pStyle w:val="Normal"/>
              <w:rPr>
                <w:rFonts w:ascii="Calibri" w:hAnsi="Calibri"/>
                <w:sz w:val="20"/>
                <w:szCs w:val="20"/>
              </w:rPr>
            </w:pPr>
            <w:r>
              <w:rPr>
                <w:rFonts w:ascii="Calibri" w:hAnsi="Calibri"/>
                <w:sz w:val="20"/>
                <w:szCs w:val="20"/>
              </w:rPr>
              <w:t>*** p&lt;0.01, ** p&lt;0.05, * p&lt;0.1</w:t>
            </w:r>
          </w:p>
        </w:tc>
        <w:tc>
          <w:tcPr>
            <w:tcW w:w="1207"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r>
    </w:tbl>
    <w:p>
      <w:pPr>
        <w:pStyle w:val="Normal"/>
        <w:rPr/>
      </w:pPr>
      <w:r>
        <w:rPr/>
      </w:r>
    </w:p>
    <w:p>
      <w:pPr>
        <w:pStyle w:val="Heading1"/>
        <w:rPr/>
      </w:pPr>
      <w:r>
        <w:rPr/>
        <w:t>Robustness tests</w:t>
      </w:r>
    </w:p>
    <w:p>
      <w:pPr>
        <w:pStyle w:val="Normal"/>
        <w:spacing w:lineRule="auto" w:line="360"/>
        <w:rPr/>
      </w:pPr>
      <w:r>
        <w:rPr/>
        <w:t>To test whether the results are valid, several robustness tests have been run. First there is a pretreatment tests to test that the health of the control and treatment group behaved in the same way before the treatment, i.e. to test whether the parallel trend assumption of the difference in difference analysis is likely to hold. Secondly, two tests were run to check whether the treatment had the desired effect. The first tested if the net wealth of people with a house reacted in a significantly different way to the change in housing prices than the net wealth of people who rented a house. The second test tested if the treatment did also affect the net income of the control and treatment group in a different way which should not be the case. Thirdly, tests have been run to see whether or not the characteristics of the group with all observations have changed between before and after the treatment. This is important to tell whether the effects found in the DID analysis of the all-observations group is solely accountable to the wealth difference caused by the treatment or that changes in characteristics may also have played a part.</w:t>
      </w:r>
    </w:p>
    <w:p>
      <w:pPr>
        <w:pStyle w:val="Normal"/>
        <w:spacing w:lineRule="auto" w:line="360"/>
        <w:ind w:firstLine="720"/>
        <w:rPr/>
      </w:pPr>
      <w:r>
        <w:rPr/>
        <w:t xml:space="preserve">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 We can never know if it is the case during the treatment period but at least we could check if the lines are parallel in the pretreatment period. (the parallel lines assumption). If this is the case this gives us some confidence that the assumption is met in the treatment period. Otherwise there will be a difference in the differences by simply dividing the observations in different groups. In figure 2 it can be seen  that the lines are not perfectly parallel. They do however act in the same way, they are both descending but worryingly the differences are increasing over time. To test the severity of the violation of the assumption, an DD analysis with a placebo intervention with 2001 as the pretreatment period and 2006 as the posttreatment period is run to see if the health of both groups differ significantly. </w:t>
      </w:r>
    </w:p>
    <w:p>
      <w:pPr>
        <w:pStyle w:val="Normal"/>
        <w:spacing w:lineRule="auto" w:line="360"/>
        <w:jc w:val="both"/>
        <w:rPr/>
      </w:pPr>
      <w:r>
        <w:rPr/>
      </w:r>
    </w:p>
    <w:p>
      <w:pPr>
        <w:pStyle w:val="Normal"/>
        <w:keepNext/>
        <w:spacing w:lineRule="auto" w:line="360"/>
        <w:jc w:val="center"/>
        <w:rPr/>
      </w:pPr>
      <w:commentRangeStart w:id="13"/>
      <w:r>
        <w:rPr/>
        <w:drawing>
          <wp:inline distT="0" distB="0" distL="0" distR="0">
            <wp:extent cx="4053205" cy="29451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53205" cy="2945130"/>
                    </a:xfrm>
                    <a:prstGeom prst="rect">
                      <a:avLst/>
                    </a:prstGeom>
                  </pic:spPr>
                </pic:pic>
              </a:graphicData>
            </a:graphic>
          </wp:inline>
        </w:drawing>
      </w:r>
      <w:commentRangeEnd w:id="13"/>
      <w:r>
        <w:commentReference w:id="13"/>
      </w:r>
      <w:r>
        <w:rPr/>
      </w:r>
    </w:p>
    <w:p>
      <w:pPr>
        <w:pStyle w:val="Caption2"/>
        <w:spacing w:lineRule="auto" w:line="360"/>
        <w:jc w:val="both"/>
        <w:rPr/>
      </w:pPr>
      <w:r>
        <w:rPr/>
        <w:t xml:space="preserve">Figure </w:t>
      </w:r>
      <w:r>
        <w:rPr/>
        <w:fldChar w:fldCharType="begin"/>
      </w:r>
      <w:r>
        <w:instrText> SEQ Figure \* ARABIC </w:instrText>
      </w:r>
      <w:r>
        <w:fldChar w:fldCharType="separate"/>
      </w:r>
      <w:r>
        <w:t>2</w:t>
      </w:r>
      <w:r>
        <w:fldChar w:fldCharType="end"/>
      </w:r>
      <w:r>
        <w:rPr/>
        <w:t>: fitted lines through the average health of the control and treatment group</w:t>
      </w:r>
    </w:p>
    <w:p>
      <w:pPr>
        <w:pStyle w:val="Normal"/>
        <w:spacing w:lineRule="auto" w:line="360"/>
        <w:jc w:val="both"/>
        <w:rPr/>
      </w:pPr>
      <w:r>
        <w:rPr/>
      </w:r>
    </w:p>
    <w:p>
      <w:pPr>
        <w:pStyle w:val="Normal"/>
        <w:spacing w:lineRule="auto" w:line="360"/>
        <w:ind w:firstLine="720"/>
        <w:jc w:val="both"/>
        <w:rPr/>
      </w:pPr>
      <w:r>
        <w:rPr/>
        <w:tab/>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pPr>
        <w:pStyle w:val="Normal"/>
        <w:spacing w:lineRule="auto" w:line="360"/>
        <w:ind w:firstLine="720"/>
        <w:jc w:val="both"/>
        <w:rPr/>
      </w:pPr>
      <w:r>
        <w:rPr/>
      </w:r>
    </w:p>
    <w:p>
      <w:pPr>
        <w:pStyle w:val="Caption2"/>
        <w:keepNext/>
        <w:spacing w:lineRule="auto" w:line="360"/>
        <w:jc w:val="both"/>
        <w:rPr/>
      </w:pPr>
      <w:r>
        <w:rPr/>
        <w:t xml:space="preserve">Table </w:t>
      </w:r>
      <w:r>
        <w:rPr/>
        <w:fldChar w:fldCharType="begin"/>
      </w:r>
      <w:r>
        <w:instrText> SEQ Table \* ARABIC </w:instrText>
      </w:r>
      <w:r>
        <w:fldChar w:fldCharType="separate"/>
      </w:r>
      <w:r>
        <w:t>10</w:t>
      </w:r>
      <w:r>
        <w:fldChar w:fldCharType="end"/>
      </w:r>
      <w:r>
        <w:rPr/>
        <w:t>: Placebo intervention</w:t>
      </w:r>
    </w:p>
    <w:tbl>
      <w:tblPr>
        <w:tblW w:w="3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8"/>
        <w:gridCol w:w="1773"/>
      </w:tblGrid>
      <w:tr>
        <w:trPr>
          <w:trHeight w:val="23" w:hRule="exac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xml:space="preserve">  </w:t>
            </w:r>
          </w:p>
        </w:tc>
        <w:tc>
          <w:tcPr>
            <w:tcW w:w="1773"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2001 - 2006</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trHeight w:val="255" w:hRule="atLeast"/>
        </w:trPr>
        <w:tc>
          <w:tcPr>
            <w:tcW w:w="1438"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773" w:type="dxa"/>
            <w:tcBorders>
              <w:top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0.0061</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(0.0138)</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-0.0182**</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(0.0090)</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(0.0102)</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0.9586***</w:t>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(0.0064)</w:t>
            </w:r>
          </w:p>
        </w:tc>
      </w:tr>
      <w:tr>
        <w:trPr>
          <w:trHeight w:val="23" w:hRule="exac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8"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773" w:type="dxa"/>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3,610</w:t>
            </w:r>
          </w:p>
        </w:tc>
      </w:tr>
      <w:tr>
        <w:trPr>
          <w:trHeight w:val="255" w:hRule="atLeast"/>
        </w:trPr>
        <w:tc>
          <w:tcPr>
            <w:tcW w:w="1438"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773"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0.0030</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r>
      <w:tr>
        <w:trPr>
          <w:trHeight w:val="255" w:hRule="atLeast"/>
        </w:trPr>
        <w:tc>
          <w:tcPr>
            <w:tcW w:w="3211"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Heading2"/>
        <w:rPr/>
      </w:pPr>
      <w:r>
        <w:rPr/>
        <w:t>Mechanism tests</w:t>
      </w:r>
    </w:p>
    <w:p>
      <w:pPr>
        <w:pStyle w:val="Normal"/>
        <w:rPr/>
      </w:pPr>
      <w:r>
        <w:rPr/>
      </w:r>
    </w:p>
    <w:p>
      <w:pPr>
        <w:pStyle w:val="Normal"/>
        <w:spacing w:lineRule="auto" w:line="360"/>
        <w:jc w:val="both"/>
        <w:rPr/>
      </w:pPr>
      <w:r>
        <w:rPr/>
        <w:t>In order to see if the financial crisis only affected wealth in a different way in the control and treatment group, two mechanism tests were conducted. One on the effect of the treatment on wealth and one on income.</w:t>
      </w:r>
    </w:p>
    <w:p>
      <w:pPr>
        <w:pStyle w:val="Normal"/>
        <w:spacing w:lineRule="auto" w:line="360"/>
        <w:ind w:firstLine="720"/>
        <w:jc w:val="both"/>
        <w:rPr/>
      </w:pPr>
      <w:r>
        <w:rPr/>
        <w:t xml:space="preserve">The results of the mechanism test on net wealth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w:t>
      </w:r>
      <w:bookmarkStart w:id="7" w:name="_GoBack"/>
      <w:bookmarkEnd w:id="7"/>
      <w:r>
        <w:rPr/>
        <w:t xml:space="preserve">the tenants, the DID coefficient should be significant. Also, the DID coefficient should then be negative in the 2007-2013 regression and positive in the 2013-2017 regression. </w:t>
      </w:r>
    </w:p>
    <w:p>
      <w:pPr>
        <w:pStyle w:val="Normal"/>
        <w:spacing w:lineRule="auto" w:line="360"/>
        <w:ind w:firstLine="720"/>
        <w:jc w:val="both"/>
        <w:rPr/>
      </w:pPr>
      <w:r>
        <w:rPr/>
        <w:t xml:space="preserve">As  can be seen in table 10, in the all-observations group, the DID coefficient is not significant in both periods. </w:t>
      </w:r>
      <w:commentRangeStart w:id="14"/>
      <w:r>
        <w:rPr/>
        <w:t>this implies that in the all-observations group the treatment did not have the desired effect</w:t>
      </w:r>
      <w:r>
        <w:rPr/>
      </w:r>
      <w:commentRangeEnd w:id="14"/>
      <w:r>
        <w:commentReference w:id="14"/>
      </w:r>
      <w:r>
        <w:rPr/>
        <w:t>, i.e., the net wealth of people in the treatment group did not change in a significantly different way than the net wealth of the people in the control group.  The coefficients are however correct in them being respectively negative and positive. Since  the treatment did not have the desired effect, the results of the all-observations group do not tell us whether wealth does or does not have a significant effect on health.</w:t>
      </w:r>
    </w:p>
    <w:p>
      <w:pPr>
        <w:pStyle w:val="Normal"/>
        <w:spacing w:lineRule="auto" w:line="360"/>
        <w:ind w:firstLine="720"/>
        <w:jc w:val="both"/>
        <w:rPr/>
      </w:pPr>
      <w:r>
        <w:rPr/>
        <w:t xml:space="preserve">In </w:t>
      </w:r>
      <w:commentRangeStart w:id="15"/>
      <w:r>
        <w:rPr/>
        <w:t xml:space="preserve">the </w:t>
      </w:r>
      <w:ins w:id="43" w:author="Simon ter Meulen" w:date="2019-01-25T10:52:00Z">
        <w:r>
          <w:rPr/>
          <w:t xml:space="preserve">sample where I only use </w:t>
        </w:r>
      </w:ins>
      <w:ins w:id="44" w:author="Simon ter Meulen" w:date="2019-01-25T10:53:00Z">
        <w:r>
          <w:rPr/>
          <w:t>recurring individuals</w:t>
        </w:r>
      </w:ins>
      <w:r>
        <w:rPr/>
      </w:r>
      <w:ins w:id="45" w:author="Simon ter Meulen" w:date="2019-01-25T10:53:00Z">
        <w:commentRangeEnd w:id="15"/>
        <w:r>
          <w:commentReference w:id="15"/>
        </w:r>
        <w:r>
          <w:rPr/>
          <w:t>,</w:t>
        </w:r>
      </w:ins>
      <w:del w:id="46" w:author="Simon ter Meulen" w:date="2019-01-25T10:52:00Z">
        <w:r>
          <w:rPr/>
          <w:delText>same</w:delText>
        </w:r>
      </w:del>
      <w:r>
        <w:rPr/>
        <w:t xml:space="preserve"> however, the DID coefficient is significant in the 2007 – 2013 regression without fixed effects and in both the regressions with fixed effects. Since the fixed effects should only increase the accuracy of the estimates, it can be concluded that in the same persons group the financial crisis, the treatment, did have the desired effect on the net wealth on home owners and home renters.</w:t>
      </w:r>
      <w:ins w:id="47" w:author="Simon ter Meulen" w:date="2019-01-25T13:29:00Z">
        <w:r>
          <w:rPr/>
          <w:t xml:space="preserve"> If you can, add a line where you show that you understand on what basis you identify the treatment effect.</w:t>
        </w:r>
      </w:ins>
      <w:ins w:id="48" w:author="Simon ter Meulen" w:date="2019-01-25T13:30:00Z">
        <w:r>
          <w:rPr/>
          <w:t xml:space="preserve"> Example: “Therefore: if I look at differences X or if I slice up the sample like Y etc…”</w:t>
        </w:r>
      </w:ins>
      <w:ins w:id="49" w:author="Simon ter Meulen" w:date="2019-01-25T13:29:00Z">
        <w:r>
          <w:rPr/>
          <w:t xml:space="preserve"> </w:t>
        </w:r>
      </w:ins>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r>
    </w:p>
    <w:p>
      <w:pPr>
        <w:pStyle w:val="Caption2"/>
        <w:keepNext/>
        <w:spacing w:lineRule="auto" w:line="360"/>
        <w:jc w:val="both"/>
        <w:rPr/>
      </w:pPr>
      <w:r>
        <w:rPr/>
        <w:br/>
        <w:br/>
        <w:t xml:space="preserve">Table </w:t>
      </w:r>
      <w:r>
        <w:rPr/>
        <w:fldChar w:fldCharType="begin"/>
      </w:r>
      <w:r>
        <w:instrText> SEQ Table \* ARABIC </w:instrText>
      </w:r>
      <w:r>
        <w:fldChar w:fldCharType="separate"/>
      </w:r>
      <w:r>
        <w:t>11</w:t>
      </w:r>
      <w:r>
        <w:fldChar w:fldCharType="end"/>
      </w:r>
      <w:r>
        <w:rPr/>
        <w:t>: mechanism check</w:t>
      </w:r>
    </w:p>
    <w:tbl>
      <w:tblPr>
        <w:tblW w:w="9753" w:type="dxa"/>
        <w:jc w:val="left"/>
        <w:tblInd w:w="101"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244"/>
        <w:gridCol w:w="1450"/>
        <w:gridCol w:w="1450"/>
        <w:gridCol w:w="1449"/>
        <w:gridCol w:w="1448"/>
        <w:gridCol w:w="1"/>
        <w:gridCol w:w="1250"/>
        <w:gridCol w:w="1460"/>
      </w:tblGrid>
      <w:tr>
        <w:trPr>
          <w:trHeight w:val="255" w:hRule="atLeast"/>
        </w:trPr>
        <w:tc>
          <w:tcPr>
            <w:tcW w:w="1244" w:type="dxa"/>
            <w:tcBorders>
              <w:bottom w:val="single" w:sz="4" w:space="0" w:color="000001"/>
              <w:insideH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r>
          </w:p>
        </w:tc>
        <w:tc>
          <w:tcPr>
            <w:tcW w:w="2900" w:type="dxa"/>
            <w:gridSpan w:val="2"/>
            <w:tcBorders>
              <w:right w:val="single" w:sz="4" w:space="0" w:color="000001"/>
              <w:insideV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All observations</w:t>
            </w:r>
          </w:p>
        </w:tc>
        <w:tc>
          <w:tcPr>
            <w:tcW w:w="2897" w:type="dxa"/>
            <w:gridSpan w:val="2"/>
            <w:tcBorders>
              <w:right w:val="single" w:sz="4" w:space="0" w:color="000001"/>
              <w:insideV w:val="single" w:sz="4" w:space="0" w:color="000001"/>
            </w:tcBorders>
            <w:shd w:color="auto" w:fill="auto" w:val="clear"/>
            <w:vAlign w:val="bottom"/>
          </w:tcPr>
          <w:p>
            <w:pPr>
              <w:pStyle w:val="Normal"/>
              <w:rPr>
                <w:rFonts w:ascii="Calibri" w:hAnsi="Calibri"/>
                <w:sz w:val="20"/>
                <w:szCs w:val="20"/>
              </w:rPr>
            </w:pPr>
            <w:r>
              <w:rPr>
                <w:rFonts w:ascii="Calibri" w:hAnsi="Calibri"/>
                <w:sz w:val="20"/>
                <w:szCs w:val="20"/>
              </w:rPr>
              <w:t>Recurring individuals</w:t>
            </w:r>
          </w:p>
        </w:tc>
        <w:tc>
          <w:tcPr>
            <w:tcW w:w="2711" w:type="dxa"/>
            <w:gridSpan w:val="3"/>
            <w:tcBorders/>
            <w:shd w:color="auto" w:fill="auto" w:val="clear"/>
            <w:vAlign w:val="bottom"/>
          </w:tcPr>
          <w:p>
            <w:pPr>
              <w:pStyle w:val="Normal"/>
              <w:rPr>
                <w:rFonts w:ascii="Calibri" w:hAnsi="Calibri"/>
                <w:sz w:val="20"/>
                <w:szCs w:val="20"/>
              </w:rPr>
            </w:pPr>
            <w:r>
              <w:rPr>
                <w:rFonts w:ascii="Calibri" w:hAnsi="Calibri"/>
                <w:sz w:val="20"/>
                <w:szCs w:val="20"/>
              </w:rPr>
              <w:t>Recurring individials with fixed effects</w:t>
            </w:r>
          </w:p>
        </w:tc>
      </w:tr>
      <w:tr>
        <w:trPr>
          <w:trHeight w:val="255" w:hRule="atLeast"/>
        </w:trPr>
        <w:tc>
          <w:tcPr>
            <w:tcW w:w="1244" w:type="dxa"/>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450"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2007 - 2013</w:t>
            </w:r>
          </w:p>
        </w:tc>
        <w:tc>
          <w:tcPr>
            <w:tcW w:w="1450"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2013 - 2017</w:t>
            </w:r>
          </w:p>
        </w:tc>
        <w:tc>
          <w:tcPr>
            <w:tcW w:w="1449"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2007 - 2013</w:t>
            </w:r>
          </w:p>
        </w:tc>
        <w:tc>
          <w:tcPr>
            <w:tcW w:w="1449" w:type="dxa"/>
            <w:gridSpan w:val="2"/>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2013 - 2017</w:t>
            </w:r>
          </w:p>
        </w:tc>
        <w:tc>
          <w:tcPr>
            <w:tcW w:w="125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2007-2013</w:t>
            </w:r>
          </w:p>
        </w:tc>
        <w:tc>
          <w:tcPr>
            <w:tcW w:w="146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2013-2017</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VARIABLES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Net worth</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Net worth</w:t>
            </w:r>
          </w:p>
        </w:tc>
      </w:tr>
      <w:tr>
        <w:trPr>
          <w:trHeight w:val="255" w:hRule="atLeast"/>
        </w:trPr>
        <w:tc>
          <w:tcPr>
            <w:tcW w:w="1244" w:type="dxa"/>
            <w:tcBorders>
              <w:top w:val="single" w:sz="4" w:space="0" w:color="000001"/>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 </w:t>
            </w:r>
          </w:p>
        </w:tc>
        <w:tc>
          <w:tcPr>
            <w:tcW w:w="1450"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 </w:t>
            </w:r>
          </w:p>
        </w:tc>
        <w:tc>
          <w:tcPr>
            <w:tcW w:w="1450"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gridSpan w:val="2"/>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60" w:type="dxa"/>
            <w:tcBorders>
              <w:top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DID</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-22,284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3,935</w:t>
            </w:r>
          </w:p>
        </w:tc>
        <w:tc>
          <w:tcPr>
            <w:tcW w:w="1449" w:type="dxa"/>
            <w:tcBorders/>
            <w:shd w:color="auto" w:fill="auto" w:val="clear"/>
            <w:vAlign w:val="bottom"/>
          </w:tcPr>
          <w:p>
            <w:pPr>
              <w:pStyle w:val="Normal"/>
              <w:jc w:val="center"/>
              <w:rPr>
                <w:rFonts w:ascii="Calibri" w:hAnsi="Calibri"/>
                <w:sz w:val="20"/>
                <w:szCs w:val="20"/>
              </w:rPr>
            </w:pPr>
            <w:commentRangeStart w:id="16"/>
            <w:r>
              <w:rPr>
                <w:rFonts w:ascii="Calibri" w:hAnsi="Calibri"/>
                <w:sz w:val="20"/>
                <w:szCs w:val="20"/>
              </w:rPr>
              <w:t>-48,247**</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25,871</w:t>
            </w:r>
          </w:p>
        </w:tc>
        <w:tc>
          <w:tcPr>
            <w:tcW w:w="1250" w:type="dxa"/>
            <w:tcBorders/>
            <w:shd w:color="auto" w:fill="auto" w:val="clear"/>
            <w:vAlign w:val="bottom"/>
          </w:tcPr>
          <w:p>
            <w:pPr>
              <w:pStyle w:val="Normal"/>
              <w:jc w:val="center"/>
              <w:rPr>
                <w:rFonts w:ascii="Calibri" w:hAnsi="Calibri"/>
                <w:sz w:val="20"/>
                <w:szCs w:val="20"/>
                <w:highlight w:val="yellow"/>
              </w:rPr>
            </w:pPr>
            <w:r>
              <w:rPr>
                <w:rFonts w:ascii="Calibri" w:hAnsi="Calibri"/>
                <w:sz w:val="20"/>
                <w:szCs w:val="20"/>
                <w:highlight w:val="yellow"/>
                <w:rPrChange w:id="0" w:author="Simon ter Meulen" w:date="2019-01-25T10:54:00Z">
                  <w:rPr>
                    <w:sz w:val="20"/>
                    <w:szCs w:val="20"/>
                    <w:rFonts w:ascii="Calibri" w:hAnsi="Calibri"/>
                  </w:rPr>
                </w:rPrChange>
              </w:rPr>
              <w:t>-43,975***</w:t>
            </w:r>
          </w:p>
        </w:tc>
        <w:tc>
          <w:tcPr>
            <w:tcW w:w="1460" w:type="dxa"/>
            <w:tcBorders/>
            <w:shd w:color="auto" w:fill="auto" w:val="clear"/>
            <w:vAlign w:val="bottom"/>
          </w:tcPr>
          <w:p>
            <w:pPr>
              <w:pStyle w:val="Normal"/>
              <w:jc w:val="center"/>
              <w:rPr>
                <w:rFonts w:ascii="Calibri" w:hAnsi="Calibri"/>
                <w:sz w:val="20"/>
                <w:szCs w:val="20"/>
                <w:highlight w:val="yellow"/>
              </w:rPr>
            </w:pPr>
            <w:r>
              <w:rPr>
                <w:rFonts w:ascii="Calibri" w:hAnsi="Calibri"/>
                <w:sz w:val="20"/>
                <w:szCs w:val="20"/>
                <w:highlight w:val="yellow"/>
                <w:rPrChange w:id="0" w:author="Simon ter Meulen" w:date="2019-01-25T10:54:00Z">
                  <w:rPr>
                    <w:sz w:val="20"/>
                    <w:szCs w:val="20"/>
                    <w:rFonts w:ascii="Calibri" w:hAnsi="Calibri"/>
                  </w:rPr>
                </w:rPrChange>
              </w:rPr>
              <w:t>24,245**</w:t>
            </w:r>
            <w:commentRangeEnd w:id="16"/>
            <w:r>
              <w:commentReference w:id="16"/>
            </w:r>
            <w:r>
              <w:rPr>
                <w:rFonts w:ascii="Calibri" w:hAnsi="Calibri"/>
                <w:sz w:val="20"/>
                <w:szCs w:val="20"/>
                <w:highlight w:val="yellow"/>
              </w:rPr>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(14,351)</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(13,528)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(20,640)</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(19,906)</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(15,888)</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(9,486)</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time</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3,534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2,597</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4,732</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-821</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4,551</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5,274</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(9,902)</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(9,606)</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(15,015)</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(15,110)</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(11,331)</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(7,131)</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treated</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249,872***</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227,588***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263,253***</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243,262***</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154,356***</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142,737***</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(9,924)</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(10,238)</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(14,578)</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(13,963)</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(26,907)</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(16,409)</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Constant</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25,400***</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28,933***</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25,004**</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37,328***</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81,574***</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92,654***</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(6,743)</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(7,162)</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(10,507)</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(10,359)</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(14,969)</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(9,571)</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Observations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3,458</w:t>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3,864</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t>1,540</w:t>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1,886</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1,540</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1,886</w:t>
            </w:r>
          </w:p>
        </w:tc>
      </w:tr>
      <w:tr>
        <w:trPr>
          <w:trHeight w:val="255" w:hRule="atLeast"/>
        </w:trPr>
        <w:tc>
          <w:tcPr>
            <w:tcW w:w="1244" w:type="dxa"/>
            <w:tcBorders>
              <w:right w:val="single" w:sz="4" w:space="0" w:color="00000A"/>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persons</w:t>
            </w:r>
          </w:p>
        </w:tc>
        <w:tc>
          <w:tcPr>
            <w:tcW w:w="1450" w:type="dxa"/>
            <w:tcBorders>
              <w:left w:val="single" w:sz="4" w:space="0" w:color="00000A"/>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r>
          </w:p>
        </w:tc>
        <w:tc>
          <w:tcPr>
            <w:tcW w:w="1450" w:type="dxa"/>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449" w:type="dx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1449" w:type="dxa"/>
            <w:gridSpan w:val="2"/>
            <w:tcBorders>
              <w:right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 </w:t>
            </w:r>
          </w:p>
        </w:tc>
        <w:tc>
          <w:tcPr>
            <w:tcW w:w="1250" w:type="dxa"/>
            <w:tcBorders/>
            <w:shd w:color="auto" w:fill="auto" w:val="clear"/>
            <w:vAlign w:val="bottom"/>
          </w:tcPr>
          <w:p>
            <w:pPr>
              <w:pStyle w:val="Normal"/>
              <w:jc w:val="center"/>
              <w:rPr>
                <w:rFonts w:ascii="Calibri" w:hAnsi="Calibri"/>
                <w:sz w:val="20"/>
                <w:szCs w:val="20"/>
              </w:rPr>
            </w:pPr>
            <w:r>
              <w:rPr>
                <w:rFonts w:ascii="Calibri" w:hAnsi="Calibri"/>
                <w:sz w:val="20"/>
                <w:szCs w:val="20"/>
              </w:rPr>
              <w:t>0.048</w:t>
            </w:r>
          </w:p>
        </w:tc>
        <w:tc>
          <w:tcPr>
            <w:tcW w:w="1460" w:type="dxa"/>
            <w:tcBorders/>
            <w:shd w:color="auto" w:fill="auto" w:val="clear"/>
            <w:vAlign w:val="bottom"/>
          </w:tcPr>
          <w:p>
            <w:pPr>
              <w:pStyle w:val="Normal"/>
              <w:jc w:val="center"/>
              <w:rPr>
                <w:rFonts w:ascii="Calibri" w:hAnsi="Calibri"/>
                <w:sz w:val="20"/>
                <w:szCs w:val="20"/>
              </w:rPr>
            </w:pPr>
            <w:r>
              <w:rPr>
                <w:rFonts w:ascii="Calibri" w:hAnsi="Calibri"/>
                <w:sz w:val="20"/>
                <w:szCs w:val="20"/>
              </w:rPr>
              <w:t>0.127</w:t>
            </w:r>
          </w:p>
        </w:tc>
      </w:tr>
      <w:tr>
        <w:trPr>
          <w:trHeight w:val="255" w:hRule="atLeast"/>
        </w:trPr>
        <w:tc>
          <w:tcPr>
            <w:tcW w:w="1244" w:type="dxa"/>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rPr>
                <w:rFonts w:ascii="Calibri" w:hAnsi="Calibri"/>
                <w:sz w:val="20"/>
                <w:szCs w:val="20"/>
              </w:rPr>
            </w:pPr>
            <w:r>
              <w:rPr>
                <w:rFonts w:ascii="Calibri" w:hAnsi="Calibri"/>
                <w:sz w:val="20"/>
                <w:szCs w:val="20"/>
              </w:rPr>
              <w:t>R-squared</w:t>
            </w:r>
          </w:p>
        </w:tc>
        <w:tc>
          <w:tcPr>
            <w:tcW w:w="1450" w:type="dxa"/>
            <w:tcBorders>
              <w:left w:val="single" w:sz="4" w:space="0" w:color="00000A"/>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sz w:val="20"/>
                <w:szCs w:val="20"/>
              </w:rPr>
            </w:pPr>
            <w:r>
              <w:rPr>
                <w:rFonts w:ascii="Calibri" w:hAnsi="Calibri"/>
                <w:sz w:val="20"/>
                <w:szCs w:val="20"/>
              </w:rPr>
              <w:t>0.2442</w:t>
            </w:r>
          </w:p>
        </w:tc>
        <w:tc>
          <w:tcPr>
            <w:tcW w:w="1450"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0.2346</w:t>
            </w:r>
          </w:p>
        </w:tc>
        <w:tc>
          <w:tcPr>
            <w:tcW w:w="1449"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0.2619</w:t>
            </w:r>
          </w:p>
        </w:tc>
        <w:tc>
          <w:tcPr>
            <w:tcW w:w="144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0.2628</w:t>
            </w:r>
          </w:p>
        </w:tc>
        <w:tc>
          <w:tcPr>
            <w:tcW w:w="1250"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770</w:t>
            </w:r>
          </w:p>
        </w:tc>
        <w:tc>
          <w:tcPr>
            <w:tcW w:w="1460" w:type="dxa"/>
            <w:tcBorders>
              <w:bottom w:val="single" w:sz="4" w:space="0" w:color="000001"/>
              <w:insideH w:val="single" w:sz="4" w:space="0" w:color="000001"/>
            </w:tcBorders>
            <w:shd w:color="auto" w:fill="auto" w:val="clear"/>
            <w:vAlign w:val="bottom"/>
          </w:tcPr>
          <w:p>
            <w:pPr>
              <w:pStyle w:val="Normal"/>
              <w:jc w:val="center"/>
              <w:rPr>
                <w:rFonts w:ascii="Calibri" w:hAnsi="Calibri"/>
                <w:sz w:val="20"/>
                <w:szCs w:val="20"/>
              </w:rPr>
            </w:pPr>
            <w:r>
              <w:rPr>
                <w:rFonts w:ascii="Calibri" w:hAnsi="Calibri"/>
                <w:sz w:val="20"/>
                <w:szCs w:val="20"/>
              </w:rPr>
              <w:t>943</w:t>
            </w:r>
          </w:p>
        </w:tc>
      </w:tr>
      <w:tr>
        <w:trPr>
          <w:trHeight w:val="255" w:hRule="atLeast"/>
        </w:trPr>
        <w:tc>
          <w:tcPr>
            <w:tcW w:w="4144" w:type="dxa"/>
            <w:gridSpan w:val="3"/>
            <w:tcBorders/>
            <w:shd w:color="auto" w:fill="auto" w:val="clear"/>
            <w:vAlign w:val="bottom"/>
          </w:tcPr>
          <w:p>
            <w:pPr>
              <w:pStyle w:val="Normal"/>
              <w:rPr>
                <w:rFonts w:ascii="Calibri" w:hAnsi="Calibri"/>
                <w:sz w:val="20"/>
                <w:szCs w:val="20"/>
              </w:rPr>
            </w:pPr>
            <w:r>
              <w:rPr>
                <w:rFonts w:ascii="Calibri" w:hAnsi="Calibri"/>
                <w:sz w:val="20"/>
                <w:szCs w:val="20"/>
              </w:rPr>
              <w:t>Standard errors in parentheses</w:t>
            </w:r>
          </w:p>
        </w:tc>
        <w:tc>
          <w:tcPr>
            <w:tcW w:w="1449"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rPr>
                <w:rFonts w:ascii="Calibri" w:hAnsi="Calibri"/>
                <w:sz w:val="20"/>
                <w:szCs w:val="20"/>
              </w:rPr>
            </w:pPr>
            <w:r>
              <w:rPr>
                <w:rFonts w:ascii="Calibri" w:hAnsi="Calibri"/>
                <w:sz w:val="20"/>
                <w:szCs w:val="20"/>
              </w:rPr>
            </w:r>
          </w:p>
        </w:tc>
      </w:tr>
      <w:tr>
        <w:trPr>
          <w:trHeight w:val="255" w:hRule="atLeast"/>
        </w:trPr>
        <w:tc>
          <w:tcPr>
            <w:tcW w:w="2694" w:type="dxa"/>
            <w:gridSpan w:val="2"/>
            <w:tcBorders/>
            <w:shd w:color="auto" w:fill="auto" w:val="clear"/>
            <w:vAlign w:val="bottom"/>
          </w:tcPr>
          <w:p>
            <w:pPr>
              <w:pStyle w:val="Normal"/>
              <w:rPr>
                <w:rFonts w:ascii="Calibri" w:hAnsi="Calibri"/>
                <w:sz w:val="20"/>
                <w:szCs w:val="20"/>
              </w:rPr>
            </w:pPr>
            <w:r>
              <w:rPr>
                <w:rFonts w:ascii="Calibri" w:hAnsi="Calibri"/>
                <w:sz w:val="20"/>
                <w:szCs w:val="20"/>
              </w:rPr>
              <w:t>*** p&lt;0.01, ** p&lt;0.05, * p&lt;0.1</w:t>
            </w:r>
          </w:p>
        </w:tc>
        <w:tc>
          <w:tcPr>
            <w:tcW w:w="14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49" w:type="dxa"/>
            <w:gridSpan w:val="2"/>
            <w:tcBorders/>
            <w:shd w:color="auto" w:fill="auto" w:val="clear"/>
            <w:vAlign w:val="bottom"/>
          </w:tcPr>
          <w:p>
            <w:pPr>
              <w:pStyle w:val="Normal"/>
              <w:rPr>
                <w:rFonts w:ascii="Calibri" w:hAnsi="Calibri"/>
                <w:sz w:val="20"/>
                <w:szCs w:val="20"/>
              </w:rPr>
            </w:pPr>
            <w:r>
              <w:rPr>
                <w:rFonts w:ascii="Calibri" w:hAnsi="Calibri"/>
                <w:sz w:val="20"/>
                <w:szCs w:val="20"/>
              </w:rPr>
            </w:r>
          </w:p>
        </w:tc>
        <w:tc>
          <w:tcPr>
            <w:tcW w:w="1250" w:type="dxa"/>
            <w:tcBorders/>
            <w:shd w:color="auto" w:fill="auto" w:val="clear"/>
            <w:vAlign w:val="bottom"/>
          </w:tcPr>
          <w:p>
            <w:pPr>
              <w:pStyle w:val="Normal"/>
              <w:rPr>
                <w:rFonts w:ascii="Calibri" w:hAnsi="Calibri"/>
                <w:sz w:val="20"/>
                <w:szCs w:val="20"/>
              </w:rPr>
            </w:pPr>
            <w:r>
              <w:rPr>
                <w:rFonts w:ascii="Calibri" w:hAnsi="Calibri"/>
                <w:sz w:val="20"/>
                <w:szCs w:val="20"/>
              </w:rPr>
            </w:r>
          </w:p>
        </w:tc>
        <w:tc>
          <w:tcPr>
            <w:tcW w:w="1460" w:type="dxa"/>
            <w:tcBorders/>
            <w:shd w:color="auto" w:fill="auto" w:val="clear"/>
            <w:vAlign w:val="bottom"/>
          </w:tcPr>
          <w:p>
            <w:pPr>
              <w:pStyle w:val="Normal"/>
              <w:rPr>
                <w:rFonts w:ascii="Calibri" w:hAnsi="Calibri"/>
                <w:sz w:val="20"/>
                <w:szCs w:val="20"/>
              </w:rPr>
            </w:pPr>
            <w:r>
              <w:rPr>
                <w:rFonts w:ascii="Calibri" w:hAnsi="Calibri"/>
                <w:sz w:val="20"/>
                <w:szCs w:val="20"/>
              </w:rPr>
            </w:r>
          </w:p>
        </w:tc>
      </w:tr>
    </w:tbl>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p>
      <w:pPr>
        <w:pStyle w:val="Normal"/>
        <w:spacing w:lineRule="auto" w:line="360"/>
        <w:jc w:val="both"/>
        <w:rPr/>
      </w:pPr>
      <w:r>
        <w:rPr/>
        <w:t xml:space="preserve">The results of the mechanism test on income can be seen in </w:t>
      </w:r>
      <w:r>
        <w:rPr>
          <w:b/>
        </w:rPr>
        <w:t>TABLE 12!!!@#!@</w:t>
      </w:r>
      <w:r>
        <w:rPr/>
        <w:t xml:space="preserve">. The DID coefficients are insignificant in all regressions which implies that the difference in income of the treatment and control group did not change significantly. This implies that the treatment did not have an undesired effect on income which could have influenced health through the income channel. </w:t>
      </w:r>
    </w:p>
    <w:p>
      <w:pPr>
        <w:pStyle w:val="Caption2"/>
        <w:keepNext/>
        <w:rPr/>
      </w:pPr>
      <w:r>
        <w:rPr/>
        <w:t xml:space="preserve">Table </w:t>
      </w:r>
      <w:r>
        <w:rPr/>
        <w:fldChar w:fldCharType="begin"/>
      </w:r>
      <w:r>
        <w:instrText> SEQ Table \* ARABIC </w:instrText>
      </w:r>
      <w:r>
        <w:fldChar w:fldCharType="separate"/>
      </w:r>
      <w:r>
        <w:t>12</w:t>
      </w:r>
      <w:r>
        <w:fldChar w:fldCharType="end"/>
      </w:r>
      <w:r>
        <w:rPr/>
        <w:t>:mechanism test income</w:t>
      </w:r>
    </w:p>
    <w:tbl>
      <w:tblPr>
        <w:tblW w:w="6808"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9"/>
        <w:gridCol w:w="1342"/>
        <w:gridCol w:w="1342"/>
        <w:gridCol w:w="1"/>
        <w:gridCol w:w="1341"/>
        <w:gridCol w:w="1"/>
        <w:gridCol w:w="1342"/>
      </w:tblGrid>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268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same observations</w:t>
            </w:r>
          </w:p>
        </w:tc>
        <w:tc>
          <w:tcPr>
            <w:tcW w:w="2685"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recurring individuals</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42"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134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4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ntot</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3"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-1,028</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1,432</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-23</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-743</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(1,065)</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(1,193)</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(1,705)</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(1,860)</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14,765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13,736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15,206 ***</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14,488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(722)</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(886)</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(1,203)</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(1,301)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2,964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1,280</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1,501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(753)</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(872)</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(1,284)</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(1,467)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13,641 ***</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16,605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14,829 ***</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16,799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(505)</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(631)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(898)</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(1,008)</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342" w:type="dxa"/>
            <w:tcBorders>
              <w:right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c>
          <w:tcPr>
            <w:tcW w:w="1342"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1,030</w:t>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1,176</w:t>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0.2255</w:t>
            </w:r>
          </w:p>
        </w:tc>
        <w:tc>
          <w:tcPr>
            <w:tcW w:w="1342"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0.1855</w:t>
            </w:r>
          </w:p>
        </w:tc>
        <w:tc>
          <w:tcPr>
            <w:tcW w:w="1342"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0.2383</w:t>
            </w:r>
          </w:p>
        </w:tc>
        <w:tc>
          <w:tcPr>
            <w:tcW w:w="1343"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0.1665</w:t>
            </w:r>
          </w:p>
        </w:tc>
      </w:tr>
      <w:tr>
        <w:trPr>
          <w:trHeight w:val="255" w:hRule="atLeast"/>
        </w:trPr>
        <w:tc>
          <w:tcPr>
            <w:tcW w:w="4124"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34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78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spacing w:lineRule="auto" w:line="360"/>
        <w:jc w:val="both"/>
        <w:rPr>
          <w:b/>
          <w:b/>
        </w:rPr>
      </w:pPr>
      <w:r>
        <w:rPr>
          <w:b/>
        </w:rPr>
      </w:r>
    </w:p>
    <w:p>
      <w:pPr>
        <w:pStyle w:val="Heading2"/>
        <w:rPr/>
      </w:pPr>
      <w:r>
        <w:rPr/>
        <w:t>Characteristics</w:t>
      </w:r>
    </w:p>
    <w:p>
      <w:pPr>
        <w:pStyle w:val="Normal"/>
        <w:spacing w:lineRule="auto" w:line="360"/>
        <w:jc w:val="both"/>
        <w:rPr/>
      </w:pPr>
      <w:r>
        <w:rPr/>
        <w:t>The results of the tests testing whether the characteristics have changed in the “all observations group” can be seen in table 11. Table 11 shows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health might be explained partly by one or more of the changed characteristics. Because characteristics have remained the same in the group with only observations of repeated repliers, this could only form a problem in the all observations group.</w:t>
      </w:r>
    </w:p>
    <w:p>
      <w:pPr>
        <w:pStyle w:val="Normal"/>
        <w:spacing w:lineRule="auto" w:line="360"/>
        <w:jc w:val="both"/>
        <w:rPr/>
      </w:pPr>
      <w:r>
        <w:rPr/>
        <w:tab/>
        <w:t>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The other three tested characteristics, education, net income and unemployment, did not significantly change. So the only characteristic that changed significantly is gender in the period of 2013 – 2017. Therefore, some of the variation of the difference in health in the period 2013 – 2017 between the control group and treatment group might be explained by the change in the male to female ratio.</w:t>
      </w:r>
    </w:p>
    <w:p>
      <w:pPr>
        <w:pStyle w:val="Normal"/>
        <w:spacing w:lineRule="auto" w:line="360"/>
        <w:jc w:val="both"/>
        <w:rPr/>
      </w:pPr>
      <w:r>
        <w:rPr/>
      </w:r>
    </w:p>
    <w:p>
      <w:pPr>
        <w:pStyle w:val="Caption2"/>
        <w:keepNext/>
        <w:spacing w:lineRule="auto" w:line="360"/>
        <w:jc w:val="both"/>
        <w:rPr/>
      </w:pPr>
      <w:commentRangeStart w:id="17"/>
      <w:r>
        <w:rPr/>
        <w:t xml:space="preserve">Table </w:t>
      </w:r>
      <w:r>
        <w:rPr/>
        <w:fldChar w:fldCharType="begin"/>
      </w:r>
      <w:r>
        <w:instrText> SEQ Table \* ARABIC </w:instrText>
      </w:r>
      <w:r>
        <w:fldChar w:fldCharType="separate"/>
      </w:r>
      <w:r>
        <w:t>13</w:t>
      </w:r>
      <w:r>
        <w:fldChar w:fldCharType="end"/>
      </w:r>
      <w:r>
        <w:rPr/>
        <w:t xml:space="preserve">: characteristics check </w:t>
      </w:r>
      <w:commentRangeEnd w:id="17"/>
      <w:r>
        <w:commentReference w:id="17"/>
      </w:r>
      <w:r>
        <w:rPr/>
      </w:r>
    </w:p>
    <w:tbl>
      <w:tblPr>
        <w:tblW w:w="9854" w:type="dxa"/>
        <w:jc w:val="center"/>
        <w:tblInd w:w="0" w:type="dxa"/>
        <w:tblBorders/>
        <w:tblCellMar>
          <w:top w:w="0" w:type="dxa"/>
          <w:left w:w="108" w:type="dxa"/>
          <w:bottom w:w="0" w:type="dxa"/>
          <w:right w:w="108" w:type="dxa"/>
        </w:tblCellMar>
        <w:tblLook w:val="04a0" w:noVBand="1" w:noHBand="0" w:lastColumn="0" w:firstColumn="1" w:lastRow="0" w:firstRow="1"/>
      </w:tblPr>
      <w:tblGrid>
        <w:gridCol w:w="5"/>
        <w:gridCol w:w="820"/>
        <w:gridCol w:w="237"/>
        <w:gridCol w:w="691"/>
        <w:gridCol w:w="703"/>
        <w:gridCol w:w="378"/>
        <w:gridCol w:w="390"/>
        <w:gridCol w:w="1276"/>
        <w:gridCol w:w="1278"/>
        <w:gridCol w:w="1418"/>
        <w:gridCol w:w="1276"/>
        <w:gridCol w:w="1381"/>
      </w:tblGrid>
      <w:tr>
        <w:trPr>
          <w:trHeight w:val="510" w:hRule="atLeast"/>
        </w:trPr>
        <w:tc>
          <w:tcPr>
            <w:tcW w:w="5" w:type="dxa"/>
            <w:tcBorders/>
            <w:shd w:fill="auto" w:val="clear"/>
          </w:tcPr>
          <w:p>
            <w:pPr>
              <w:pStyle w:val="Caption2"/>
              <w:keepNext/>
              <w:spacing w:lineRule="auto" w:line="360" w:before="120" w:after="120"/>
              <w:jc w:val="both"/>
              <w:rPr/>
            </w:pPr>
            <w:r>
              <w:rPr/>
            </w:r>
          </w:p>
        </w:tc>
        <w:tc>
          <w:tcPr>
            <w:tcW w:w="1748" w:type="dxa"/>
            <w:gridSpan w:val="3"/>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71" w:type="dxa"/>
            <w:gridSpan w:val="3"/>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2007 - 2013</w:t>
            </w:r>
          </w:p>
        </w:tc>
        <w:tc>
          <w:tcPr>
            <w:tcW w:w="1276" w:type="dxa"/>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2013 -2017</w:t>
            </w:r>
          </w:p>
        </w:tc>
        <w:tc>
          <w:tcPr>
            <w:tcW w:w="1278"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2007-2013</w:t>
            </w:r>
          </w:p>
        </w:tc>
        <w:tc>
          <w:tcPr>
            <w:tcW w:w="1418" w:type="dxa"/>
            <w:tcBorders>
              <w:top w:val="single" w:sz="8" w:space="0" w:color="000001"/>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2013-2017</w:t>
            </w:r>
          </w:p>
        </w:tc>
        <w:tc>
          <w:tcPr>
            <w:tcW w:w="1276"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2007-2013</w:t>
            </w:r>
          </w:p>
        </w:tc>
        <w:tc>
          <w:tcPr>
            <w:tcW w:w="1381"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2013- 2017</w:t>
            </w:r>
          </w:p>
        </w:tc>
      </w:tr>
      <w:tr>
        <w:trPr>
          <w:trHeight w:val="525" w:hRule="atLeast"/>
        </w:trPr>
        <w:tc>
          <w:tcPr>
            <w:tcW w:w="5" w:type="dxa"/>
            <w:tcBorders/>
            <w:shd w:fill="auto" w:val="clear"/>
          </w:tcPr>
          <w:p>
            <w:pPr>
              <w:pStyle w:val="Normal"/>
              <w:rPr/>
            </w:pPr>
            <w:r>
              <w:rPr/>
            </w:r>
          </w:p>
        </w:tc>
        <w:tc>
          <w:tcPr>
            <w:tcW w:w="1748" w:type="dxa"/>
            <w:gridSpan w:val="3"/>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VARIABLES</w:t>
            </w:r>
          </w:p>
        </w:tc>
        <w:tc>
          <w:tcPr>
            <w:tcW w:w="1471" w:type="dxa"/>
            <w:gridSpan w:val="3"/>
            <w:tcBorders>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gender</w:t>
            </w:r>
          </w:p>
        </w:tc>
        <w:tc>
          <w:tcPr>
            <w:tcW w:w="1276" w:type="dxa"/>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Gender</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education</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education</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net income</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net income</w:t>
            </w:r>
          </w:p>
        </w:tc>
      </w:tr>
      <w:tr>
        <w:trPr>
          <w:trHeight w:val="300" w:hRule="atLeast"/>
        </w:trPr>
        <w:tc>
          <w:tcPr>
            <w:tcW w:w="5" w:type="dxa"/>
            <w:tcBorders/>
            <w:shd w:fill="auto" w:val="clear"/>
          </w:tcPr>
          <w:p>
            <w:pPr>
              <w:pStyle w:val="Normal"/>
              <w:rPr/>
            </w:pPr>
            <w:r>
              <w:rPr/>
            </w:r>
          </w:p>
        </w:tc>
        <w:tc>
          <w:tcPr>
            <w:tcW w:w="1748" w:type="dxa"/>
            <w:gridSpan w:val="3"/>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71" w:type="dxa"/>
            <w:gridSpan w:val="3"/>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top w:val="single" w:sz="8" w:space="0" w:color="000001"/>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8"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418" w:type="dxa"/>
            <w:tcBorders>
              <w:top w:val="single" w:sz="8" w:space="0" w:color="000001"/>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381" w:type="dxa"/>
            <w:tcBorders>
              <w:top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 </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DID</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-0.0052</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-0.0644*</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-0.0392</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0.0111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-1,028</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1,431</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(-0.036)</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(-0.0362)</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(-0.038)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(-0.0379)</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(-1,065)</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(-1,193)</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time</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0.0133</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-0.0008</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0.0807***</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-0.0678**</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2,964***</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-31.3424</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(-0.0254)</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(-0.0265)</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(-0.0268)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(-0.0277)</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(-752)</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(-872)</w:t>
            </w:r>
          </w:p>
        </w:tc>
      </w:tr>
      <w:tr>
        <w:trPr>
          <w:trHeight w:val="510" w:hRule="atLeast"/>
        </w:trPr>
        <w:tc>
          <w:tcPr>
            <w:tcW w:w="5" w:type="dxa"/>
            <w:tcBorders/>
            <w:shd w:fill="auto" w:val="clear"/>
          </w:tcPr>
          <w:p>
            <w:pPr>
              <w:pStyle w:val="Normal"/>
              <w:rPr/>
            </w:pPr>
            <w:r>
              <w:rPr/>
            </w:r>
          </w:p>
        </w:tc>
        <w:tc>
          <w:tcPr>
            <w:tcW w:w="820" w:type="dxa"/>
            <w:tcBorders/>
            <w:shd w:color="auto" w:fill="auto" w:val="clear"/>
            <w:vAlign w:val="center"/>
          </w:tcPr>
          <w:p>
            <w:pPr>
              <w:pStyle w:val="Normal"/>
              <w:jc w:val="both"/>
              <w:rPr>
                <w:rFonts w:ascii="Calibri" w:hAnsi="Calibri"/>
                <w:sz w:val="20"/>
                <w:szCs w:val="20"/>
              </w:rPr>
            </w:pPr>
            <w:r>
              <w:rPr>
                <w:rFonts w:ascii="Calibri" w:hAnsi="Calibri"/>
                <w:sz w:val="20"/>
                <w:szCs w:val="20"/>
              </w:rPr>
              <w:t>treated</w:t>
            </w:r>
          </w:p>
        </w:tc>
        <w:tc>
          <w:tcPr>
            <w:tcW w:w="928" w:type="dxa"/>
            <w:gridSpan w:val="2"/>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081" w:type="dxa"/>
            <w:gridSpan w:val="2"/>
            <w:tcBorders/>
            <w:shd w:color="auto" w:fill="auto" w:val="clear"/>
            <w:vAlign w:val="center"/>
          </w:tcPr>
          <w:p>
            <w:pPr>
              <w:pStyle w:val="Normal"/>
              <w:jc w:val="both"/>
              <w:rPr>
                <w:rFonts w:ascii="Calibri" w:hAnsi="Calibri"/>
                <w:sz w:val="20"/>
                <w:szCs w:val="20"/>
              </w:rPr>
            </w:pPr>
            <w:r>
              <w:rPr>
                <w:rFonts w:ascii="Calibri" w:hAnsi="Calibri"/>
                <w:sz w:val="20"/>
                <w:szCs w:val="20"/>
              </w:rPr>
              <w:t>0.3971***</w:t>
            </w:r>
          </w:p>
        </w:tc>
        <w:tc>
          <w:tcPr>
            <w:tcW w:w="39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6" w:type="dxa"/>
            <w:tcBorders>
              <w:right w:val="single" w:sz="4" w:space="0" w:color="00000A"/>
              <w:insideV w:val="single" w:sz="4"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0.3919***</w:t>
            </w:r>
          </w:p>
        </w:tc>
        <w:tc>
          <w:tcPr>
            <w:tcW w:w="1278" w:type="dxa"/>
            <w:tcBorders>
              <w:left w:val="single" w:sz="4" w:space="0" w:color="00000A"/>
            </w:tcBorders>
            <w:shd w:color="auto" w:fill="auto" w:val="clear"/>
            <w:tcMar>
              <w:left w:w="103" w:type="dxa"/>
            </w:tcMar>
            <w:vAlign w:val="center"/>
          </w:tcPr>
          <w:p>
            <w:pPr>
              <w:pStyle w:val="Normal"/>
              <w:jc w:val="both"/>
              <w:rPr>
                <w:rFonts w:ascii="Calibri" w:hAnsi="Calibri"/>
                <w:sz w:val="20"/>
                <w:szCs w:val="20"/>
              </w:rPr>
            </w:pPr>
            <w:r>
              <w:rPr>
                <w:rFonts w:ascii="Calibri" w:hAnsi="Calibri"/>
                <w:sz w:val="20"/>
                <w:szCs w:val="20"/>
              </w:rPr>
              <w:t>0.2010***</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0.1619***</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14,764***</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13,736***</w:t>
            </w:r>
          </w:p>
        </w:tc>
      </w:tr>
      <w:tr>
        <w:trPr>
          <w:trHeight w:val="300" w:hRule="atLeast"/>
        </w:trPr>
        <w:tc>
          <w:tcPr>
            <w:tcW w:w="5" w:type="dxa"/>
            <w:tcBorders/>
            <w:shd w:fill="auto" w:val="clear"/>
          </w:tcPr>
          <w:p>
            <w:pPr>
              <w:pStyle w:val="Normal"/>
              <w:rPr/>
            </w:pPr>
            <w:r>
              <w:rPr/>
            </w:r>
          </w:p>
        </w:tc>
        <w:tc>
          <w:tcPr>
            <w:tcW w:w="82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928" w:type="dxa"/>
            <w:gridSpan w:val="2"/>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081" w:type="dxa"/>
            <w:gridSpan w:val="2"/>
            <w:tcBorders/>
            <w:shd w:color="auto" w:fill="auto" w:val="clear"/>
            <w:vAlign w:val="center"/>
          </w:tcPr>
          <w:p>
            <w:pPr>
              <w:pStyle w:val="Normal"/>
              <w:jc w:val="both"/>
              <w:rPr>
                <w:rFonts w:ascii="Calibri" w:hAnsi="Calibri"/>
                <w:sz w:val="20"/>
                <w:szCs w:val="20"/>
              </w:rPr>
            </w:pPr>
            <w:r>
              <w:rPr>
                <w:rFonts w:ascii="Calibri" w:hAnsi="Calibri"/>
                <w:sz w:val="20"/>
                <w:szCs w:val="20"/>
              </w:rPr>
              <w:t>(-0.0244)</w:t>
            </w:r>
          </w:p>
        </w:tc>
        <w:tc>
          <w:tcPr>
            <w:tcW w:w="390" w:type="dxa"/>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6" w:type="dxa"/>
            <w:tcBorders>
              <w:right w:val="single" w:sz="4" w:space="0" w:color="00000A"/>
              <w:insideV w:val="single" w:sz="4"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(-0.0269)</w:t>
            </w:r>
          </w:p>
        </w:tc>
        <w:tc>
          <w:tcPr>
            <w:tcW w:w="1278" w:type="dxa"/>
            <w:tcBorders>
              <w:left w:val="single" w:sz="4" w:space="0" w:color="00000A"/>
            </w:tcBorders>
            <w:shd w:color="auto" w:fill="auto" w:val="clear"/>
            <w:tcMar>
              <w:left w:w="103" w:type="dxa"/>
            </w:tcMar>
            <w:vAlign w:val="center"/>
          </w:tcPr>
          <w:p>
            <w:pPr>
              <w:pStyle w:val="Normal"/>
              <w:jc w:val="both"/>
              <w:rPr>
                <w:rFonts w:ascii="Calibri" w:hAnsi="Calibri"/>
                <w:sz w:val="20"/>
                <w:szCs w:val="20"/>
              </w:rPr>
            </w:pPr>
            <w:r>
              <w:rPr>
                <w:rFonts w:ascii="Calibri" w:hAnsi="Calibri"/>
                <w:sz w:val="20"/>
                <w:szCs w:val="20"/>
              </w:rPr>
              <w:t>(-0.0257)</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(-0.0281)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(-721)</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(-885)</w:t>
            </w:r>
          </w:p>
        </w:tc>
      </w:tr>
      <w:tr>
        <w:trPr>
          <w:trHeight w:val="51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Constant</w:t>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0.3576***</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0.3709***</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0.2749***</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0.3556***</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13,641***</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16,605***</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jc w:val="both"/>
              <w:rPr>
                <w:rFonts w:ascii="Calibri" w:hAnsi="Calibri"/>
                <w:sz w:val="20"/>
                <w:szCs w:val="20"/>
              </w:rPr>
            </w:pPr>
            <w:r>
              <w:rPr>
                <w:rFonts w:ascii="Calibri" w:hAnsi="Calibri"/>
                <w:sz w:val="20"/>
                <w:szCs w:val="20"/>
              </w:rPr>
              <w:t>(-0.0171)</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(-0.0192)</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(-0.018)</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(-0.02)</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(-505)</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(-631)</w:t>
            </w:r>
          </w:p>
        </w:tc>
      </w:tr>
      <w:tr>
        <w:trPr>
          <w:trHeight w:val="300" w:hRule="atLeast"/>
        </w:trPr>
        <w:tc>
          <w:tcPr>
            <w:tcW w:w="5" w:type="dxa"/>
            <w:tcBorders/>
            <w:shd w:fill="auto" w:val="clear"/>
          </w:tcPr>
          <w:p>
            <w:pPr>
              <w:pStyle w:val="Normal"/>
              <w:rPr/>
            </w:pPr>
            <w:r>
              <w:rPr/>
            </w:r>
          </w:p>
        </w:tc>
        <w:tc>
          <w:tcPr>
            <w:tcW w:w="1748" w:type="dxa"/>
            <w:gridSpan w:val="3"/>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471" w:type="dxa"/>
            <w:gridSpan w:val="3"/>
            <w:tcBorders/>
            <w:shd w:color="auto" w:fill="auto" w:val="clear"/>
            <w:vAlign w:val="center"/>
          </w:tcPr>
          <w:p>
            <w:pPr>
              <w:pStyle w:val="Normal"/>
              <w:rPr>
                <w:color w:val="000000"/>
                <w:sz w:val="20"/>
                <w:szCs w:val="20"/>
              </w:rPr>
            </w:pPr>
            <w:r>
              <w:rPr>
                <w:color w:val="000000"/>
                <w:sz w:val="20"/>
                <w:szCs w:val="20"/>
              </w:rPr>
              <w:t> </w:t>
            </w:r>
          </w:p>
        </w:tc>
        <w:tc>
          <w:tcPr>
            <w:tcW w:w="1276" w:type="dxa"/>
            <w:tcBorders>
              <w:right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r>
          </w:p>
        </w:tc>
        <w:tc>
          <w:tcPr>
            <w:tcW w:w="1278" w:type="dxa"/>
            <w:tcBorders/>
            <w:shd w:color="auto" w:fill="auto" w:val="clear"/>
            <w:vAlign w:val="center"/>
          </w:tcPr>
          <w:p>
            <w:pPr>
              <w:pStyle w:val="Normal"/>
              <w:rPr>
                <w:color w:val="000000"/>
                <w:sz w:val="20"/>
                <w:szCs w:val="20"/>
              </w:rPr>
            </w:pPr>
            <w:r>
              <w:rPr>
                <w:color w:val="000000"/>
                <w:sz w:val="20"/>
                <w:szCs w:val="20"/>
              </w:rPr>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 </w:t>
            </w:r>
          </w:p>
        </w:tc>
        <w:tc>
          <w:tcPr>
            <w:tcW w:w="1276" w:type="dxa"/>
            <w:tcBorders/>
            <w:shd w:color="auto" w:fill="auto" w:val="clear"/>
            <w:vAlign w:val="center"/>
          </w:tcPr>
          <w:p>
            <w:pPr>
              <w:pStyle w:val="Normal"/>
              <w:rPr>
                <w:color w:val="000000"/>
                <w:sz w:val="20"/>
                <w:szCs w:val="20"/>
              </w:rPr>
            </w:pPr>
            <w:r>
              <w:rPr>
                <w:color w:val="000000"/>
                <w:sz w:val="20"/>
                <w:szCs w:val="20"/>
              </w:rPr>
            </w:r>
          </w:p>
        </w:tc>
        <w:tc>
          <w:tcPr>
            <w:tcW w:w="1381" w:type="dxa"/>
            <w:tcBorders/>
            <w:shd w:color="auto" w:fill="auto" w:val="clear"/>
            <w:vAlign w:val="center"/>
          </w:tcPr>
          <w:p>
            <w:pPr>
              <w:pStyle w:val="Normal"/>
              <w:rPr>
                <w:color w:val="000000"/>
                <w:sz w:val="20"/>
                <w:szCs w:val="20"/>
              </w:rPr>
            </w:pPr>
            <w:r>
              <w:rPr>
                <w:color w:val="000000"/>
                <w:sz w:val="20"/>
                <w:szCs w:val="20"/>
              </w:rPr>
            </w:r>
          </w:p>
        </w:tc>
      </w:tr>
      <w:tr>
        <w:trPr>
          <w:trHeight w:val="315" w:hRule="atLeast"/>
        </w:trPr>
        <w:tc>
          <w:tcPr>
            <w:tcW w:w="5" w:type="dxa"/>
            <w:tcBorders/>
            <w:shd w:fill="auto" w:val="clear"/>
          </w:tcPr>
          <w:p>
            <w:pPr>
              <w:pStyle w:val="Normal"/>
              <w:rPr/>
            </w:pPr>
            <w:r>
              <w:rPr/>
            </w:r>
          </w:p>
        </w:tc>
        <w:tc>
          <w:tcPr>
            <w:tcW w:w="1748" w:type="dxa"/>
            <w:gridSpan w:val="3"/>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Observations</w:t>
            </w:r>
          </w:p>
        </w:tc>
        <w:tc>
          <w:tcPr>
            <w:tcW w:w="1471" w:type="dxa"/>
            <w:gridSpan w:val="3"/>
            <w:tcBorders>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276" w:type="dxa"/>
            <w:tcBorders>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c>
          <w:tcPr>
            <w:tcW w:w="1278" w:type="dxa"/>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418" w:type="dxa"/>
            <w:tcBorders>
              <w:right w:val="single" w:sz="8" w:space="0" w:color="00000A"/>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c>
          <w:tcPr>
            <w:tcW w:w="1276" w:type="dxa"/>
            <w:tcBorders/>
            <w:shd w:color="auto" w:fill="auto" w:val="clear"/>
            <w:vAlign w:val="center"/>
          </w:tcPr>
          <w:p>
            <w:pPr>
              <w:pStyle w:val="Normal"/>
              <w:jc w:val="both"/>
              <w:rPr>
                <w:rFonts w:ascii="Calibri" w:hAnsi="Calibri"/>
                <w:sz w:val="20"/>
                <w:szCs w:val="20"/>
              </w:rPr>
            </w:pPr>
            <w:r>
              <w:rPr>
                <w:rFonts w:ascii="Calibri" w:hAnsi="Calibri"/>
                <w:sz w:val="20"/>
                <w:szCs w:val="20"/>
              </w:rPr>
              <w:t>2,586</w:t>
            </w:r>
          </w:p>
        </w:tc>
        <w:tc>
          <w:tcPr>
            <w:tcW w:w="1381" w:type="dxa"/>
            <w:tcBorders/>
            <w:shd w:color="auto" w:fill="auto" w:val="clear"/>
            <w:vAlign w:val="center"/>
          </w:tcPr>
          <w:p>
            <w:pPr>
              <w:pStyle w:val="Normal"/>
              <w:jc w:val="both"/>
              <w:rPr>
                <w:rFonts w:ascii="Calibri" w:hAnsi="Calibri"/>
                <w:sz w:val="20"/>
                <w:szCs w:val="20"/>
              </w:rPr>
            </w:pPr>
            <w:r>
              <w:rPr>
                <w:rFonts w:ascii="Calibri" w:hAnsi="Calibri"/>
                <w:sz w:val="20"/>
                <w:szCs w:val="20"/>
              </w:rPr>
              <w:t>2,671</w:t>
            </w:r>
          </w:p>
        </w:tc>
      </w:tr>
      <w:tr>
        <w:trPr>
          <w:trHeight w:val="315" w:hRule="atLeast"/>
        </w:trPr>
        <w:tc>
          <w:tcPr>
            <w:tcW w:w="5" w:type="dxa"/>
            <w:tcBorders/>
            <w:shd w:fill="auto" w:val="clear"/>
          </w:tcPr>
          <w:p>
            <w:pPr>
              <w:pStyle w:val="Normal"/>
              <w:rPr/>
            </w:pPr>
            <w:r>
              <w:rPr/>
            </w:r>
          </w:p>
        </w:tc>
        <w:tc>
          <w:tcPr>
            <w:tcW w:w="1748" w:type="dxa"/>
            <w:gridSpan w:val="3"/>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0.1584</w:t>
            </w:r>
          </w:p>
        </w:tc>
        <w:tc>
          <w:tcPr>
            <w:tcW w:w="1276"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0.129</w:t>
            </w:r>
          </w:p>
        </w:tc>
        <w:tc>
          <w:tcPr>
            <w:tcW w:w="1278"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0.0395</w:t>
            </w:r>
          </w:p>
        </w:tc>
        <w:tc>
          <w:tcPr>
            <w:tcW w:w="1418" w:type="dxa"/>
            <w:tcBorders>
              <w:top w:val="single" w:sz="8" w:space="0" w:color="000001"/>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jc w:val="both"/>
              <w:rPr>
                <w:rFonts w:ascii="Calibri" w:hAnsi="Calibri"/>
                <w:sz w:val="20"/>
                <w:szCs w:val="20"/>
              </w:rPr>
            </w:pPr>
            <w:r>
              <w:rPr>
                <w:rFonts w:ascii="Calibri" w:hAnsi="Calibri"/>
                <w:sz w:val="20"/>
                <w:szCs w:val="20"/>
              </w:rPr>
              <w:t>0.0317</w:t>
            </w:r>
          </w:p>
        </w:tc>
        <w:tc>
          <w:tcPr>
            <w:tcW w:w="1276"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0.2255</w:t>
            </w:r>
          </w:p>
        </w:tc>
        <w:tc>
          <w:tcPr>
            <w:tcW w:w="1381" w:type="dxa"/>
            <w:tcBorders>
              <w:top w:val="single" w:sz="8" w:space="0" w:color="000001"/>
              <w:bottom w:val="single" w:sz="8" w:space="0" w:color="000001"/>
              <w:insideH w:val="single" w:sz="8" w:space="0" w:color="000001"/>
            </w:tcBorders>
            <w:shd w:color="auto" w:fill="auto" w:val="clear"/>
            <w:vAlign w:val="center"/>
          </w:tcPr>
          <w:p>
            <w:pPr>
              <w:pStyle w:val="Normal"/>
              <w:jc w:val="both"/>
              <w:rPr>
                <w:rFonts w:ascii="Calibri" w:hAnsi="Calibri"/>
                <w:sz w:val="20"/>
                <w:szCs w:val="20"/>
              </w:rPr>
            </w:pPr>
            <w:r>
              <w:rPr>
                <w:rFonts w:ascii="Calibri" w:hAnsi="Calibri"/>
                <w:sz w:val="20"/>
                <w:szCs w:val="20"/>
              </w:rPr>
              <w:t>0.1855</w:t>
            </w:r>
          </w:p>
        </w:tc>
      </w:tr>
      <w:tr>
        <w:trPr>
          <w:trHeight w:val="300" w:hRule="atLeast"/>
        </w:trPr>
        <w:tc>
          <w:tcPr>
            <w:tcW w:w="5" w:type="dxa"/>
            <w:tcBorders/>
            <w:shd w:fill="auto" w:val="clear"/>
          </w:tcPr>
          <w:p>
            <w:pPr>
              <w:pStyle w:val="Normal"/>
              <w:rPr/>
            </w:pPr>
            <w:r>
              <w:rPr/>
            </w:r>
          </w:p>
        </w:tc>
        <w:tc>
          <w:tcPr>
            <w:tcW w:w="3219" w:type="dxa"/>
            <w:gridSpan w:val="6"/>
            <w:tcBorders>
              <w:top w:val="single" w:sz="8" w:space="0" w:color="000001"/>
            </w:tcBorders>
            <w:shd w:color="auto" w:fill="auto" w:val="clear"/>
            <w:vAlign w:val="center"/>
          </w:tcPr>
          <w:p>
            <w:pPr>
              <w:pStyle w:val="Normal"/>
              <w:rPr>
                <w:rFonts w:ascii="Calibri" w:hAnsi="Calibri"/>
                <w:sz w:val="20"/>
                <w:szCs w:val="20"/>
              </w:rPr>
            </w:pPr>
            <w:r>
              <w:rPr>
                <w:rFonts w:ascii="Calibri" w:hAnsi="Calibri"/>
                <w:sz w:val="20"/>
                <w:szCs w:val="20"/>
              </w:rPr>
              <w:t>Standard errors in parentheses</w:t>
            </w:r>
          </w:p>
        </w:tc>
        <w:tc>
          <w:tcPr>
            <w:tcW w:w="1276" w:type="dxa"/>
            <w:tcBorders>
              <w:top w:val="single" w:sz="8" w:space="0" w:color="000001"/>
            </w:tcBorders>
            <w:shd w:color="auto" w:fill="auto" w:val="clear"/>
            <w:vAlign w:val="bottom"/>
          </w:tcPr>
          <w:p>
            <w:pPr>
              <w:pStyle w:val="Normal"/>
              <w:rPr>
                <w:color w:val="000000"/>
                <w:sz w:val="20"/>
                <w:szCs w:val="20"/>
              </w:rPr>
            </w:pPr>
            <w:r>
              <w:rPr>
                <w:color w:val="000000"/>
                <w:sz w:val="20"/>
                <w:szCs w:val="20"/>
              </w:rPr>
              <w:t> </w:t>
            </w:r>
          </w:p>
        </w:tc>
        <w:tc>
          <w:tcPr>
            <w:tcW w:w="1278" w:type="dxa"/>
            <w:tcBorders/>
            <w:shd w:color="auto" w:fill="auto" w:val="clear"/>
            <w:vAlign w:val="bottom"/>
          </w:tcPr>
          <w:p>
            <w:pPr>
              <w:pStyle w:val="Normal"/>
              <w:rPr>
                <w:color w:val="000000"/>
                <w:sz w:val="20"/>
                <w:szCs w:val="20"/>
              </w:rPr>
            </w:pPr>
            <w:r>
              <w:rPr>
                <w:color w:val="000000"/>
                <w:sz w:val="20"/>
                <w:szCs w:val="20"/>
              </w:rPr>
            </w:r>
          </w:p>
        </w:tc>
        <w:tc>
          <w:tcPr>
            <w:tcW w:w="1418" w:type="dxa"/>
            <w:tcBorders/>
            <w:shd w:color="auto" w:fill="auto" w:val="clear"/>
            <w:vAlign w:val="bottom"/>
          </w:tcPr>
          <w:p>
            <w:pPr>
              <w:pStyle w:val="Normal"/>
              <w:rPr>
                <w:color w:val="000000"/>
                <w:sz w:val="20"/>
                <w:szCs w:val="20"/>
              </w:rPr>
            </w:pPr>
            <w:r>
              <w:rPr>
                <w:color w:val="000000"/>
                <w:sz w:val="20"/>
                <w:szCs w:val="20"/>
              </w:rPr>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381" w:type="dxa"/>
            <w:tcBorders/>
            <w:shd w:color="auto" w:fill="auto" w:val="clear"/>
            <w:vAlign w:val="bottom"/>
          </w:tcPr>
          <w:p>
            <w:pPr>
              <w:pStyle w:val="Normal"/>
              <w:rPr>
                <w:color w:val="000000"/>
                <w:sz w:val="20"/>
                <w:szCs w:val="20"/>
              </w:rPr>
            </w:pPr>
            <w:r>
              <w:rPr>
                <w:color w:val="000000"/>
                <w:sz w:val="20"/>
                <w:szCs w:val="20"/>
              </w:rPr>
            </w:r>
          </w:p>
        </w:tc>
      </w:tr>
      <w:tr>
        <w:trPr>
          <w:trHeight w:val="300" w:hRule="atLeast"/>
        </w:trPr>
        <w:tc>
          <w:tcPr>
            <w:tcW w:w="5" w:type="dxa"/>
            <w:tcBorders/>
            <w:shd w:fill="auto" w:val="clear"/>
          </w:tcPr>
          <w:p>
            <w:pPr>
              <w:pStyle w:val="Normal"/>
              <w:rPr/>
            </w:pPr>
            <w:r>
              <w:rPr/>
            </w:r>
          </w:p>
        </w:tc>
        <w:tc>
          <w:tcPr>
            <w:tcW w:w="3219" w:type="dxa"/>
            <w:gridSpan w:val="6"/>
            <w:tcBorders/>
            <w:shd w:color="auto" w:fill="auto" w:val="clear"/>
            <w:vAlign w:val="center"/>
          </w:tcPr>
          <w:p>
            <w:pPr>
              <w:pStyle w:val="Normal"/>
              <w:rPr>
                <w:rFonts w:ascii="Calibri" w:hAnsi="Calibri"/>
                <w:sz w:val="20"/>
                <w:szCs w:val="20"/>
              </w:rPr>
            </w:pPr>
            <w:r>
              <w:rPr>
                <w:rFonts w:ascii="Calibri" w:hAnsi="Calibri"/>
                <w:sz w:val="20"/>
                <w:szCs w:val="20"/>
              </w:rPr>
              <w:t>*** p&lt;0.01, ** p&lt;0.05, * p&lt;0.1</w:t>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278" w:type="dxa"/>
            <w:tcBorders/>
            <w:shd w:color="auto" w:fill="auto" w:val="clear"/>
            <w:vAlign w:val="bottom"/>
          </w:tcPr>
          <w:p>
            <w:pPr>
              <w:pStyle w:val="Normal"/>
              <w:rPr>
                <w:color w:val="000000"/>
                <w:sz w:val="20"/>
                <w:szCs w:val="20"/>
              </w:rPr>
            </w:pPr>
            <w:r>
              <w:rPr>
                <w:color w:val="000000"/>
                <w:sz w:val="20"/>
                <w:szCs w:val="20"/>
              </w:rPr>
            </w:r>
          </w:p>
        </w:tc>
        <w:tc>
          <w:tcPr>
            <w:tcW w:w="1418" w:type="dxa"/>
            <w:tcBorders/>
            <w:shd w:color="auto" w:fill="auto" w:val="clear"/>
            <w:vAlign w:val="bottom"/>
          </w:tcPr>
          <w:p>
            <w:pPr>
              <w:pStyle w:val="Normal"/>
              <w:rPr>
                <w:color w:val="000000"/>
                <w:sz w:val="20"/>
                <w:szCs w:val="20"/>
              </w:rPr>
            </w:pPr>
            <w:r>
              <w:rPr>
                <w:color w:val="000000"/>
                <w:sz w:val="20"/>
                <w:szCs w:val="20"/>
              </w:rPr>
            </w:r>
          </w:p>
        </w:tc>
        <w:tc>
          <w:tcPr>
            <w:tcW w:w="1276" w:type="dxa"/>
            <w:tcBorders/>
            <w:shd w:color="auto" w:fill="auto" w:val="clear"/>
            <w:vAlign w:val="bottom"/>
          </w:tcPr>
          <w:p>
            <w:pPr>
              <w:pStyle w:val="Normal"/>
              <w:rPr>
                <w:color w:val="000000"/>
                <w:sz w:val="20"/>
                <w:szCs w:val="20"/>
              </w:rPr>
            </w:pPr>
            <w:r>
              <w:rPr>
                <w:color w:val="000000"/>
                <w:sz w:val="20"/>
                <w:szCs w:val="20"/>
              </w:rPr>
            </w:r>
          </w:p>
        </w:tc>
        <w:tc>
          <w:tcPr>
            <w:tcW w:w="1381" w:type="dxa"/>
            <w:tcBorders/>
            <w:shd w:color="auto" w:fill="auto" w:val="clear"/>
            <w:vAlign w:val="bottom"/>
          </w:tcPr>
          <w:p>
            <w:pPr>
              <w:pStyle w:val="Normal"/>
              <w:rPr>
                <w:color w:val="000000"/>
                <w:sz w:val="20"/>
                <w:szCs w:val="20"/>
              </w:rPr>
            </w:pPr>
            <w:r>
              <w:rPr>
                <w:color w:val="000000"/>
                <w:sz w:val="20"/>
                <w:szCs w:val="20"/>
              </w:rPr>
            </w:r>
          </w:p>
        </w:tc>
      </w:tr>
      <w:tr>
        <w:trPr>
          <w:trHeight w:val="23" w:hRule="exact"/>
        </w:trPr>
        <w:tc>
          <w:tcPr>
            <w:tcW w:w="1062" w:type="dxa"/>
            <w:gridSpan w:val="3"/>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94" w:type="dxa"/>
            <w:gridSpan w:val="2"/>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7397" w:type="dxa"/>
            <w:gridSpan w:val="7"/>
            <w:tcBorders/>
            <w:shd w:color="auto" w:fill="auto" w:val="clear"/>
            <w:vAlign w:val="bottom"/>
          </w:tcPr>
          <w:p>
            <w:pPr>
              <w:pStyle w:val="Normal"/>
              <w:spacing w:lineRule="auto" w:line="360"/>
              <w:jc w:val="both"/>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jc w:val="both"/>
        <w:rPr/>
      </w:pPr>
      <w:r>
        <w:rPr/>
      </w:r>
    </w:p>
    <w:p>
      <w:pPr>
        <w:pStyle w:val="Normal"/>
        <w:spacing w:lineRule="auto" w:line="360"/>
        <w:jc w:val="both"/>
        <w:rPr>
          <w:b/>
          <w:b/>
        </w:rPr>
      </w:pPr>
      <w:r>
        <w:rPr>
          <w:b/>
        </w:rPr>
      </w:r>
    </w:p>
    <w:p>
      <w:pPr>
        <w:pStyle w:val="Caption2"/>
        <w:keepNext/>
        <w:rPr/>
      </w:pPr>
      <w:r>
        <w:rPr/>
        <w:t xml:space="preserve">Table </w:t>
      </w:r>
      <w:r>
        <w:rPr/>
        <w:fldChar w:fldCharType="begin"/>
      </w:r>
      <w:r>
        <w:instrText> SEQ Table \* ARABIC </w:instrText>
      </w:r>
      <w:r>
        <w:fldChar w:fldCharType="separate"/>
      </w:r>
      <w:r>
        <w:t>14</w:t>
      </w:r>
      <w:r>
        <w:fldChar w:fldCharType="end"/>
      </w:r>
      <w:r>
        <w:rPr/>
        <w:t xml:space="preserve"> characteristics continued</w:t>
      </w:r>
    </w:p>
    <w:tbl>
      <w:tblPr>
        <w:tblW w:w="3914" w:type="dxa"/>
        <w:jc w:val="left"/>
        <w:tblInd w:w="93"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237"/>
        <w:gridCol w:w="1"/>
        <w:gridCol w:w="1237"/>
      </w:tblGrid>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7"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238"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unemployed</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unemployed</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7"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38"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0.0033</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(0.0114)</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-0.0009</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0.0024</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(0.0077)</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(0.0093)</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-0.0011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0.0140***</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0.0291***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(0.0054)</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(0.0067)</w:t>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23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238"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237"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0.0034</w:t>
            </w:r>
          </w:p>
        </w:tc>
        <w:tc>
          <w:tcPr>
            <w:tcW w:w="1238"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0.0008</w:t>
            </w:r>
          </w:p>
        </w:tc>
      </w:tr>
      <w:tr>
        <w:trPr>
          <w:trHeight w:val="255" w:hRule="atLeast"/>
        </w:trPr>
        <w:tc>
          <w:tcPr>
            <w:tcW w:w="3914" w:type="dxa"/>
            <w:gridSpan w:val="4"/>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r>
      <w:tr>
        <w:trPr>
          <w:trHeight w:val="255" w:hRule="atLeast"/>
        </w:trPr>
        <w:tc>
          <w:tcPr>
            <w:tcW w:w="2677"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23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Conclusion</w:t>
      </w:r>
    </w:p>
    <w:p>
      <w:pPr>
        <w:pStyle w:val="Normal"/>
        <w:spacing w:lineRule="auto" w:line="360"/>
        <w:rPr/>
      </w:pPr>
      <w:r>
        <w:rPr/>
        <w:t xml:space="preserve">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 </w:t>
      </w:r>
    </w:p>
    <w:p>
      <w:pPr>
        <w:pStyle w:val="Normal"/>
        <w:spacing w:lineRule="auto" w:line="360"/>
        <w:rPr/>
      </w:pPr>
      <w:r>
        <w:rPr/>
        <w:tab/>
        <w:t xml:space="preserve">In the first group the robustness tests showed that the mechanism did not have the desired effect, i.e., </w:t>
      </w:r>
      <w:commentRangeStart w:id="18"/>
      <w:r>
        <w:rPr/>
        <w:t>the net wealth of the control and treatment did not react significantly different to the change in housing prices caused by the financial crisis.</w:t>
      </w:r>
      <w:r>
        <w:rPr/>
      </w:r>
      <w:commentRangeEnd w:id="18"/>
      <w:r>
        <w:commentReference w:id="18"/>
      </w:r>
      <w:r>
        <w:rPr/>
        <w:t xml:space="preserve"> Therefore, the difference in difference analysis in this group do not give us correct information of whether or not a causal relationship from wealth to health exists.</w:t>
      </w:r>
      <w:ins w:id="52" w:author="Simon ter Meulen" w:date="2019-01-25T13:49:00Z">
        <w:r>
          <w:rPr/>
          <w:t>???</w:t>
        </w:r>
      </w:ins>
    </w:p>
    <w:p>
      <w:pPr>
        <w:pStyle w:val="Normal"/>
        <w:spacing w:lineRule="auto" w:line="360"/>
        <w:rPr/>
      </w:pPr>
      <w:r>
        <w:rPr/>
        <w:tab/>
        <w:t>The difference in differences coefficients in the second group, the same persons group, were insignificant. This implies that there is no causal relationship between wealth and health in the Netherlands in the short run in this. This does however not tell us that a causal relationship between wealth and health does no</w:t>
      </w:r>
      <w:ins w:id="53" w:author="Simon ter Meulen" w:date="2019-01-25T13:50:00Z">
        <w:r>
          <w:rPr/>
          <w:t>t</w:t>
        </w:r>
      </w:ins>
      <w:r>
        <w:rPr/>
        <w:t xml:space="preserve"> exists in the mid to long run or other countries. </w:t>
      </w:r>
    </w:p>
    <w:p>
      <w:pPr>
        <w:pStyle w:val="Normal"/>
        <w:spacing w:lineRule="auto" w:line="360"/>
        <w:rPr/>
      </w:pPr>
      <w:r>
        <w:rPr/>
        <w:tab/>
      </w:r>
    </w:p>
    <w:p>
      <w:pPr>
        <w:pStyle w:val="Normal"/>
        <w:spacing w:lineRule="auto" w:line="360"/>
        <w:rPr/>
      </w:pPr>
      <w:r>
        <w:rPr/>
        <w:t>`</w:t>
        <w:tab/>
      </w:r>
    </w:p>
    <w:p>
      <w:pPr>
        <w:pStyle w:val="Normal"/>
        <w:spacing w:lineRule="auto" w:line="360"/>
        <w:rPr>
          <w:b/>
          <w:b/>
        </w:rPr>
      </w:pPr>
      <w:r>
        <w:rPr>
          <w:b/>
        </w:rPr>
        <w:t>Discussion</w:t>
      </w:r>
    </w:p>
    <w:p>
      <w:pPr>
        <w:pStyle w:val="Normal"/>
        <w:spacing w:lineRule="auto" w:line="360"/>
        <w:rPr/>
      </w:pPr>
      <w:r>
        <w:rP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pPr>
        <w:pStyle w:val="Normal"/>
        <w:spacing w:lineRule="auto" w:line="360"/>
        <w:ind w:firstLine="720"/>
        <w:rPr/>
      </w:pPr>
      <w:r>
        <w:rP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pPr>
        <w:pStyle w:val="Normal"/>
        <w:spacing w:lineRule="auto" w:line="360"/>
        <w:rPr/>
      </w:pPr>
      <w:r>
        <w:rPr/>
        <w:tab/>
        <w:t xml:space="preserve">Secondly, other factors might have impacted health of the control and treatment group differently between the pre- and posttreatment years. One thing that might have had this effect is the lowering of the mortgage interest deduction between 2013 and 2017 (HomeFinance BV, n.d.) . This may have </w:t>
      </w:r>
      <w:ins w:id="54" w:author="Simon ter Meulen" w:date="2019-01-25T13:51:00Z">
        <w:r>
          <w:rPr/>
          <w:t>increased</w:t>
        </w:r>
      </w:ins>
      <w:del w:id="55" w:author="Simon ter Meulen" w:date="2019-01-25T13:51:00Z">
        <w:r>
          <w:rPr/>
          <w:delText>lowered</w:delText>
        </w:r>
      </w:del>
      <w:r>
        <w:rPr/>
        <w:t xml:space="preserve"> the income of the of the treatment group and not the control group because the treatment group owns a house and is therefore more likely to have a mortgage. </w:t>
      </w:r>
      <w:commentRangeStart w:id="19"/>
      <w:r>
        <w:rPr/>
        <w:t xml:space="preserve">The lowering of the mortgage interest deduction caused a lower net income of the individuals who had a mortgage. </w:t>
      </w:r>
      <w:r>
        <w:rPr/>
      </w:r>
      <w:commentRangeEnd w:id="19"/>
      <w:r>
        <w:commentReference w:id="19"/>
      </w:r>
      <w:r>
        <w:rPr/>
        <w:t xml:space="preserve">This could have caused a worse health, therefore reducing the estimated effect of wealth on health in the 2013 – 2017 analysis. </w:t>
      </w:r>
    </w:p>
    <w:p>
      <w:pPr>
        <w:pStyle w:val="Normal"/>
        <w:spacing w:lineRule="auto" w:line="360"/>
        <w:rPr/>
      </w:pPr>
      <w:commentRangeStart w:id="20"/>
      <w:r>
        <w:rPr/>
        <w:tab/>
        <w:t>Another possibility that might have affected the results is that the treatment might have caused some individuals to change from the control to treatment group or vice versa.</w:t>
      </w:r>
      <w:r>
        <w:rPr/>
      </w:r>
      <w:commentRangeEnd w:id="20"/>
      <w:r>
        <w:commentReference w:id="20"/>
      </w:r>
      <w:r>
        <w:rPr/>
        <w:t xml:space="preserve">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pPr>
        <w:pStyle w:val="Normal"/>
        <w:rPr/>
      </w:pPr>
      <w:r>
        <w:rPr/>
      </w:r>
    </w:p>
    <w:p>
      <w:pPr>
        <w:pStyle w:val="Normal"/>
        <w:spacing w:lineRule="auto" w:line="360"/>
        <w:jc w:val="both"/>
        <w:rPr>
          <w:b/>
          <w:b/>
          <w:bCs/>
          <w:lang w:val="nl-NL"/>
        </w:rPr>
      </w:pPr>
      <w:r>
        <w:rPr>
          <w:b/>
          <w:bCs/>
          <w:lang w:val="nl-NL"/>
        </w:rPr>
        <w:t>Literatuur</w:t>
      </w:r>
    </w:p>
    <w:p>
      <w:pPr>
        <w:pStyle w:val="Normal"/>
        <w:spacing w:lineRule="auto" w:line="360"/>
        <w:jc w:val="both"/>
        <w:rPr>
          <w:b/>
          <w:b/>
          <w:bCs/>
          <w:lang w:val="nl-NL"/>
        </w:rPr>
      </w:pPr>
      <w:r>
        <w:rPr>
          <w:b/>
          <w:bCs/>
          <w:lang w:val="nl-NL"/>
        </w:rPr>
      </w:r>
    </w:p>
    <w:p>
      <w:pPr>
        <w:pStyle w:val="Normal"/>
        <w:spacing w:lineRule="auto" w:line="360"/>
        <w:jc w:val="both"/>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spacing w:lineRule="auto" w:line="360"/>
        <w:jc w:val="both"/>
        <w:rPr/>
      </w:pPr>
      <w:r>
        <w:rPr/>
      </w:r>
    </w:p>
    <w:p>
      <w:pPr>
        <w:pStyle w:val="Normal"/>
        <w:spacing w:lineRule="auto" w:line="360"/>
        <w:jc w:val="both"/>
        <w:rPr/>
      </w:pPr>
      <w:r>
        <w:rPr/>
        <w:t>Apouey, B., &amp; Clark, A. (2015). Winning Big but Feeling no Better? The Effect of Lottery Prizes on Physical and Mental Health. Health Economics, 24(5), 516-538.</w:t>
      </w:r>
    </w:p>
    <w:p>
      <w:pPr>
        <w:pStyle w:val="Normal"/>
        <w:spacing w:lineRule="auto" w:line="360"/>
        <w:jc w:val="both"/>
        <w:rPr/>
      </w:pPr>
      <w:r>
        <w:rPr/>
      </w:r>
    </w:p>
    <w:p>
      <w:pPr>
        <w:pStyle w:val="Normal"/>
        <w:spacing w:lineRule="auto" w:line="360"/>
        <w:jc w:val="both"/>
        <w:rPr/>
      </w:pPr>
      <w:r>
        <w:rPr/>
        <w:t>Au, N., &amp; Johnston, D. (2015). Too Much of a Good Thing? Exploring the Impact of Wealth on Weight. Health Economics, 24(11), 1403-1421.</w:t>
      </w:r>
    </w:p>
    <w:p>
      <w:pPr>
        <w:pStyle w:val="Normal"/>
        <w:spacing w:lineRule="auto" w:line="360"/>
        <w:jc w:val="both"/>
        <w:rPr/>
      </w:pPr>
      <w:r>
        <w:rPr>
          <w:lang w:val="nl-NL"/>
        </w:rPr>
        <w:t xml:space="preserve">Belastingdienst. (2018, December 06). Hoogte van mijn inkomen. </w:t>
      </w:r>
      <w:r>
        <w:rPr/>
        <w:t>Retrieved January 29, 2019, from https://www.belastingdienst.nl/wps/wcm/connect/bldcontentnl/belastingdienst/prive/toeslagen/zorgtoeslag/voorwaarden/inkomen/</w:t>
      </w:r>
    </w:p>
    <w:p>
      <w:pPr>
        <w:pStyle w:val="Normal"/>
        <w:spacing w:lineRule="auto" w:line="360"/>
        <w:jc w:val="both"/>
        <w:rPr/>
      </w:pPr>
      <w:r>
        <w:rPr/>
      </w:r>
    </w:p>
    <w:p>
      <w:pPr>
        <w:pStyle w:val="Normal"/>
        <w:spacing w:lineRule="auto" w:line="360"/>
        <w:jc w:val="both"/>
        <w:rPr>
          <w:lang w:val="nl-NL"/>
        </w:rPr>
      </w:pPr>
      <w:r>
        <w:rPr/>
        <w:t xml:space="preserve">Cai, L. (2009). Be wealthy to stay healthy: An analysis of older Australians using the HILDA survey. </w:t>
      </w:r>
      <w:r>
        <w:rPr>
          <w:lang w:val="nl-NL"/>
        </w:rPr>
        <w:t>Journal of Sociology, 45(1), 55-70.</w:t>
      </w:r>
    </w:p>
    <w:p>
      <w:pPr>
        <w:pStyle w:val="Normal"/>
        <w:spacing w:lineRule="auto" w:line="360"/>
        <w:jc w:val="both"/>
        <w:rPr>
          <w:lang w:val="nl-NL"/>
        </w:rPr>
      </w:pPr>
      <w:r>
        <w:rPr>
          <w:lang w:val="nl-NL"/>
        </w:rPr>
      </w:r>
    </w:p>
    <w:p>
      <w:pPr>
        <w:pStyle w:val="Normal"/>
        <w:spacing w:lineRule="auto" w:line="360"/>
        <w:jc w:val="both"/>
        <w:rPr>
          <w:lang w:val="nl-NL"/>
        </w:rPr>
      </w:pPr>
      <w:r>
        <w:rPr>
          <w:lang w:val="nl-NL"/>
        </w:rPr>
        <w:t>CBS. (2019). CBS Statline. Geraadpleegd op 23 januari 2019, van https://opendata.cbs.nl/statline/</w:t>
      </w:r>
    </w:p>
    <w:p>
      <w:pPr>
        <w:pStyle w:val="Normal"/>
        <w:spacing w:lineRule="auto" w:line="360"/>
        <w:jc w:val="both"/>
        <w:rPr>
          <w:lang w:val="nl-NL"/>
        </w:rPr>
      </w:pPr>
      <w:r>
        <w:rPr>
          <w:lang w:val="nl-NL"/>
        </w:rPr>
      </w:r>
    </w:p>
    <w:p>
      <w:pPr>
        <w:pStyle w:val="Normal"/>
        <w:spacing w:lineRule="auto" w:line="360"/>
        <w:jc w:val="both"/>
        <w:rPr/>
      </w:pPr>
      <w:r>
        <w:rPr/>
        <w:t xml:space="preserve">CentERdata. (2019). DHS data access. Retrieved January 2, 2019, from </w:t>
      </w:r>
      <w:hyperlink r:id="rId4">
        <w:r>
          <w:rPr>
            <w:rStyle w:val="InternetLink"/>
          </w:rPr>
          <w:t>https://www.dhsdata.nl/site/users/login</w:t>
        </w:r>
      </w:hyperlink>
    </w:p>
    <w:p>
      <w:pPr>
        <w:pStyle w:val="Normal"/>
        <w:spacing w:lineRule="auto" w:line="360"/>
        <w:jc w:val="both"/>
        <w:rPr/>
      </w:pPr>
      <w:r>
        <w:rPr/>
      </w:r>
    </w:p>
    <w:p>
      <w:pPr>
        <w:pStyle w:val="Normal"/>
        <w:spacing w:lineRule="auto" w:line="360"/>
        <w:jc w:val="both"/>
        <w:rPr/>
      </w:pPr>
      <w:r>
        <w:rPr/>
        <w:t xml:space="preserve">CentERdata. (n.d.). DHS data access | CentERdata.nl. Retrieved January 2, 2019, from </w:t>
      </w:r>
      <w:hyperlink r:id="rId5">
        <w:r>
          <w:rPr>
            <w:rStyle w:val="InternetLink"/>
          </w:rPr>
          <w:t>https://www.centerdata.nl/en/databank/dhs-data-access</w:t>
        </w:r>
      </w:hyperlink>
    </w:p>
    <w:p>
      <w:pPr>
        <w:pStyle w:val="Normal"/>
        <w:spacing w:lineRule="auto" w:line="360"/>
        <w:jc w:val="both"/>
        <w:rPr>
          <w:rStyle w:val="InternetLink"/>
        </w:rPr>
      </w:pPr>
      <w:r>
        <w:rPr/>
      </w:r>
    </w:p>
    <w:p>
      <w:pPr>
        <w:pStyle w:val="Normal"/>
        <w:spacing w:lineRule="auto" w:line="360"/>
        <w:jc w:val="both"/>
        <w:rPr/>
      </w:pPr>
      <w:bookmarkStart w:id="8" w:name="__DdeLink__3171_1315779075"/>
      <w:r>
        <w:rPr>
          <w:lang w:val="nl-NL"/>
        </w:rPr>
        <w:t>Het Juridisch Loket. (n.d.).</w:t>
      </w:r>
      <w:bookmarkEnd w:id="8"/>
      <w:r>
        <w:rPr>
          <w:lang w:val="nl-NL"/>
        </w:rPr>
        <w:t xml:space="preserve"> Krijg ik loon doorbetaald bij ziekte? </w:t>
      </w:r>
      <w:r>
        <w:rPr/>
        <w:t xml:space="preserve">| Het Juridisch Loket. Retrieved January 15, 2019, from </w:t>
      </w:r>
      <w:r>
        <w:fldChar w:fldCharType="begin"/>
      </w:r>
      <w:r>
        <w:instrText> HYPERLINK "https://www.juridischloket.nl/werk-en-inkomen/ziekte-en-zwangerschap/loondoorbetaling-bij-ziekte/" \l "Ik-heb-een-tijdelijk-contract"</w:instrText>
      </w:r>
      <w:r>
        <w:fldChar w:fldCharType="separate"/>
      </w:r>
      <w:r>
        <w:rPr>
          <w:rStyle w:val="InternetLink"/>
        </w:rPr>
        <w:t>https://www.juridischloket.nl/werk-en-inkomen/ziekte-en-zwangerschap/loondoorbetaling-bij-ziekte/#Ik-heb-een-tijdelijk-contract</w:t>
      </w:r>
      <w:r>
        <w:fldChar w:fldCharType="end"/>
      </w:r>
    </w:p>
    <w:p>
      <w:pPr>
        <w:pStyle w:val="Normal"/>
        <w:spacing w:lineRule="auto" w:line="360"/>
        <w:jc w:val="both"/>
        <w:rPr/>
      </w:pPr>
      <w:r>
        <w:rPr/>
      </w:r>
    </w:p>
    <w:p>
      <w:pPr>
        <w:pStyle w:val="Normal"/>
        <w:spacing w:lineRule="auto" w:line="360"/>
        <w:jc w:val="both"/>
        <w:rPr/>
      </w:pPr>
      <w:r>
        <w:rPr>
          <w:lang w:val="nl-NL"/>
        </w:rPr>
        <w:t xml:space="preserve">HomeFinance BV. (n.d.). Verdere beperking hypotheekrenteaftrek door nieuw kabinet. </w:t>
      </w:r>
      <w:r>
        <w:rPr/>
        <w:t xml:space="preserve">Retrieved January 23, 2019, from </w:t>
      </w:r>
      <w:hyperlink r:id="rId6">
        <w:r>
          <w:rPr>
            <w:rStyle w:val="InternetLink"/>
          </w:rPr>
          <w:t>https://www.homefinance.nl/nieuws-blog/blogberichten/9318/verdere-beperking-hypotheekrenteaftrek/</w:t>
        </w:r>
      </w:hyperlink>
    </w:p>
    <w:p>
      <w:pPr>
        <w:pStyle w:val="Normal"/>
        <w:spacing w:lineRule="auto" w:line="360"/>
        <w:jc w:val="both"/>
        <w:rPr/>
      </w:pPr>
      <w:r>
        <w:rPr/>
        <w:t>Hurd, M., &amp; Kapteyn, A. (2005). Health, wealth, and the role of institutions. In </w:t>
      </w:r>
      <w:r>
        <w:rPr>
          <w:i/>
          <w:iCs/>
        </w:rPr>
        <w:t>Multidisciplinary Economics</w:t>
      </w:r>
      <w:r>
        <w:rPr/>
        <w:t> (pp. 307-332). Springer, Boston, MA.</w:t>
      </w:r>
    </w:p>
    <w:p>
      <w:pPr>
        <w:pStyle w:val="Normal"/>
        <w:spacing w:lineRule="auto" w:line="360"/>
        <w:jc w:val="both"/>
        <w:rPr/>
      </w:pPr>
      <w:r>
        <w:rPr/>
      </w:r>
    </w:p>
    <w:p>
      <w:pPr>
        <w:pStyle w:val="Normal"/>
        <w:spacing w:lineRule="auto" w:line="360"/>
        <w:jc w:val="both"/>
        <w:rPr/>
      </w:pPr>
      <w:r>
        <w:rPr/>
        <w:t>Idler, E., &amp; Benyamini, Y. (1997). Self-Rated Health and Mortality: A Review of Twenty-Seven Community Studies. Journal of Health and Social Behavior, 38(1), 21-37.</w:t>
      </w:r>
    </w:p>
    <w:p>
      <w:pPr>
        <w:pStyle w:val="Normal"/>
        <w:spacing w:lineRule="auto" w:line="360"/>
        <w:jc w:val="both"/>
        <w:rPr/>
      </w:pPr>
      <w:r>
        <w:rPr/>
      </w:r>
    </w:p>
    <w:p>
      <w:pPr>
        <w:pStyle w:val="Normal"/>
        <w:spacing w:lineRule="auto" w:line="360"/>
        <w:jc w:val="both"/>
        <w:rPr/>
      </w:pPr>
      <w:r>
        <w:rPr/>
        <w:t>Keese, M., &amp; Schmitz, H. (2014). Broke, Ill, and Obese: Is There an Effect of Household Debt on Health? Review of Income and Wealth, 60(3), 525-541.</w:t>
      </w:r>
    </w:p>
    <w:p>
      <w:pPr>
        <w:pStyle w:val="Normal"/>
        <w:spacing w:lineRule="auto" w:line="360"/>
        <w:jc w:val="both"/>
        <w:rPr/>
      </w:pPr>
      <w:r>
        <w:rPr/>
      </w:r>
    </w:p>
    <w:p>
      <w:pPr>
        <w:pStyle w:val="Normal"/>
        <w:spacing w:lineRule="auto" w:line="360"/>
        <w:jc w:val="both"/>
        <w:rPr/>
      </w:pPr>
      <w:r>
        <w:rPr/>
        <w:t>Kim, B., &amp; Ruhm, C. (2012). Inheritances, health and death. Health Economics, 21(2), 127-144.</w:t>
      </w:r>
    </w:p>
    <w:p>
      <w:pPr>
        <w:pStyle w:val="Normal"/>
        <w:spacing w:lineRule="auto" w:line="360"/>
        <w:jc w:val="both"/>
        <w:rPr/>
      </w:pPr>
      <w:r>
        <w:rPr/>
      </w:r>
    </w:p>
    <w:p>
      <w:pPr>
        <w:pStyle w:val="Normal"/>
        <w:spacing w:lineRule="auto" w:line="360"/>
        <w:jc w:val="both"/>
        <w:rPr/>
      </w:pPr>
      <w:r>
        <w:rPr/>
        <w:t>Meer, Miller, &amp; Rosen. (2003). Exploring the health–wealth nexus. Journal of Health Economics, 22(5), 713-730.</w:t>
      </w:r>
    </w:p>
    <w:p>
      <w:pPr>
        <w:pStyle w:val="Normal"/>
        <w:spacing w:lineRule="auto" w:line="360"/>
        <w:jc w:val="both"/>
        <w:rPr/>
      </w:pPr>
      <w:r>
        <w:rPr/>
      </w:r>
    </w:p>
    <w:p>
      <w:pPr>
        <w:pStyle w:val="Normal"/>
        <w:spacing w:lineRule="auto" w:line="360"/>
        <w:jc w:val="both"/>
        <w:rPr/>
      </w:pPr>
      <w:r>
        <w:rPr/>
        <w:t>Michaud, &amp; Van Soest. (2008). Health and wealth of elderly couples: Causality tests using dynamic panel data models. Journal of Health Economics, 27(5), 1312-1325.</w:t>
      </w:r>
    </w:p>
    <w:p>
      <w:pPr>
        <w:pStyle w:val="Normal"/>
        <w:spacing w:lineRule="auto" w:line="360"/>
        <w:jc w:val="both"/>
        <w:rPr/>
      </w:pPr>
      <w:r>
        <w:rPr/>
      </w:r>
    </w:p>
    <w:p>
      <w:pPr>
        <w:pStyle w:val="Normal"/>
        <w:spacing w:lineRule="auto" w:line="360"/>
        <w:jc w:val="both"/>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spacing w:lineRule="auto" w:line="360"/>
        <w:jc w:val="both"/>
        <w:rPr>
          <w:lang w:val="nl-NL"/>
        </w:rPr>
      </w:pPr>
      <w:r>
        <w:rPr>
          <w:lang w:val="nl-NL"/>
        </w:rPr>
      </w:r>
    </w:p>
    <w:p>
      <w:pPr>
        <w:pStyle w:val="Normal"/>
        <w:spacing w:lineRule="auto" w:line="360"/>
        <w:jc w:val="both"/>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spacing w:lineRule="auto" w:line="360"/>
        <w:jc w:val="both"/>
        <w:rPr/>
      </w:pPr>
      <w:r>
        <w:rPr/>
      </w:r>
    </w:p>
    <w:p>
      <w:pPr>
        <w:pStyle w:val="Normal"/>
        <w:spacing w:lineRule="auto" w:line="360"/>
        <w:jc w:val="both"/>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28T13:15:00Z" w:initials="UvA">
    <w:p>
      <w:r>
        <w:rPr>
          <w:rFonts w:eastAsia="DejaVu Sans" w:cs="DejaVu Sans"/>
          <w:color w:val="auto"/>
          <w:lang w:val="en-US" w:eastAsia="en-US" w:bidi="en-US"/>
        </w:rPr>
        <w:t>Dit in de discussie</w:t>
      </w:r>
    </w:p>
    <w:p>
      <w:r>
        <w:rPr>
          <w:rFonts w:eastAsia="DejaVu Sans" w:cs="DejaVu Sans"/>
          <w:color w:val="auto"/>
          <w:lang w:val="en-US" w:eastAsia="en-US" w:bidi="en-US"/>
        </w:rPr>
      </w:r>
    </w:p>
    <w:p>
      <w:r>
        <w:rPr>
          <w:rFonts w:ascii="Wingdings" w:hAnsi="Wingdings" w:eastAsia="Wingdings" w:cs="Wingdings"/>
          <w:color w:val="auto"/>
          <w:lang w:val="en-US" w:eastAsia="en-US" w:bidi="en-US"/>
        </w:rPr>
        <w:t></w:t>
      </w:r>
    </w:p>
  </w:comment>
  <w:comment w:id="1" w:author="Unknown Author" w:date="2019-01-29T10:47:5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Actief schrijven</w:t>
      </w:r>
    </w:p>
  </w:comment>
  <w:comment w:id="2" w:author="UvA" w:date="2019-01-28T15:21:00Z" w:initials="UvA">
    <w:p>
      <w:r>
        <w:rPr>
          <w:rFonts w:eastAsia="DejaVu Sans" w:cs="DejaVu Sans"/>
          <w:color w:val="auto"/>
          <w:lang w:val="en-US" w:eastAsia="en-US" w:bidi="en-US"/>
        </w:rPr>
        <w:t>Loopt dit lekker?</w:t>
      </w:r>
    </w:p>
    <w:p>
      <w:r>
        <w:rPr>
          <w:rFonts w:ascii="Wingdings" w:hAnsi="Wingdings" w:eastAsia="Wingdings" w:cs="Wingdings"/>
          <w:color w:val="auto"/>
          <w:lang w:val="en-US" w:eastAsia="en-US" w:bidi="en-US"/>
        </w:rPr>
        <w:t></w:t>
      </w:r>
    </w:p>
  </w:comment>
  <w:comment w:id="3" w:author="Simon ter Meulen" w:date="2019-01-25T09:32:00Z" w:initials="StM">
    <w:p>
      <w:r>
        <w:rPr>
          <w:rFonts w:eastAsia="DejaVu Sans" w:cs="DejaVu Sans"/>
          <w:color w:val="auto"/>
          <w:lang w:val="en-US" w:eastAsia="en-US" w:bidi="en-US"/>
        </w:rPr>
        <w:t>Please re-draw using Stata.</w:t>
      </w:r>
    </w:p>
    <w:p>
      <w:r>
        <w:rPr>
          <w:rFonts w:eastAsia="DejaVu Sans" w:cs="DejaVu Sans"/>
          <w:color w:val="auto"/>
          <w:lang w:val="en-US" w:eastAsia="en-US" w:bidi="en-US"/>
        </w:rPr>
      </w:r>
    </w:p>
    <w:p>
      <w:r>
        <w:rPr>
          <w:rFonts w:eastAsia="DejaVu Sans" w:cs="DejaVu Sans"/>
          <w:color w:val="auto"/>
          <w:lang w:val="en-US" w:eastAsia="en-US" w:bidi="en-US"/>
        </w:rPr>
        <w:t>Perhaps you can also do an overlay with wealth of the control and treatment groups!</w:t>
      </w:r>
    </w:p>
    <w:p>
      <w:r>
        <w:rPr>
          <w:rFonts w:ascii="Wingdings" w:hAnsi="Wingdings" w:eastAsia="Wingdings" w:cs="Wingdings"/>
          <w:color w:val="auto"/>
          <w:lang w:val="en-US" w:eastAsia="en-US" w:bidi="en-US"/>
        </w:rPr>
        <w:t></w:t>
      </w:r>
    </w:p>
  </w:comment>
  <w:comment w:id="4" w:author="Simon ter Meulen" w:date="2019-01-25T09:36:00Z" w:initials="StM">
    <w:p>
      <w:r>
        <w:rPr>
          <w:rFonts w:eastAsia="DejaVu Sans" w:cs="DejaVu Sans"/>
          <w:color w:val="auto"/>
          <w:lang w:val="en-US" w:eastAsia="en-US" w:bidi="en-US"/>
        </w:rPr>
        <w:t>You can use crossreferences (using labels) in latex.</w:t>
      </w:r>
    </w:p>
    <w:p>
      <w:r>
        <w:rPr>
          <w:rFonts w:ascii="Wingdings" w:hAnsi="Wingdings" w:eastAsia="Wingdings" w:cs="Wingdings"/>
          <w:color w:val="auto"/>
          <w:lang w:val="en-US" w:eastAsia="en-US" w:bidi="en-US"/>
        </w:rPr>
        <w:t></w:t>
      </w:r>
    </w:p>
  </w:comment>
  <w:comment w:id="5" w:author="Simon ter Meulen" w:date="2019-01-25T09:37:00Z" w:initials="StM">
    <w:p>
      <w:r>
        <w:rPr>
          <w:rFonts w:eastAsia="DejaVu Sans" w:cs="DejaVu Sans"/>
          <w:color w:val="auto"/>
          <w:lang w:val="en-US" w:eastAsia="en-US" w:bidi="en-US"/>
        </w:rPr>
        <w:t>No you should do this with all other characteristics except health.</w:t>
      </w:r>
    </w:p>
    <w:p>
      <w:r>
        <w:rPr>
          <w:rFonts w:eastAsia="DejaVu Sans" w:cs="DejaVu Sans"/>
          <w:color w:val="auto"/>
          <w:lang w:val="en-US" w:eastAsia="en-US" w:bidi="en-US"/>
        </w:rPr>
      </w:r>
    </w:p>
    <w:p>
      <w:r>
        <w:rPr>
          <w:rFonts w:eastAsia="DejaVu Sans" w:cs="DejaVu Sans"/>
          <w:color w:val="auto"/>
          <w:lang w:val="en-US" w:eastAsia="en-US" w:bidi="en-US"/>
        </w:rPr>
        <w:t>Plus in a fixed effect setting this does not matter too much.</w:t>
      </w:r>
    </w:p>
    <w:p>
      <w:r>
        <w:rPr>
          <w:rFonts w:ascii="Wingdings" w:hAnsi="Wingdings" w:eastAsia="Wingdings" w:cs="Wingdings"/>
          <w:color w:val="auto"/>
          <w:lang w:val="en-US" w:eastAsia="en-US" w:bidi="en-US"/>
        </w:rPr>
        <w:t></w:t>
      </w:r>
    </w:p>
  </w:comment>
  <w:comment w:id="6" w:author="Simon ter Meulen" w:date="2019-01-25T09:43:00Z" w:initials="StM">
    <w:p>
      <w:r>
        <w:rPr>
          <w:rFonts w:eastAsia="DejaVu Sans" w:cs="DejaVu Sans"/>
          <w:color w:val="auto"/>
          <w:lang w:val="en-US" w:eastAsia="en-US" w:bidi="en-US"/>
        </w:rPr>
        <w:t xml:space="preserve">Mooi </w:t>
      </w:r>
      <w:r>
        <w:rPr>
          <w:rFonts w:ascii="Wingdings" w:hAnsi="Wingdings" w:eastAsia="Wingdings" w:cs="Wingdings"/>
          <w:color w:val="auto"/>
          <w:lang w:val="en-US" w:eastAsia="en-US" w:bidi="en-US"/>
        </w:rPr>
        <w:t></w:t>
      </w:r>
    </w:p>
  </w:comment>
  <w:comment w:id="7" w:author="UvA" w:date="2019-01-28T13:19:00Z" w:initials="UvA">
    <w:p>
      <w:r>
        <w:rPr>
          <w:rFonts w:eastAsia="DejaVu Sans" w:cs="DejaVu Sans"/>
          <w:color w:val="auto"/>
          <w:lang w:val="en-US" w:eastAsia="en-US" w:bidi="en-US"/>
        </w:rPr>
        <w:t>?</w:t>
      </w:r>
    </w:p>
  </w:comment>
  <w:comment w:id="8" w:author="Simon ter Meulen" w:date="2019-01-25T09:50:00Z" w:initials="StM">
    <w:p>
      <w:r>
        <w:rPr>
          <w:rFonts w:eastAsia="DejaVu Sans" w:cs="DejaVu Sans"/>
          <w:color w:val="auto"/>
          <w:lang w:val="en-US" w:eastAsia="en-US" w:bidi="en-US"/>
        </w:rPr>
        <w:t>No people could lose their jobs which highly correlated with bad health.</w:t>
      </w:r>
    </w:p>
    <w:p>
      <w:r>
        <w:rPr>
          <w:rFonts w:eastAsia="DejaVu Sans" w:cs="DejaVu Sans"/>
          <w:color w:val="auto"/>
          <w:lang w:val="en-US" w:eastAsia="en-US" w:bidi="en-US"/>
        </w:rPr>
      </w:r>
    </w:p>
    <w:p>
      <w:r>
        <w:rPr>
          <w:rFonts w:eastAsia="DejaVu Sans" w:cs="DejaVu Sans"/>
          <w:color w:val="auto"/>
          <w:lang w:val="en-US" w:eastAsia="en-US" w:bidi="en-US"/>
        </w:rPr>
        <w:t>You can also think that renters are more likely to have short-term contracts and therefore are more prone to losing their job to changes in the  businescycles.\</w:t>
      </w:r>
    </w:p>
    <w:p>
      <w:r>
        <w:rPr>
          <w:rFonts w:eastAsia="DejaVu Sans" w:cs="DejaVu Sans"/>
          <w:color w:val="auto"/>
          <w:lang w:val="en-US" w:eastAsia="en-US" w:bidi="en-US"/>
        </w:rPr>
      </w:r>
      <w:r>
        <w:rPr>
          <w:rFonts w:eastAsia="DejaVu Sans" w:cs="DejaVu Sans"/>
          <w:color w:val="auto"/>
          <w:lang w:val="en-US" w:eastAsia="en-US" w:bidi="en-US"/>
        </w:rPr>
        <w:t>Please test this.</w:t>
      </w:r>
    </w:p>
  </w:comment>
  <w:comment w:id="9" w:author="Unknown Author" w:date="2019-01-29T10:50:37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Reply to Simon ter Meulen (01/25/2019, 09:50): "..."</w:t>
      </w:r>
    </w:p>
    <w:p>
      <w:r>
        <w:rPr>
          <w:rFonts w:eastAsia="DejaVu Sans" w:cs="DejaVu Sans"/>
          <w:color w:val="auto"/>
          <w:sz w:val="20"/>
          <w:lang w:val="en-US" w:eastAsia="zh-CN" w:bidi="hi-IN"/>
        </w:rPr>
        <w:t>Misschien toevoegen dat als dit het geval is, dit hetzelfde zal zijn tussen control en treatment group dus geen probleem</w:t>
      </w:r>
    </w:p>
  </w:comment>
  <w:comment w:id="10" w:author="Simon ter Meulen" w:date="2019-01-25T10:01:00Z" w:initials="StM">
    <w:p>
      <w:r>
        <w:rPr>
          <w:rFonts w:eastAsia="DejaVu Sans" w:cs="DejaVu Sans"/>
          <w:color w:val="auto"/>
          <w:lang w:val="en-US" w:eastAsia="en-US" w:bidi="en-US"/>
        </w:rPr>
        <w:t xml:space="preserve">This is wrong inferences. </w:t>
      </w:r>
    </w:p>
  </w:comment>
  <w:comment w:id="11" w:author="Simon ter Meulen" w:date="2019-01-25T10:01:00Z" w:initials="StM">
    <w:p>
      <w:r>
        <w:rPr>
          <w:rFonts w:eastAsia="DejaVu Sans" w:cs="DejaVu Sans"/>
          <w:color w:val="auto"/>
          <w:lang w:val="en-US" w:eastAsia="en-US" w:bidi="en-US"/>
        </w:rPr>
        <w:t xml:space="preserve">Is that so? Please see pervious comments. </w:t>
      </w:r>
    </w:p>
  </w:comment>
  <w:comment w:id="12" w:author="Simon ter Meulen" w:date="2019-01-25T10:33:00Z" w:initials="StM">
    <w:p>
      <w:r>
        <w:rPr>
          <w:rFonts w:eastAsia="DejaVu Sans" w:cs="DejaVu Sans"/>
          <w:color w:val="auto"/>
          <w:lang w:val="en-US" w:eastAsia="en-US" w:bidi="en-US"/>
        </w:rPr>
        <w:t>Please do an DID on Net income, plus see my earlier comments.</w:t>
      </w:r>
    </w:p>
    <w:p>
      <w:r>
        <w:rPr>
          <w:rFonts w:eastAsia="DejaVu Sans" w:cs="DejaVu Sans"/>
          <w:color w:val="auto"/>
          <w:lang w:val="en-US" w:eastAsia="en-US" w:bidi="en-US"/>
        </w:rPr>
      </w:r>
    </w:p>
    <w:p>
      <w:r>
        <w:rPr>
          <w:rFonts w:eastAsia="DejaVu Sans" w:cs="DejaVu Sans"/>
          <w:color w:val="auto"/>
          <w:lang w:val="en-US" w:eastAsia="en-US" w:bidi="en-US"/>
        </w:rPr>
        <w:t>I would like you to do more on the mechanism.</w:t>
      </w:r>
    </w:p>
  </w:comment>
  <w:comment w:id="13" w:author="Simon ter Meulen" w:date="2019-01-25T10:42:00Z" w:initials="StM">
    <w:p>
      <w:r>
        <w:rPr>
          <w:rFonts w:eastAsia="DejaVu Sans" w:cs="DejaVu Sans"/>
          <w:color w:val="auto"/>
          <w:lang w:val="en-US" w:eastAsia="en-US" w:bidi="en-US"/>
        </w:rPr>
        <w:t>Please add 96% CI to this graph (for both lines).</w:t>
      </w:r>
    </w:p>
    <w:p>
      <w:r>
        <w:rPr>
          <w:rFonts w:eastAsia="DejaVu Sans" w:cs="DejaVu Sans"/>
          <w:color w:val="auto"/>
          <w:lang w:val="en-US" w:eastAsia="en-US" w:bidi="en-US"/>
        </w:rPr>
      </w:r>
    </w:p>
    <w:p>
      <w:r>
        <w:rPr>
          <w:rFonts w:eastAsia="DejaVu Sans" w:cs="DejaVu Sans"/>
          <w:color w:val="auto"/>
          <w:lang w:val="en-US" w:eastAsia="en-US" w:bidi="en-US"/>
        </w:rPr>
        <w:t>Also add the survey averages (ie. Averages per year).</w:t>
      </w:r>
    </w:p>
  </w:comment>
  <w:comment w:id="14" w:author="Simon ter Meulen" w:date="2019-01-25T10:50:00Z" w:initials="StM">
    <w:p>
      <w:r>
        <w:rPr>
          <w:rFonts w:eastAsia="DejaVu Sans" w:cs="DejaVu Sans"/>
          <w:color w:val="auto"/>
          <w:lang w:val="en-US" w:eastAsia="en-US" w:bidi="en-US"/>
        </w:rPr>
        <w:t xml:space="preserve">Please re-write section, my preferred specification, the FE one, shows clear significant effects.  </w:t>
      </w:r>
    </w:p>
  </w:comment>
  <w:comment w:id="15" w:author="Simon ter Meulen" w:date="2019-01-25T10:53:00Z" w:initials="StM">
    <w:p>
      <w:r>
        <w:rPr>
          <w:rFonts w:eastAsia="DejaVu Sans" w:cs="DejaVu Sans"/>
          <w:color w:val="auto"/>
          <w:lang w:val="en-US" w:eastAsia="en-US" w:bidi="en-US"/>
        </w:rPr>
        <w:t>Please use this term throughout the piece.</w:t>
      </w:r>
    </w:p>
  </w:comment>
  <w:comment w:id="16" w:author="Simon ter Meulen" w:date="2019-01-25T13:48:00Z" w:initials="StM">
    <w:p>
      <w:r>
        <w:rPr>
          <w:rFonts w:eastAsia="DejaVu Sans" w:cs="DejaVu Sans"/>
          <w:color w:val="auto"/>
          <w:lang w:val="en-US" w:eastAsia="en-US" w:bidi="en-US"/>
        </w:rPr>
        <w:t>See how little differences there are in these coefficients?</w:t>
      </w:r>
    </w:p>
  </w:comment>
  <w:comment w:id="17" w:author="Simon ter Meulen" w:date="2019-01-25T13:40:00Z" w:initials="StM">
    <w:p>
      <w:r>
        <w:rPr>
          <w:rFonts w:eastAsia="DejaVu Sans" w:cs="DejaVu Sans"/>
          <w:color w:val="auto"/>
          <w:lang w:val="en-US" w:eastAsia="en-US" w:bidi="en-US"/>
        </w:rPr>
        <w:t xml:space="preserve">Great table, Please add prob of zero net income. </w:t>
      </w:r>
    </w:p>
    <w:p>
      <w:r>
        <w:rPr>
          <w:rFonts w:eastAsia="DejaVu Sans" w:cs="DejaVu Sans"/>
          <w:color w:val="auto"/>
          <w:lang w:val="en-US" w:eastAsia="en-US" w:bidi="en-US"/>
        </w:rPr>
      </w:r>
    </w:p>
    <w:p>
      <w:r>
        <w:rPr>
          <w:rFonts w:eastAsia="DejaVu Sans" w:cs="DejaVu Sans"/>
          <w:color w:val="auto"/>
          <w:lang w:val="en-US" w:eastAsia="en-US" w:bidi="en-US"/>
        </w:rPr>
        <w:t xml:space="preserve">Plus refer to it more often in the early parts, especially the short term contracts channel. </w:t>
      </w:r>
    </w:p>
  </w:comment>
  <w:comment w:id="18" w:author="Simon ter Meulen" w:date="2019-01-25T13:47:00Z" w:initials="StM">
    <w:p>
      <w:r>
        <w:rPr>
          <w:rFonts w:eastAsia="DejaVu Sans" w:cs="DejaVu Sans"/>
          <w:color w:val="auto"/>
          <w:lang w:val="en-US" w:eastAsia="en-US" w:bidi="en-US"/>
        </w:rPr>
        <w:t>It did no? Check out table 10.</w:t>
      </w:r>
    </w:p>
  </w:comment>
  <w:comment w:id="19" w:author="Simon ter Meulen" w:date="2019-01-25T13:53:00Z" w:initials="StM">
    <w:p>
      <w:r>
        <w:rPr>
          <w:rFonts w:eastAsia="DejaVu Sans" w:cs="DejaVu Sans"/>
          <w:color w:val="auto"/>
          <w:lang w:val="en-US" w:eastAsia="en-US" w:bidi="en-US"/>
        </w:rPr>
        <w:t>? They have to pay less interest, if refinanced, why would they have lowered net income?</w:t>
      </w:r>
    </w:p>
  </w:comment>
  <w:comment w:id="20" w:author="Simon ter Meulen" w:date="2019-01-25T13:57:00Z" w:initials="StM">
    <w:p>
      <w:r>
        <w:rPr>
          <w:rFonts w:eastAsia="DejaVu Sans" w:cs="DejaVu Sans"/>
          <w:color w:val="auto"/>
          <w:lang w:val="en-US" w:eastAsia="en-US" w:bidi="en-US"/>
        </w:rPr>
        <w:t xml:space="preserve">You have table 10 showing that your idea has traction.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637b"/>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link w:val="Heading1Char"/>
    <w:uiPriority w:val="9"/>
    <w:qFormat/>
    <w:rsid w:val="00644472"/>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after="0"/>
      <w:outlineLvl w:val="2"/>
    </w:pPr>
    <w:rPr>
      <w:rFonts w:ascii="Cambria" w:hAnsi="Cambria" w:eastAsia="" w:cs="Mangal" w:asciiTheme="majorHAnsi" w:eastAsiaTheme="majorEastAsia" w:hAnsiTheme="majorHAnsi"/>
      <w:b/>
      <w:bCs/>
      <w:color w:val="4F81BD" w:themeColor="accent1"/>
      <w:szCs w:val="21"/>
    </w:rPr>
  </w:style>
  <w:style w:type="character" w:styleId="DefaultParagraphFont" w:default="1">
    <w:name w:val="Default Paragraph Font"/>
    <w:uiPriority w:val="1"/>
    <w:unhideWhenUsed/>
    <w:qFormat/>
    <w:rPr/>
  </w:style>
  <w:style w:type="character" w:styleId="Bullets" w:customStyle="1">
    <w:name w:val="Bullets"/>
    <w:qFormat/>
    <w:rsid w:val="0021637b"/>
    <w:rPr>
      <w:rFonts w:ascii="OpenSymbol" w:hAnsi="OpenSymbol" w:eastAsia="OpenSymbol" w:cs="OpenSymbol"/>
    </w:rPr>
  </w:style>
  <w:style w:type="character" w:styleId="InternetLink">
    <w:name w:val="Internet Link"/>
    <w:basedOn w:val="DefaultParagraphFont"/>
    <w:uiPriority w:val="99"/>
    <w:unhideWhenUsed/>
    <w:rsid w:val="00c331bc"/>
    <w:rPr>
      <w:color w:val="0000FF" w:themeColor="hyperlink"/>
      <w:u w:val="single"/>
    </w:rPr>
  </w:style>
  <w:style w:type="character" w:styleId="VisitedInternetLink" w:customStyle="1">
    <w:name w:val="Visited Internet Link"/>
    <w:rsid w:val="0021637b"/>
    <w:rPr>
      <w:color w:val="800000"/>
      <w:u w:val="single"/>
    </w:rPr>
  </w:style>
  <w:style w:type="character" w:styleId="TekstopmerkingChar" w:customStyle="1">
    <w:name w:val="Tekst opmerking Char"/>
    <w:basedOn w:val="DefaultParagraphFont"/>
    <w:qFormat/>
    <w:rsid w:val="0021637b"/>
    <w:rPr>
      <w:rFonts w:cs="Mangal"/>
      <w:sz w:val="20"/>
      <w:szCs w:val="18"/>
    </w:rPr>
  </w:style>
  <w:style w:type="character" w:styleId="Annotationreference">
    <w:name w:val="annotation reference"/>
    <w:basedOn w:val="DefaultParagraphFont"/>
    <w:qFormat/>
    <w:rsid w:val="0021637b"/>
    <w:rPr>
      <w:sz w:val="16"/>
      <w:szCs w:val="16"/>
    </w:rPr>
  </w:style>
  <w:style w:type="character" w:styleId="BallontekstChar" w:customStyle="1">
    <w:name w:val="Ballontekst Char"/>
    <w:basedOn w:val="DefaultParagraphFont"/>
    <w:qFormat/>
    <w:rsid w:val="0021637b"/>
    <w:rPr>
      <w:rFonts w:ascii="Tahoma" w:hAnsi="Tahoma" w:cs="Mangal"/>
      <w:sz w:val="16"/>
      <w:szCs w:val="14"/>
    </w:rPr>
  </w:style>
  <w:style w:type="character" w:styleId="OnderwerpvanopmerkingChar" w:customStyle="1">
    <w:name w:val="Onderwerp van opmerking Char"/>
    <w:basedOn w:val="TekstopmerkingChar"/>
    <w:qFormat/>
    <w:rsid w:val="0021637b"/>
    <w:rPr>
      <w:rFonts w:cs="Mangal"/>
      <w:b/>
      <w:bCs/>
      <w:sz w:val="20"/>
      <w:szCs w:val="18"/>
    </w:rPr>
  </w:style>
  <w:style w:type="character" w:styleId="ListLabel1" w:customStyle="1">
    <w:name w:val="ListLabel 1"/>
    <w:qFormat/>
    <w:rsid w:val="0021637b"/>
    <w:rPr>
      <w:rFonts w:cs="OpenSymbol"/>
    </w:rPr>
  </w:style>
  <w:style w:type="character" w:styleId="ListLabel2" w:customStyle="1">
    <w:name w:val="ListLabel 2"/>
    <w:qFormat/>
    <w:rsid w:val="0021637b"/>
    <w:rPr>
      <w:rFonts w:cs="OpenSymbol"/>
    </w:rPr>
  </w:style>
  <w:style w:type="character" w:styleId="ListLabel3" w:customStyle="1">
    <w:name w:val="ListLabel 3"/>
    <w:qFormat/>
    <w:rsid w:val="0021637b"/>
    <w:rPr>
      <w:rFonts w:cs="OpenSymbol"/>
    </w:rPr>
  </w:style>
  <w:style w:type="character" w:styleId="ListLabel4" w:customStyle="1">
    <w:name w:val="ListLabel 4"/>
    <w:qFormat/>
    <w:rsid w:val="0021637b"/>
    <w:rPr>
      <w:rFonts w:cs="OpenSymbol"/>
    </w:rPr>
  </w:style>
  <w:style w:type="character" w:styleId="ListLabel5" w:customStyle="1">
    <w:name w:val="ListLabel 5"/>
    <w:qFormat/>
    <w:rsid w:val="0021637b"/>
    <w:rPr>
      <w:rFonts w:cs="OpenSymbol"/>
    </w:rPr>
  </w:style>
  <w:style w:type="character" w:styleId="ListLabel6" w:customStyle="1">
    <w:name w:val="ListLabel 6"/>
    <w:qFormat/>
    <w:rsid w:val="0021637b"/>
    <w:rPr>
      <w:rFonts w:cs="OpenSymbol"/>
    </w:rPr>
  </w:style>
  <w:style w:type="character" w:styleId="ListLabel7" w:customStyle="1">
    <w:name w:val="ListLabel 7"/>
    <w:qFormat/>
    <w:rsid w:val="0021637b"/>
    <w:rPr>
      <w:rFonts w:cs="OpenSymbol"/>
    </w:rPr>
  </w:style>
  <w:style w:type="character" w:styleId="ListLabel8" w:customStyle="1">
    <w:name w:val="ListLabel 8"/>
    <w:qFormat/>
    <w:rsid w:val="0021637b"/>
    <w:rPr>
      <w:rFonts w:cs="OpenSymbol"/>
    </w:rPr>
  </w:style>
  <w:style w:type="character" w:styleId="ListLabel9" w:customStyle="1">
    <w:name w:val="ListLabel 9"/>
    <w:qFormat/>
    <w:rsid w:val="0021637b"/>
    <w:rPr>
      <w:rFonts w:cs="OpenSymbol"/>
    </w:rPr>
  </w:style>
  <w:style w:type="character" w:styleId="ListLabel10" w:customStyle="1">
    <w:name w:val="ListLabel 10"/>
    <w:qFormat/>
    <w:rsid w:val="0021637b"/>
    <w:rPr>
      <w:rFonts w:cs="OpenSymbol"/>
    </w:rPr>
  </w:style>
  <w:style w:type="character" w:styleId="ListLabel11" w:customStyle="1">
    <w:name w:val="ListLabel 11"/>
    <w:qFormat/>
    <w:rsid w:val="0021637b"/>
    <w:rPr>
      <w:rFonts w:cs="OpenSymbol"/>
    </w:rPr>
  </w:style>
  <w:style w:type="character" w:styleId="ListLabel12" w:customStyle="1">
    <w:name w:val="ListLabel 12"/>
    <w:qFormat/>
    <w:rsid w:val="0021637b"/>
    <w:rPr>
      <w:rFonts w:cs="OpenSymbol"/>
    </w:rPr>
  </w:style>
  <w:style w:type="character" w:styleId="ListLabel13" w:customStyle="1">
    <w:name w:val="ListLabel 13"/>
    <w:qFormat/>
    <w:rsid w:val="0021637b"/>
    <w:rPr>
      <w:rFonts w:cs="OpenSymbol"/>
    </w:rPr>
  </w:style>
  <w:style w:type="character" w:styleId="ListLabel14" w:customStyle="1">
    <w:name w:val="ListLabel 14"/>
    <w:qFormat/>
    <w:rsid w:val="0021637b"/>
    <w:rPr>
      <w:rFonts w:cs="OpenSymbol"/>
    </w:rPr>
  </w:style>
  <w:style w:type="character" w:styleId="ListLabel15" w:customStyle="1">
    <w:name w:val="ListLabel 15"/>
    <w:qFormat/>
    <w:rsid w:val="0021637b"/>
    <w:rPr>
      <w:rFonts w:cs="OpenSymbol"/>
    </w:rPr>
  </w:style>
  <w:style w:type="character" w:styleId="ListLabel16" w:customStyle="1">
    <w:name w:val="ListLabel 16"/>
    <w:qFormat/>
    <w:rsid w:val="0021637b"/>
    <w:rPr>
      <w:rFonts w:cs="OpenSymbol"/>
    </w:rPr>
  </w:style>
  <w:style w:type="character" w:styleId="ListLabel17" w:customStyle="1">
    <w:name w:val="ListLabel 17"/>
    <w:qFormat/>
    <w:rsid w:val="0021637b"/>
    <w:rPr>
      <w:rFonts w:cs="OpenSymbol"/>
    </w:rPr>
  </w:style>
  <w:style w:type="character" w:styleId="ListLabel18" w:customStyle="1">
    <w:name w:val="ListLabel 18"/>
    <w:qFormat/>
    <w:rsid w:val="0021637b"/>
    <w:rPr>
      <w:rFonts w:cs="OpenSymbol"/>
    </w:rPr>
  </w:style>
  <w:style w:type="character" w:styleId="ListLabel19" w:customStyle="1">
    <w:name w:val="ListLabel 19"/>
    <w:qFormat/>
    <w:rsid w:val="0021637b"/>
    <w:rPr>
      <w:rFonts w:ascii="Liberation Serif" w:hAnsi="Liberation Serif" w:cs="OpenSymbol"/>
      <w:sz w:val="24"/>
    </w:rPr>
  </w:style>
  <w:style w:type="character" w:styleId="ListLabel20" w:customStyle="1">
    <w:name w:val="ListLabel 20"/>
    <w:qFormat/>
    <w:rsid w:val="0021637b"/>
    <w:rPr>
      <w:rFonts w:cs="OpenSymbol"/>
    </w:rPr>
  </w:style>
  <w:style w:type="character" w:styleId="ListLabel21" w:customStyle="1">
    <w:name w:val="ListLabel 21"/>
    <w:qFormat/>
    <w:rsid w:val="0021637b"/>
    <w:rPr>
      <w:rFonts w:cs="OpenSymbol"/>
    </w:rPr>
  </w:style>
  <w:style w:type="character" w:styleId="ListLabel22" w:customStyle="1">
    <w:name w:val="ListLabel 22"/>
    <w:qFormat/>
    <w:rsid w:val="0021637b"/>
    <w:rPr>
      <w:rFonts w:cs="OpenSymbol"/>
    </w:rPr>
  </w:style>
  <w:style w:type="character" w:styleId="ListLabel23" w:customStyle="1">
    <w:name w:val="ListLabel 23"/>
    <w:qFormat/>
    <w:rsid w:val="0021637b"/>
    <w:rPr>
      <w:rFonts w:cs="OpenSymbol"/>
    </w:rPr>
  </w:style>
  <w:style w:type="character" w:styleId="ListLabel24" w:customStyle="1">
    <w:name w:val="ListLabel 24"/>
    <w:qFormat/>
    <w:rsid w:val="0021637b"/>
    <w:rPr>
      <w:rFonts w:cs="OpenSymbol"/>
    </w:rPr>
  </w:style>
  <w:style w:type="character" w:styleId="ListLabel25" w:customStyle="1">
    <w:name w:val="ListLabel 25"/>
    <w:qFormat/>
    <w:rsid w:val="0021637b"/>
    <w:rPr>
      <w:rFonts w:cs="OpenSymbol"/>
    </w:rPr>
  </w:style>
  <w:style w:type="character" w:styleId="ListLabel26" w:customStyle="1">
    <w:name w:val="ListLabel 26"/>
    <w:qFormat/>
    <w:rsid w:val="0021637b"/>
    <w:rPr>
      <w:rFonts w:cs="OpenSymbol"/>
    </w:rPr>
  </w:style>
  <w:style w:type="character" w:styleId="ListLabel27" w:customStyle="1">
    <w:name w:val="ListLabel 27"/>
    <w:qFormat/>
    <w:rsid w:val="0021637b"/>
    <w:rPr>
      <w:rFonts w:cs="OpenSymbol"/>
    </w:rPr>
  </w:style>
  <w:style w:type="character" w:styleId="ListLabel28" w:customStyle="1">
    <w:name w:val="ListLabel 28"/>
    <w:qFormat/>
    <w:rsid w:val="0021637b"/>
    <w:rPr>
      <w:rFonts w:ascii="Liberation Serif" w:hAnsi="Liberation Serif" w:cs="OpenSymbol"/>
      <w:sz w:val="24"/>
    </w:rPr>
  </w:style>
  <w:style w:type="character" w:styleId="ListLabel29" w:customStyle="1">
    <w:name w:val="ListLabel 29"/>
    <w:qFormat/>
    <w:rsid w:val="0021637b"/>
    <w:rPr>
      <w:rFonts w:cs="OpenSymbol"/>
    </w:rPr>
  </w:style>
  <w:style w:type="character" w:styleId="ListLabel30" w:customStyle="1">
    <w:name w:val="ListLabel 30"/>
    <w:qFormat/>
    <w:rsid w:val="0021637b"/>
    <w:rPr>
      <w:rFonts w:cs="OpenSymbol"/>
    </w:rPr>
  </w:style>
  <w:style w:type="character" w:styleId="ListLabel31" w:customStyle="1">
    <w:name w:val="ListLabel 31"/>
    <w:qFormat/>
    <w:rsid w:val="0021637b"/>
    <w:rPr>
      <w:rFonts w:cs="OpenSymbol"/>
    </w:rPr>
  </w:style>
  <w:style w:type="character" w:styleId="ListLabel32" w:customStyle="1">
    <w:name w:val="ListLabel 32"/>
    <w:qFormat/>
    <w:rsid w:val="0021637b"/>
    <w:rPr>
      <w:rFonts w:cs="OpenSymbol"/>
    </w:rPr>
  </w:style>
  <w:style w:type="character" w:styleId="ListLabel33" w:customStyle="1">
    <w:name w:val="ListLabel 33"/>
    <w:qFormat/>
    <w:rsid w:val="0021637b"/>
    <w:rPr>
      <w:rFonts w:cs="OpenSymbol"/>
    </w:rPr>
  </w:style>
  <w:style w:type="character" w:styleId="ListLabel34" w:customStyle="1">
    <w:name w:val="ListLabel 34"/>
    <w:qFormat/>
    <w:rsid w:val="0021637b"/>
    <w:rPr>
      <w:rFonts w:cs="OpenSymbol"/>
    </w:rPr>
  </w:style>
  <w:style w:type="character" w:styleId="ListLabel35" w:customStyle="1">
    <w:name w:val="ListLabel 35"/>
    <w:qFormat/>
    <w:rsid w:val="0021637b"/>
    <w:rPr>
      <w:rFonts w:cs="OpenSymbol"/>
    </w:rPr>
  </w:style>
  <w:style w:type="character" w:styleId="ListLabel36" w:customStyle="1">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sid w:val="0021637b"/>
    <w:rPr>
      <w:rFonts w:cs="OpenSymbol"/>
      <w:sz w:val="24"/>
    </w:rPr>
  </w:style>
  <w:style w:type="character" w:styleId="ListLabel38" w:customStyle="1">
    <w:name w:val="ListLabel 38"/>
    <w:qFormat/>
    <w:rsid w:val="0021637b"/>
    <w:rPr>
      <w:rFonts w:cs="OpenSymbol"/>
    </w:rPr>
  </w:style>
  <w:style w:type="character" w:styleId="ListLabel39" w:customStyle="1">
    <w:name w:val="ListLabel 39"/>
    <w:qFormat/>
    <w:rsid w:val="0021637b"/>
    <w:rPr>
      <w:rFonts w:cs="OpenSymbol"/>
    </w:rPr>
  </w:style>
  <w:style w:type="character" w:styleId="ListLabel40" w:customStyle="1">
    <w:name w:val="ListLabel 40"/>
    <w:qFormat/>
    <w:rsid w:val="0021637b"/>
    <w:rPr>
      <w:rFonts w:cs="OpenSymbol"/>
    </w:rPr>
  </w:style>
  <w:style w:type="character" w:styleId="ListLabel41" w:customStyle="1">
    <w:name w:val="ListLabel 41"/>
    <w:qFormat/>
    <w:rsid w:val="0021637b"/>
    <w:rPr>
      <w:rFonts w:cs="OpenSymbol"/>
    </w:rPr>
  </w:style>
  <w:style w:type="character" w:styleId="ListLabel42" w:customStyle="1">
    <w:name w:val="ListLabel 42"/>
    <w:qFormat/>
    <w:rsid w:val="0021637b"/>
    <w:rPr>
      <w:rFonts w:cs="OpenSymbol"/>
    </w:rPr>
  </w:style>
  <w:style w:type="character" w:styleId="ListLabel43" w:customStyle="1">
    <w:name w:val="ListLabel 43"/>
    <w:qFormat/>
    <w:rsid w:val="0021637b"/>
    <w:rPr>
      <w:rFonts w:cs="OpenSymbol"/>
    </w:rPr>
  </w:style>
  <w:style w:type="character" w:styleId="ListLabel44" w:customStyle="1">
    <w:name w:val="ListLabel 44"/>
    <w:qFormat/>
    <w:rsid w:val="0021637b"/>
    <w:rPr>
      <w:rFonts w:cs="OpenSymbol"/>
    </w:rPr>
  </w:style>
  <w:style w:type="character" w:styleId="ListLabel45" w:customStyle="1">
    <w:name w:val="ListLabel 45"/>
    <w:qFormat/>
    <w:rsid w:val="0021637b"/>
    <w:rPr>
      <w:rFonts w:cs="OpenSymbol"/>
    </w:rPr>
  </w:style>
  <w:style w:type="character" w:styleId="ListLabel46" w:customStyle="1">
    <w:name w:val="ListLabel 46"/>
    <w:qFormat/>
    <w:rsid w:val="0021637b"/>
    <w:rPr>
      <w:rFonts w:cs="OpenSymbol"/>
      <w:sz w:val="24"/>
    </w:rPr>
  </w:style>
  <w:style w:type="character" w:styleId="ListLabel47" w:customStyle="1">
    <w:name w:val="ListLabel 47"/>
    <w:qFormat/>
    <w:rsid w:val="0021637b"/>
    <w:rPr>
      <w:rFonts w:cs="OpenSymbol"/>
    </w:rPr>
  </w:style>
  <w:style w:type="character" w:styleId="ListLabel48" w:customStyle="1">
    <w:name w:val="ListLabel 48"/>
    <w:qFormat/>
    <w:rsid w:val="0021637b"/>
    <w:rPr>
      <w:rFonts w:cs="OpenSymbol"/>
    </w:rPr>
  </w:style>
  <w:style w:type="character" w:styleId="ListLabel49" w:customStyle="1">
    <w:name w:val="ListLabel 49"/>
    <w:qFormat/>
    <w:rsid w:val="0021637b"/>
    <w:rPr>
      <w:rFonts w:cs="OpenSymbol"/>
    </w:rPr>
  </w:style>
  <w:style w:type="character" w:styleId="ListLabel50" w:customStyle="1">
    <w:name w:val="ListLabel 50"/>
    <w:qFormat/>
    <w:rsid w:val="0021637b"/>
    <w:rPr>
      <w:rFonts w:cs="OpenSymbol"/>
    </w:rPr>
  </w:style>
  <w:style w:type="character" w:styleId="ListLabel51" w:customStyle="1">
    <w:name w:val="ListLabel 51"/>
    <w:qFormat/>
    <w:rsid w:val="0021637b"/>
    <w:rPr>
      <w:rFonts w:cs="OpenSymbol"/>
    </w:rPr>
  </w:style>
  <w:style w:type="character" w:styleId="ListLabel52" w:customStyle="1">
    <w:name w:val="ListLabel 52"/>
    <w:qFormat/>
    <w:rsid w:val="0021637b"/>
    <w:rPr>
      <w:rFonts w:cs="OpenSymbol"/>
    </w:rPr>
  </w:style>
  <w:style w:type="character" w:styleId="ListLabel53" w:customStyle="1">
    <w:name w:val="ListLabel 53"/>
    <w:qFormat/>
    <w:rsid w:val="0021637b"/>
    <w:rPr>
      <w:rFonts w:cs="OpenSymbol"/>
    </w:rPr>
  </w:style>
  <w:style w:type="character" w:styleId="ListLabel54" w:customStyle="1">
    <w:name w:val="ListLabel 54"/>
    <w:qFormat/>
    <w:rsid w:val="0021637b"/>
    <w:rPr>
      <w:rFonts w:cs="OpenSymbol"/>
    </w:rPr>
  </w:style>
  <w:style w:type="character" w:styleId="ListLabel55" w:customStyle="1">
    <w:name w:val="ListLabel 55"/>
    <w:qFormat/>
    <w:rsid w:val="0021637b"/>
    <w:rPr>
      <w:i/>
    </w:rPr>
  </w:style>
  <w:style w:type="character" w:styleId="NumberingSymbols" w:customStyle="1">
    <w:name w:val="Numbering Symbols"/>
    <w:qFormat/>
    <w:rsid w:val="0021637b"/>
    <w:rPr/>
  </w:style>
  <w:style w:type="character" w:styleId="TitleChar" w:customStyle="1">
    <w:name w:val="Title Char"/>
    <w:basedOn w:val="DefaultParagraphFont"/>
    <w:link w:val="Title"/>
    <w:uiPriority w:val="10"/>
    <w:qFormat/>
    <w:rsid w:val="00644472"/>
    <w:rPr>
      <w:rFonts w:ascii="Cambria" w:hAnsi="Cambria" w:eastAsia="" w:cs="Mangal" w:asciiTheme="majorHAnsi" w:eastAsiaTheme="majorEastAsia" w:hAnsiTheme="majorHAnsi"/>
      <w:color w:val="17365D" w:themeColor="text2" w:themeShade="bf"/>
      <w:spacing w:val="5"/>
      <w:sz w:val="52"/>
      <w:szCs w:val="47"/>
    </w:rPr>
  </w:style>
  <w:style w:type="character" w:styleId="Heading1Char" w:customStyle="1">
    <w:name w:val="Heading 1 Char"/>
    <w:basedOn w:val="DefaultParagraphFont"/>
    <w:link w:val="Heading1"/>
    <w:uiPriority w:val="9"/>
    <w:qFormat/>
    <w:rsid w:val="00644472"/>
    <w:rPr>
      <w:rFonts w:ascii="Cambria" w:hAnsi="Cambria" w:eastAsia="" w:cs="Mangal" w:asciiTheme="majorHAnsi" w:eastAsiaTheme="majorEastAsia" w:hAnsiTheme="majorHAnsi"/>
      <w:b/>
      <w:bCs/>
      <w:color w:val="365F91" w:themeColor="accent1" w:themeShade="bf"/>
      <w:sz w:val="28"/>
      <w:szCs w:val="25"/>
    </w:rPr>
  </w:style>
  <w:style w:type="character" w:styleId="Heading2Char" w:customStyle="1">
    <w:name w:val="Heading 2 Char"/>
    <w:basedOn w:val="DefaultParagraphFont"/>
    <w:link w:val="Heading2"/>
    <w:uiPriority w:val="9"/>
    <w:qFormat/>
    <w:rsid w:val="00f26246"/>
    <w:rPr>
      <w:rFonts w:ascii="Cambria" w:hAnsi="Cambria" w:eastAsia="" w:cs="Mangal" w:asciiTheme="majorHAnsi" w:eastAsiaTheme="majorEastAsia" w:hAnsiTheme="majorHAnsi"/>
      <w:b/>
      <w:bCs/>
      <w:color w:val="4F81BD" w:themeColor="accent1"/>
      <w:sz w:val="26"/>
      <w:szCs w:val="23"/>
    </w:rPr>
  </w:style>
  <w:style w:type="character" w:styleId="Heading3Char" w:customStyle="1">
    <w:name w:val="Heading 3 Char"/>
    <w:basedOn w:val="DefaultParagraphFont"/>
    <w:link w:val="Heading3"/>
    <w:uiPriority w:val="9"/>
    <w:qFormat/>
    <w:rsid w:val="00f26246"/>
    <w:rPr>
      <w:rFonts w:ascii="Cambria" w:hAnsi="Cambria" w:eastAsia="" w:cs="Mangal" w:asciiTheme="majorHAnsi" w:eastAsiaTheme="majorEastAsia" w:hAnsiTheme="majorHAnsi"/>
      <w:b/>
      <w:bCs/>
      <w:color w:val="4F81BD" w:themeColor="accent1"/>
      <w:sz w:val="24"/>
      <w:szCs w:val="21"/>
    </w:rPr>
  </w:style>
  <w:style w:type="paragraph" w:styleId="Heading" w:customStyle="1">
    <w:name w:val="Heading"/>
    <w:basedOn w:val="Normal"/>
    <w:next w:val="TextBody"/>
    <w:qFormat/>
    <w:rsid w:val="0021637b"/>
    <w:pPr>
      <w:keepNext/>
      <w:spacing w:before="240" w:after="120"/>
    </w:pPr>
    <w:rPr>
      <w:rFonts w:ascii="Liberation Sans" w:hAnsi="Liberation Sans"/>
      <w:sz w:val="28"/>
      <w:szCs w:val="28"/>
    </w:rPr>
  </w:style>
  <w:style w:type="paragraph" w:styleId="TextBody">
    <w:name w:val="Body Text"/>
    <w:basedOn w:val="Normal"/>
    <w:rsid w:val="0021637b"/>
    <w:pPr>
      <w:spacing w:lineRule="auto" w:line="288" w:before="0" w:after="140"/>
    </w:pPr>
    <w:rPr/>
  </w:style>
  <w:style w:type="paragraph" w:styleId="List">
    <w:name w:val="List"/>
    <w:basedOn w:val="TextBody"/>
    <w:rsid w:val="0021637b"/>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1637b"/>
    <w:pPr>
      <w:suppressLineNumbers/>
    </w:pPr>
    <w:rPr/>
  </w:style>
  <w:style w:type="paragraph" w:styleId="Caption1" w:customStyle="1">
    <w:name w:val="Caption1"/>
    <w:basedOn w:val="Normal"/>
    <w:qFormat/>
    <w:rsid w:val="0021637b"/>
    <w:pPr>
      <w:suppressLineNumbers/>
      <w:spacing w:before="120" w:after="120"/>
    </w:pPr>
    <w:rPr>
      <w:i/>
      <w:iCs/>
    </w:rPr>
  </w:style>
  <w:style w:type="paragraph" w:styleId="Caption2">
    <w:name w:val="caption"/>
    <w:basedOn w:val="Normal"/>
    <w:qFormat/>
    <w:rsid w:val="0021637b"/>
    <w:pPr>
      <w:suppressLineNumbers/>
      <w:spacing w:before="120" w:after="120"/>
    </w:pPr>
    <w:rPr>
      <w:i/>
      <w:iCs/>
    </w:rPr>
  </w:style>
  <w:style w:type="paragraph" w:styleId="Illustration" w:customStyle="1">
    <w:name w:val="Illustration"/>
    <w:basedOn w:val="Caption2"/>
    <w:qFormat/>
    <w:rsid w:val="0021637b"/>
    <w:pPr/>
    <w:rPr/>
  </w:style>
  <w:style w:type="paragraph" w:styleId="FrameContents" w:customStyle="1">
    <w:name w:val="Frame Contents"/>
    <w:basedOn w:val="Normal"/>
    <w:qFormat/>
    <w:rsid w:val="0021637b"/>
    <w:pPr/>
    <w:rPr/>
  </w:style>
  <w:style w:type="paragraph" w:styleId="Annotationtext">
    <w:name w:val="annotation text"/>
    <w:basedOn w:val="Normal"/>
    <w:qFormat/>
    <w:rsid w:val="0021637b"/>
    <w:pPr/>
    <w:rPr>
      <w:rFonts w:cs="Mangal"/>
      <w:sz w:val="20"/>
      <w:szCs w:val="18"/>
    </w:rPr>
  </w:style>
  <w:style w:type="paragraph" w:styleId="BalloonText">
    <w:name w:val="Balloon Text"/>
    <w:basedOn w:val="Normal"/>
    <w:qFormat/>
    <w:rsid w:val="0021637b"/>
    <w:pPr/>
    <w:rPr>
      <w:rFonts w:ascii="Tahoma" w:hAnsi="Tahoma" w:cs="Mangal"/>
      <w:sz w:val="16"/>
      <w:szCs w:val="14"/>
    </w:rPr>
  </w:style>
  <w:style w:type="paragraph" w:styleId="Annotationsubject">
    <w:name w:val="annotation subject"/>
    <w:basedOn w:val="Annotationtext"/>
    <w:qFormat/>
    <w:rsid w:val="0021637b"/>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lang w:eastAsia="en-US" w:bidi="ar-SA"/>
    </w:rPr>
  </w:style>
  <w:style w:type="paragraph" w:styleId="Title">
    <w:name w:val="Title"/>
    <w:basedOn w:val="Normal"/>
    <w:next w:val="Normal"/>
    <w:link w:val="TitleChar"/>
    <w:uiPriority w:val="10"/>
    <w:qFormat/>
    <w:rsid w:val="00644472"/>
    <w:pPr>
      <w:pBdr>
        <w:bottom w:val="single" w:sz="8" w:space="4" w:color="4F81BD"/>
      </w:pBdr>
      <w:spacing w:before="0" w:after="300"/>
      <w:contextualSpacing/>
    </w:pPr>
    <w:rPr>
      <w:rFonts w:ascii="Cambria" w:hAnsi="Cambria" w:eastAsia="" w:cs="Mangal" w:asciiTheme="majorHAnsi" w:eastAsiaTheme="majorEastAsia" w:hAnsiTheme="majorHAnsi"/>
      <w:color w:val="17365D" w:themeColor="text2" w:themeShade="bf"/>
      <w:spacing w:val="5"/>
      <w:sz w:val="52"/>
      <w:szCs w:val="4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hsdata.nl/site/users/login" TargetMode="External"/><Relationship Id="rId5" Type="http://schemas.openxmlformats.org/officeDocument/2006/relationships/hyperlink" Target="https://www.centerdata.nl/en/databank/dhs-data-access" TargetMode="External"/><Relationship Id="rId6" Type="http://schemas.openxmlformats.org/officeDocument/2006/relationships/hyperlink" Target="https://www.homefinance.nl/nieuws-blog/blogberichten/9318/verdere-beperking-hypotheekrenteaftrek/"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8F951-BD54-4F08-B718-BCCBF131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LibreOffice/5.1.6.2$Linux_X86_64 LibreOffice_project/10m0$Build-2</Application>
  <Pages>27</Pages>
  <Words>9031</Words>
  <Characters>46719</Characters>
  <CharactersWithSpaces>55201</CharactersWithSpaces>
  <Paragraphs>829</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2019-01-28T14:28:00Z</dcterms:created>
  <dc:creator>Emma Hissink Muller</dc:creator>
  <dc:description/>
  <dc:language>en-US</dc:language>
  <cp:lastModifiedBy/>
  <cp:lastPrinted>2019-01-18T08:54:00Z</cp:lastPrinted>
  <dcterms:modified xsi:type="dcterms:W3CDTF">2019-01-29T10:53:43Z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