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797AFE" w:rsidP="00644472">
      <w:pPr>
        <w:pStyle w:val="Title"/>
      </w:pPr>
      <w:commentRangeStart w:id="0"/>
      <w:r>
        <w:rPr>
          <w:highlight w:val="white"/>
        </w:rPr>
        <w:t xml:space="preserve">Niels van </w:t>
      </w:r>
      <w:proofErr w:type="spellStart"/>
      <w:r>
        <w:rPr>
          <w:highlight w:val="white"/>
        </w:rPr>
        <w:t>Opstal</w:t>
      </w:r>
      <w:proofErr w:type="spellEnd"/>
      <w:r>
        <w:rPr>
          <w:highlight w:val="white"/>
        </w:rPr>
        <w:t xml:space="preserve"> </w:t>
      </w:r>
      <w:r w:rsidR="00981634">
        <w:rPr>
          <w:highlight w:val="white"/>
        </w:rPr>
        <w:t>31</w:t>
      </w:r>
      <w:r w:rsidR="00CB0C55">
        <w:rPr>
          <w:highlight w:val="white"/>
        </w:rPr>
        <w:t>-1</w:t>
      </w:r>
      <w:commentRangeEnd w:id="0"/>
      <w:r w:rsidR="001C3F79">
        <w:rPr>
          <w:rStyle w:val="CommentReference"/>
          <w:rFonts w:ascii="Liberation Serif" w:eastAsia="Noto Sans CJK SC Regular" w:hAnsi="Liberation Serif"/>
          <w:color w:val="00000A"/>
          <w:spacing w:val="0"/>
          <w:kern w:val="0"/>
        </w:rPr>
        <w:commentReference w:id="0"/>
      </w:r>
      <w:r w:rsidR="00336848">
        <w:rPr>
          <w:rStyle w:val="CommentReference"/>
          <w:rFonts w:ascii="Liberation Serif" w:eastAsia="Noto Sans CJK SC Regular" w:hAnsi="Liberation Serif"/>
          <w:color w:val="00000A"/>
          <w:spacing w:val="0"/>
          <w:kern w:val="0"/>
        </w:rPr>
        <w:commentReference w:id="1"/>
      </w:r>
    </w:p>
    <w:p w:rsidR="00D22FB1" w:rsidRDefault="00D22FB1" w:rsidP="00CB0C55">
      <w:pPr>
        <w:spacing w:line="360" w:lineRule="auto"/>
        <w:jc w:val="both"/>
        <w:rPr>
          <w:b/>
          <w:bCs/>
          <w:color w:val="000000"/>
          <w:highlight w:val="white"/>
        </w:rPr>
      </w:pPr>
    </w:p>
    <w:p w:rsidR="00797AFE" w:rsidRDefault="00797AFE" w:rsidP="00CB0C55">
      <w:pPr>
        <w:spacing w:line="360" w:lineRule="auto"/>
        <w:jc w:val="both"/>
        <w:rPr>
          <w:b/>
          <w:bCs/>
          <w:color w:val="000000"/>
          <w:highlight w:val="white"/>
        </w:rPr>
      </w:pPr>
      <w:r>
        <w:rPr>
          <w:b/>
          <w:bCs/>
          <w:color w:val="000000"/>
          <w:highlight w:val="white"/>
        </w:rPr>
        <w:t>Abstract:</w:t>
      </w:r>
    </w:p>
    <w:p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w:t>
      </w:r>
      <w:r w:rsidR="00344E52">
        <w:rPr>
          <w:bCs/>
          <w:color w:val="000000"/>
          <w:highlight w:val="white"/>
        </w:rPr>
        <w:t xml:space="preserve"> and an analysis that focuses on negative health transitions</w:t>
      </w:r>
      <w:r w:rsidR="00833754">
        <w:rPr>
          <w:bCs/>
          <w:color w:val="000000"/>
          <w:highlight w:val="white"/>
        </w:rPr>
        <w:t xml:space="preserve">. </w:t>
      </w:r>
      <w:r w:rsidR="00A07C78">
        <w:rPr>
          <w:bCs/>
          <w:color w:val="000000"/>
          <w:highlight w:val="white"/>
        </w:rPr>
        <w:t xml:space="preserve">The </w:t>
      </w:r>
      <w:r w:rsidR="00833754" w:rsidRPr="00886E37">
        <w:rPr>
          <w:bCs/>
          <w:color w:val="000000"/>
          <w:highlight w:val="yellow"/>
        </w:rPr>
        <w:t>treatment used for the difference in differences analysis is the sudden drop</w:t>
      </w:r>
      <w:r w:rsidR="008C6126">
        <w:rPr>
          <w:bCs/>
          <w:color w:val="000000"/>
          <w:highlight w:val="yellow"/>
        </w:rPr>
        <w:t xml:space="preserve"> </w:t>
      </w:r>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w:t>
      </w:r>
      <w:r w:rsidR="00344E52">
        <w:rPr>
          <w:bCs/>
          <w:color w:val="000000"/>
          <w:highlight w:val="white"/>
        </w:rPr>
        <w:t xml:space="preserve"> In the analysis that focuses on health transitions only negative health transitions are taken into account since the average health found was nearly perfect.</w:t>
      </w:r>
      <w:r w:rsidR="00833754">
        <w:rPr>
          <w:bCs/>
          <w:color w:val="000000"/>
          <w:highlight w:val="white"/>
        </w:rPr>
        <w:t xml:space="preserve"> </w:t>
      </w:r>
      <w:r w:rsidR="00344E52">
        <w:rPr>
          <w:bCs/>
          <w:color w:val="000000"/>
          <w:highlight w:val="white"/>
        </w:rPr>
        <w:t>This study uses s</w:t>
      </w:r>
      <w:r w:rsidR="00140FF4">
        <w:rPr>
          <w:bCs/>
          <w:color w:val="000000"/>
          <w:highlight w:val="white"/>
        </w:rPr>
        <w:t>elf-assessed health as the health variable</w:t>
      </w:r>
      <w:r w:rsidR="00833754">
        <w:rPr>
          <w:bCs/>
          <w:color w:val="000000"/>
          <w:highlight w:val="white"/>
        </w:rPr>
        <w:t>. The data used consists of 3 waves from the Dutch Household Survey. The study found no evidence of a significant causal effect of wealth on health in the short run.</w:t>
      </w:r>
    </w:p>
    <w:p w:rsidR="0021637B" w:rsidRDefault="0021637B" w:rsidP="00CB0C55">
      <w:pPr>
        <w:spacing w:line="360" w:lineRule="auto"/>
        <w:jc w:val="both"/>
        <w:rPr>
          <w:b/>
          <w:bCs/>
          <w:color w:val="000000"/>
          <w:highlight w:val="white"/>
        </w:rPr>
      </w:pPr>
    </w:p>
    <w:p w:rsidR="0021637B" w:rsidRDefault="00CB0C55" w:rsidP="00644472">
      <w:pPr>
        <w:pStyle w:val="Heading1"/>
      </w:pPr>
      <w:r>
        <w:rPr>
          <w:highlight w:val="white"/>
        </w:rPr>
        <w:t>Introduction</w:t>
      </w:r>
    </w:p>
    <w:p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r w:rsidR="008C6126">
        <w:t xml:space="preserve"> One reason why research might find different results on the causality of wealth on health could be the different institutional settings. In th</w:t>
      </w:r>
      <w:r w:rsidR="007D1CC9">
        <w:t>e Netherlands</w:t>
      </w:r>
      <w:r w:rsidR="00717CCE">
        <w:t>,</w:t>
      </w:r>
      <w:r w:rsidR="007D1CC9">
        <w:t xml:space="preserve"> for example</w:t>
      </w:r>
      <w:r w:rsidR="00717CCE">
        <w:t>,</w:t>
      </w:r>
      <w:r w:rsidR="007D1CC9">
        <w:t xml:space="preserve"> </w:t>
      </w:r>
      <w:r w:rsidR="00B71467">
        <w:t>an</w:t>
      </w:r>
      <w:r w:rsidR="008C6126">
        <w:t xml:space="preserve"> effect from health to wealth is less likely than in other countries with for </w:t>
      </w:r>
      <w:r w:rsidR="00717CCE">
        <w:t>instance</w:t>
      </w:r>
      <w:r w:rsidR="008C6126">
        <w:t xml:space="preserve"> less universal health care as i</w:t>
      </w:r>
      <w:r w:rsidR="00B71467">
        <w:t>s</w:t>
      </w:r>
      <w:r w:rsidR="008C6126">
        <w:t xml:space="preserve"> argued in the institutional section.</w:t>
      </w:r>
    </w:p>
    <w:p w:rsidR="00886E37" w:rsidRDefault="00CB0C55" w:rsidP="00CB0C55">
      <w:pPr>
        <w:spacing w:line="360" w:lineRule="auto"/>
        <w:jc w:val="both"/>
      </w:pPr>
      <w:r>
        <w:lastRenderedPageBreak/>
        <w:tab/>
        <w:t>The goal of this paper is to examine the causality between health and wealth in the Netherlands.</w:t>
      </w:r>
      <w:r w:rsidR="00CD67CA">
        <w:t xml:space="preserve"> </w:t>
      </w:r>
      <w:r w:rsidR="00B71467">
        <w:t>specifically</w:t>
      </w:r>
      <w:r w:rsidR="00CD67CA">
        <w:t>, this paper will try to find a causal relation</w:t>
      </w:r>
      <w:r>
        <w:t xml:space="preserve"> </w:t>
      </w:r>
      <w:r w:rsidR="00CD67CA">
        <w:t xml:space="preserve">from wealth to health. </w:t>
      </w:r>
      <w:r>
        <w:t xml:space="preserve">This paper will try to </w:t>
      </w:r>
      <w:r w:rsidR="00717CCE">
        <w:t>avoid</w:t>
      </w:r>
      <w:r>
        <w:t xml:space="preserve"> the endogeneity between health and wealth</w:t>
      </w:r>
      <w:r w:rsidR="005A60F0">
        <w:t xml:space="preserve"> in two ways. The first is</w:t>
      </w:r>
      <w:r>
        <w:t xml:space="preserve"> using a difference in difference</w:t>
      </w:r>
      <w:r w:rsidR="007D1CC9">
        <w:t>s</w:t>
      </w:r>
      <w:r w:rsidR="005F1CA0">
        <w:t xml:space="preserve"> (DID)</w:t>
      </w:r>
      <w:r w:rsidR="00886E37">
        <w:t xml:space="preserve"> analysis. The second way</w:t>
      </w:r>
      <w:r w:rsidR="00B71467">
        <w:t xml:space="preserve"> in which</w:t>
      </w:r>
      <w:r w:rsidR="00886E37">
        <w:t xml:space="preserve"> this paper tries to deal with the endogeneity is by focusing on the effect of wealth on health transitions.</w:t>
      </w:r>
    </w:p>
    <w:p w:rsidR="005A60F0" w:rsidRDefault="00886E37" w:rsidP="00886E37">
      <w:pPr>
        <w:spacing w:line="360" w:lineRule="auto"/>
        <w:ind w:firstLine="720"/>
        <w:jc w:val="both"/>
      </w:pPr>
      <w:r>
        <w:t>In the difference in differences analysis, t</w:t>
      </w:r>
      <w:r w:rsidR="00CB0C55">
        <w:t>he tr</w:t>
      </w:r>
      <w:r w:rsidR="007D1CC9">
        <w:t>eatment group consists of  home</w:t>
      </w:r>
      <w:r w:rsidR="00CB0C55">
        <w:t>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w:t>
      </w:r>
      <w:r w:rsidR="007D1CC9">
        <w:t>caused a drop in</w:t>
      </w:r>
      <w:r w:rsidR="00CB0C55">
        <w:t xml:space="preserve"> housing prices and secondly</w:t>
      </w:r>
      <w:r w:rsidR="00B71467">
        <w:t>,</w:t>
      </w:r>
      <w:r w:rsidR="00CB0C55">
        <w:t xml:space="preserve">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wealth of t</w:t>
      </w:r>
      <w:r w:rsidR="007D1CC9">
        <w:t>enants since the wealth of home</w:t>
      </w:r>
      <w:r w:rsidR="00CB0C55">
        <w:t xml:space="preserve">owners is more exposed to changes in housing prices than the wealth of tenants. It stands to reason that the change in housing prices does </w:t>
      </w:r>
      <w:r w:rsidR="00B4576D">
        <w:t>neither</w:t>
      </w:r>
      <w:r w:rsidR="00CB0C55">
        <w:t xml:space="preserve"> directly affect </w:t>
      </w:r>
      <w:r w:rsidR="00B4576D">
        <w:t>health status nor are t</w:t>
      </w:r>
      <w:r w:rsidR="007D1CC9">
        <w:t>he housing prices directly a</w:t>
      </w:r>
      <w:r w:rsidR="00717CCE">
        <w:t>ffec</w:t>
      </w:r>
      <w:r w:rsidR="00B4576D">
        <w:t>t</w:t>
      </w:r>
      <w:r w:rsidR="007D1CC9">
        <w:t>ed</w:t>
      </w:r>
      <w:r w:rsidR="00B4576D">
        <w:t xml:space="preserve"> by health.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w:t>
      </w:r>
      <w:r w:rsidR="00717CCE">
        <w:t xml:space="preserve"> a</w:t>
      </w:r>
      <w:r w:rsidR="001C3F79">
        <w:t xml:space="preserve"> dummy </w:t>
      </w:r>
      <w:r>
        <w:t>variable where a person is either healthy or unhealthy, based on their self-assessed health.</w:t>
      </w:r>
    </w:p>
    <w:p w:rsidR="00886E37" w:rsidRDefault="00356794" w:rsidP="00886E37">
      <w:pPr>
        <w:spacing w:line="360" w:lineRule="auto"/>
        <w:ind w:firstLine="720"/>
        <w:jc w:val="both"/>
      </w:pPr>
      <w:r>
        <w:t>In the second analysis</w:t>
      </w:r>
      <w:r w:rsidR="00717CCE">
        <w:t>,</w:t>
      </w:r>
      <w:r>
        <w:t xml:space="preserve"> this paper tries to estimate the effect of wealth on health transitions, </w:t>
      </w:r>
      <w:r w:rsidR="00717CCE">
        <w:t xml:space="preserve">where </w:t>
      </w:r>
      <w:r>
        <w:t>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The data has information of health, housing</w:t>
      </w:r>
      <w:r w:rsidR="00717CCE">
        <w:t xml:space="preserve"> and</w:t>
      </w:r>
      <w:r>
        <w:t xml:space="preserve"> possessions </w:t>
      </w:r>
      <w:r w:rsidR="00140FF4">
        <w:t>among</w:t>
      </w:r>
      <w:r>
        <w:t xml:space="preserve"> other thing. </w:t>
      </w:r>
      <w:r>
        <w:rPr>
          <w:color w:val="000000"/>
          <w:highlight w:val="white"/>
        </w:rPr>
        <w:t xml:space="preserve">(“DHS data access | CentERdata.nl,” n.d.). </w:t>
      </w:r>
      <w:r w:rsidR="00B17EAE">
        <w:rPr>
          <w:color w:val="000000"/>
          <w:highlight w:val="white"/>
        </w:rPr>
        <w:t xml:space="preserve">The survey tries to get as many recurring respondents as possible and adds new respondents when needed to make the average number of respondents around 2000. </w:t>
      </w:r>
      <w:r w:rsidR="00717CCE">
        <w:rPr>
          <w:color w:val="000000"/>
          <w:highlight w:val="white"/>
        </w:rPr>
        <w:t>By u</w:t>
      </w:r>
      <w:r>
        <w:rPr>
          <w:color w:val="000000"/>
          <w:highlight w:val="white"/>
        </w:rPr>
        <w:t xml:space="preserve">sing </w:t>
      </w:r>
      <w:r w:rsidR="00717CCE">
        <w:rPr>
          <w:color w:val="000000"/>
          <w:highlight w:val="white"/>
        </w:rPr>
        <w:t>different waves of this dataset, the difference in differences analysis and the health transition analysis can be conducted in order to find a causal relationship between wealth and health</w:t>
      </w:r>
      <w:r>
        <w:rPr>
          <w:color w:val="000000"/>
          <w:highlight w:val="white"/>
        </w:rPr>
        <w:t>.</w:t>
      </w:r>
    </w:p>
    <w:p w:rsidR="0021637B" w:rsidRDefault="00CB0C55" w:rsidP="00CB0C55">
      <w:pPr>
        <w:spacing w:line="360" w:lineRule="auto"/>
        <w:jc w:val="both"/>
      </w:pPr>
      <w:r>
        <w:rPr>
          <w:color w:val="000000"/>
          <w:highlight w:val="white"/>
        </w:rPr>
        <w:tab/>
        <w:t>Th</w:t>
      </w:r>
      <w:r w:rsidR="007D1CC9">
        <w:rPr>
          <w:color w:val="000000"/>
          <w:highlight w:val="white"/>
        </w:rPr>
        <w:t>is</w:t>
      </w:r>
      <w:r>
        <w:rPr>
          <w:color w:val="000000"/>
          <w:highlight w:val="white"/>
        </w:rPr>
        <w:t xml:space="preserve"> paper </w:t>
      </w:r>
      <w:r w:rsidR="00717CCE">
        <w:rPr>
          <w:color w:val="000000"/>
          <w:highlight w:val="white"/>
        </w:rPr>
        <w:t>is</w:t>
      </w:r>
      <w:r>
        <w:rPr>
          <w:color w:val="000000"/>
          <w:highlight w:val="white"/>
        </w:rPr>
        <w:t xml:space="preserve"> structured as follows. The first chapter discuss</w:t>
      </w:r>
      <w:r w:rsidR="00717CCE">
        <w:rPr>
          <w:color w:val="000000"/>
          <w:highlight w:val="white"/>
        </w:rPr>
        <w:t>es</w:t>
      </w:r>
      <w:r>
        <w:rPr>
          <w:color w:val="000000"/>
          <w:highlight w:val="white"/>
        </w:rPr>
        <w:t xml:space="preserve">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briefly </w:t>
      </w:r>
      <w:r w:rsidR="007D1CC9">
        <w:rPr>
          <w:color w:val="000000"/>
          <w:highlight w:val="white"/>
        </w:rPr>
        <w:t>d</w:t>
      </w:r>
      <w:r w:rsidR="00B4576D">
        <w:rPr>
          <w:color w:val="000000"/>
          <w:highlight w:val="white"/>
        </w:rPr>
        <w:t>escribe</w:t>
      </w:r>
      <w:r w:rsidR="00717CCE">
        <w:rPr>
          <w:color w:val="000000"/>
          <w:highlight w:val="white"/>
        </w:rPr>
        <w:t>s</w:t>
      </w:r>
      <w:r w:rsidR="00B4576D">
        <w:rPr>
          <w:color w:val="000000"/>
          <w:highlight w:val="white"/>
        </w:rPr>
        <w:t xml:space="preserv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describe</w:t>
      </w:r>
      <w:r w:rsidR="00717CCE">
        <w:rPr>
          <w:color w:val="000000"/>
          <w:highlight w:val="white"/>
        </w:rPr>
        <w:t>s</w:t>
      </w:r>
      <w:r w:rsidR="008405BE">
        <w:rPr>
          <w:color w:val="000000"/>
          <w:highlight w:val="white"/>
        </w:rPr>
        <w:t xml:space="preserve"> the data</w:t>
      </w:r>
      <w:r w:rsidR="00140FF4">
        <w:rPr>
          <w:color w:val="000000"/>
          <w:highlight w:val="white"/>
        </w:rPr>
        <w:t xml:space="preserve"> and the variables used in this study</w:t>
      </w:r>
      <w:r w:rsidR="008405BE">
        <w:rPr>
          <w:color w:val="000000"/>
          <w:highlight w:val="white"/>
        </w:rPr>
        <w:t>.</w:t>
      </w:r>
      <w:r>
        <w:rPr>
          <w:color w:val="000000"/>
          <w:highlight w:val="white"/>
        </w:rPr>
        <w:t xml:space="preserve"> The </w:t>
      </w:r>
      <w:r w:rsidR="00140FF4">
        <w:rPr>
          <w:color w:val="000000"/>
          <w:highlight w:val="white"/>
        </w:rPr>
        <w:t>fourth</w:t>
      </w:r>
      <w:r>
        <w:rPr>
          <w:color w:val="000000"/>
          <w:highlight w:val="white"/>
        </w:rPr>
        <w:t xml:space="preserve"> chapter describe</w:t>
      </w:r>
      <w:r w:rsidR="00717CCE">
        <w:rPr>
          <w:color w:val="000000"/>
          <w:highlight w:val="white"/>
        </w:rPr>
        <w:t>s</w:t>
      </w:r>
      <w:r>
        <w:rPr>
          <w:color w:val="000000"/>
          <w:highlight w:val="white"/>
        </w:rPr>
        <w:t xml:space="preserve"> the</w:t>
      </w:r>
      <w:r w:rsidR="00140FF4">
        <w:rPr>
          <w:color w:val="000000"/>
          <w:highlight w:val="white"/>
        </w:rPr>
        <w:t xml:space="preserve"> different</w:t>
      </w:r>
      <w:r>
        <w:rPr>
          <w:color w:val="000000"/>
          <w:highlight w:val="white"/>
        </w:rPr>
        <w:t xml:space="preserve"> statistical methods </w:t>
      </w:r>
      <w:r w:rsidR="00B4576D">
        <w:rPr>
          <w:color w:val="000000"/>
          <w:highlight w:val="white"/>
        </w:rPr>
        <w:t>used. Here</w:t>
      </w:r>
      <w:r w:rsidR="0057467B">
        <w:rPr>
          <w:color w:val="000000"/>
          <w:highlight w:val="white"/>
        </w:rPr>
        <w:t>, the methods for identifying the</w:t>
      </w:r>
      <w:r>
        <w:rPr>
          <w:color w:val="000000"/>
          <w:highlight w:val="white"/>
        </w:rPr>
        <w:t xml:space="preserve"> correlation </w:t>
      </w:r>
      <w:r w:rsidR="0057467B">
        <w:rPr>
          <w:color w:val="000000"/>
          <w:highlight w:val="white"/>
        </w:rPr>
        <w:t xml:space="preserve">and </w:t>
      </w:r>
      <w:r>
        <w:rPr>
          <w:color w:val="000000"/>
          <w:highlight w:val="white"/>
        </w:rPr>
        <w:t>causal relationship</w:t>
      </w:r>
      <w:r w:rsidR="0057467B">
        <w:rPr>
          <w:color w:val="000000"/>
          <w:highlight w:val="white"/>
        </w:rPr>
        <w:t>s</w:t>
      </w:r>
      <w:r>
        <w:rPr>
          <w:color w:val="000000"/>
          <w:highlight w:val="white"/>
        </w:rPr>
        <w:t xml:space="preserve"> </w:t>
      </w:r>
      <w:r w:rsidR="0057467B">
        <w:rPr>
          <w:color w:val="000000"/>
          <w:highlight w:val="white"/>
        </w:rPr>
        <w:t xml:space="preserve">between wealth and health </w:t>
      </w:r>
      <w:r w:rsidR="00717CCE">
        <w:rPr>
          <w:color w:val="000000"/>
          <w:highlight w:val="white"/>
        </w:rPr>
        <w:t>are</w:t>
      </w:r>
      <w:r w:rsidR="0057467B">
        <w:rPr>
          <w:color w:val="000000"/>
          <w:highlight w:val="white"/>
        </w:rPr>
        <w:t xml:space="preserve"> further discussed</w:t>
      </w:r>
      <w:r>
        <w:rPr>
          <w:color w:val="000000"/>
          <w:highlight w:val="white"/>
        </w:rPr>
        <w:t xml:space="preserve">. The </w:t>
      </w:r>
      <w:r w:rsidR="00140FF4">
        <w:rPr>
          <w:color w:val="000000"/>
          <w:highlight w:val="white"/>
        </w:rPr>
        <w:t>fifth</w:t>
      </w:r>
      <w:r>
        <w:rPr>
          <w:color w:val="000000"/>
          <w:highlight w:val="white"/>
        </w:rPr>
        <w:t xml:space="preserve"> chapter present</w:t>
      </w:r>
      <w:r w:rsidR="0057467B">
        <w:rPr>
          <w:color w:val="000000"/>
          <w:highlight w:val="white"/>
        </w:rPr>
        <w:t>s</w:t>
      </w:r>
      <w:r>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Pr>
          <w:color w:val="000000"/>
          <w:highlight w:val="white"/>
        </w:rPr>
        <w:t>s.</w:t>
      </w:r>
      <w:r w:rsidR="008405BE">
        <w:rPr>
          <w:color w:val="000000"/>
          <w:highlight w:val="white"/>
        </w:rPr>
        <w:t xml:space="preserve"> The </w:t>
      </w:r>
      <w:r w:rsidR="00140FF4">
        <w:rPr>
          <w:color w:val="000000"/>
          <w:highlight w:val="white"/>
        </w:rPr>
        <w:t>sixth</w:t>
      </w:r>
      <w:r w:rsidR="00717CCE">
        <w:rPr>
          <w:color w:val="000000"/>
          <w:highlight w:val="white"/>
        </w:rPr>
        <w:t xml:space="preserve"> chapter </w:t>
      </w:r>
      <w:r w:rsidR="008405BE">
        <w:rPr>
          <w:color w:val="000000"/>
          <w:highlight w:val="white"/>
        </w:rPr>
        <w:t>present</w:t>
      </w:r>
      <w:r w:rsidR="00717CCE">
        <w:rPr>
          <w:color w:val="000000"/>
          <w:highlight w:val="white"/>
        </w:rPr>
        <w:t>s the</w:t>
      </w:r>
      <w:r w:rsidR="008405BE">
        <w:rPr>
          <w:color w:val="000000"/>
          <w:highlight w:val="white"/>
        </w:rPr>
        <w:t xml:space="preserve"> results </w:t>
      </w:r>
      <w:r w:rsidR="008405BE">
        <w:rPr>
          <w:color w:val="000000"/>
          <w:highlight w:val="white"/>
        </w:rPr>
        <w:lastRenderedPageBreak/>
        <w:t>from different robustness tests</w:t>
      </w:r>
      <w:r w:rsidR="00717CCE">
        <w:rPr>
          <w:color w:val="000000"/>
          <w:highlight w:val="white"/>
        </w:rPr>
        <w:t xml:space="preserve"> and the final chapter</w:t>
      </w:r>
      <w:r w:rsidR="00717CCE">
        <w:rPr>
          <w:color w:val="000000"/>
        </w:rPr>
        <w:t xml:space="preserve"> </w:t>
      </w:r>
      <w:r w:rsidR="008405BE">
        <w:rPr>
          <w:color w:val="000000"/>
        </w:rPr>
        <w:t>conclude</w:t>
      </w:r>
      <w:r w:rsidR="002F456C">
        <w:rPr>
          <w:color w:val="000000"/>
        </w:rPr>
        <w:t>s</w:t>
      </w:r>
      <w:r w:rsidR="008405BE">
        <w:rPr>
          <w:color w:val="000000"/>
        </w:rPr>
        <w:t xml:space="preserve"> this paper and present</w:t>
      </w:r>
      <w:r w:rsidR="00717CCE">
        <w:rPr>
          <w:color w:val="000000"/>
        </w:rPr>
        <w:t>s</w:t>
      </w:r>
      <w:r w:rsidR="008405BE">
        <w:rPr>
          <w:color w:val="000000"/>
        </w:rPr>
        <w:t xml:space="preserve"> some improvements and ideas for further research</w:t>
      </w:r>
    </w:p>
    <w:p w:rsidR="0021637B" w:rsidRDefault="0021637B" w:rsidP="00CB0C55">
      <w:pPr>
        <w:spacing w:line="360" w:lineRule="auto"/>
        <w:jc w:val="both"/>
        <w:rPr>
          <w:b/>
          <w:bCs/>
          <w:color w:val="000000"/>
          <w:highlight w:val="white"/>
        </w:rPr>
      </w:pPr>
    </w:p>
    <w:p w:rsidR="0021637B" w:rsidRDefault="00CB0C55" w:rsidP="00644472">
      <w:pPr>
        <w:pStyle w:val="Heading1"/>
      </w:pPr>
      <w:r>
        <w:rPr>
          <w:highlight w:val="white"/>
        </w:rPr>
        <w:t>Related literature:</w:t>
      </w:r>
    </w:p>
    <w:p w:rsidR="007D1CC9" w:rsidRPr="007D1CC9" w:rsidRDefault="007D1CC9" w:rsidP="007D1CC9"/>
    <w:p w:rsidR="0021637B" w:rsidRDefault="00CB0C55" w:rsidP="00B71467">
      <w:pPr>
        <w:spacing w:line="360" w:lineRule="auto"/>
        <w:jc w:val="both"/>
      </w:pPr>
      <w:r>
        <w:rPr>
          <w:highlight w:val="white"/>
        </w:rPr>
        <w:t xml:space="preserve">In their article </w:t>
      </w:r>
      <w:r>
        <w:rPr>
          <w:i/>
          <w:iCs/>
          <w:highlight w:val="white"/>
        </w:rPr>
        <w:t>Should Health Studies Measure Wealth</w:t>
      </w:r>
      <w:r>
        <w:rPr>
          <w:highlight w:val="white"/>
        </w:rPr>
        <w:t>, Pollack et al. (2007) systematically analyze a total of 29 articles that used health as the dependent variable and wealth and at least one other socioeconomic-status variable as independent variables. Of the 29 artic</w:t>
      </w:r>
      <w:r w:rsidR="007D1CC9">
        <w:rPr>
          <w:highlight w:val="white"/>
        </w:rPr>
        <w:t>les analyzed, 14 used self-assessed</w:t>
      </w:r>
      <w:r>
        <w:rPr>
          <w:highlight w:val="white"/>
        </w:rPr>
        <w:t xml:space="preserve">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2" w:name="_GoBack1"/>
      <w:bookmarkEnd w:id="2"/>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w:t>
      </w:r>
      <w:r w:rsidR="00717CCE">
        <w:rPr>
          <w:highlight w:val="white"/>
        </w:rPr>
        <w:t>,</w:t>
      </w:r>
      <w:r>
        <w:rPr>
          <w:highlight w:val="white"/>
        </w:rPr>
        <w:t xml:space="preserve"> however</w:t>
      </w:r>
      <w:r w:rsidR="00717CCE">
        <w:rPr>
          <w:highlight w:val="white"/>
        </w:rPr>
        <w:t>,</w:t>
      </w:r>
      <w:r>
        <w:rPr>
          <w:highlight w:val="white"/>
        </w:rPr>
        <w:t xml:space="preserve"> be noted that they only check for correlation</w:t>
      </w:r>
      <w:r w:rsidR="0057467B">
        <w:rPr>
          <w:highlight w:val="white"/>
        </w:rPr>
        <w:t>s</w:t>
      </w:r>
      <w:r>
        <w:rPr>
          <w:highlight w:val="white"/>
        </w:rPr>
        <w:t xml:space="preserve"> and do not address causality.</w:t>
      </w:r>
    </w:p>
    <w:p w:rsidR="00BD6F98" w:rsidRDefault="00CB0C55" w:rsidP="00B71467">
      <w:pPr>
        <w:spacing w:line="360" w:lineRule="auto"/>
        <w:jc w:val="both"/>
        <w:rPr>
          <w:highlight w:val="white"/>
        </w:rPr>
      </w:pPr>
      <w:r>
        <w:rPr>
          <w:highlight w:val="white"/>
        </w:rPr>
        <w:tab/>
        <w:t>There are</w:t>
      </w:r>
      <w:r w:rsidR="00B71467">
        <w:rPr>
          <w:highlight w:val="white"/>
        </w:rPr>
        <w:t xml:space="preserve">, </w:t>
      </w:r>
      <w:r>
        <w:rPr>
          <w:highlight w:val="white"/>
        </w:rPr>
        <w:t>however</w:t>
      </w:r>
      <w:r w:rsidR="00B71467">
        <w:rPr>
          <w:highlight w:val="white"/>
        </w:rPr>
        <w:t>,</w:t>
      </w:r>
      <w:r>
        <w:rPr>
          <w:highlight w:val="white"/>
        </w:rPr>
        <w:t xml:space="preserve"> some studies that do address causality in the he</w:t>
      </w:r>
      <w:r w:rsidR="00666727">
        <w:rPr>
          <w:highlight w:val="white"/>
        </w:rPr>
        <w:t xml:space="preserve">alth wealth connection and some </w:t>
      </w:r>
      <w:r>
        <w:rPr>
          <w:highlight w:val="white"/>
        </w:rPr>
        <w:t xml:space="preserve">find </w:t>
      </w:r>
      <w:r w:rsidR="007D1CC9">
        <w:rPr>
          <w:highlight w:val="white"/>
        </w:rPr>
        <w:t>no</w:t>
      </w:r>
      <w:r>
        <w:rPr>
          <w:highlight w:val="white"/>
        </w:rPr>
        <w:t xml:space="preserve"> causal effects. Meer et al. (2003) use a straightforward instrumental variable strategy to deal with the endogeneity. </w:t>
      </w:r>
      <w:r w:rsidR="00717CCE">
        <w:rPr>
          <w:highlight w:val="white"/>
        </w:rPr>
        <w:t>I</w:t>
      </w:r>
      <w:r>
        <w:rPr>
          <w:highlight w:val="white"/>
        </w:rPr>
        <w:t xml:space="preserve">nheritance </w:t>
      </w:r>
      <w:r w:rsidR="00717CCE">
        <w:rPr>
          <w:highlight w:val="white"/>
        </w:rPr>
        <w:t>is used as</w:t>
      </w:r>
      <w:r>
        <w:rPr>
          <w:highlight w:val="white"/>
        </w:rPr>
        <w:t xml:space="preserve"> the instrument </w:t>
      </w:r>
      <w:r w:rsidR="00717CCE">
        <w:rPr>
          <w:highlight w:val="white"/>
        </w:rPr>
        <w:t>because,</w:t>
      </w:r>
      <w:r w:rsidR="00BD6F98">
        <w:rPr>
          <w:highlight w:val="white"/>
        </w:rPr>
        <w:t xml:space="preserve"> they </w:t>
      </w:r>
      <w:r w:rsidR="00717CCE">
        <w:rPr>
          <w:highlight w:val="white"/>
        </w:rPr>
        <w:t>argue,</w:t>
      </w:r>
      <w:r w:rsidR="007D1CC9">
        <w:rPr>
          <w:highlight w:val="white"/>
        </w:rPr>
        <w:t xml:space="preserve"> it does affect w</w:t>
      </w:r>
      <w:r>
        <w:rPr>
          <w:highlight w:val="white"/>
        </w:rPr>
        <w:t>ealth but does not directly affect health nor is it affected by health</w:t>
      </w:r>
      <w:r w:rsidR="00BD6F98">
        <w:rPr>
          <w:highlight w:val="white"/>
        </w:rPr>
        <w:t xml:space="preserve">. </w:t>
      </w:r>
      <w:r w:rsidR="00717CCE">
        <w:rPr>
          <w:highlight w:val="white"/>
        </w:rPr>
        <w:t>A</w:t>
      </w:r>
      <w:r>
        <w:rPr>
          <w:highlight w:val="white"/>
        </w:rPr>
        <w:t xml:space="preserve"> significant effect from wealth on health</w:t>
      </w:r>
      <w:r w:rsidR="00BD6F98">
        <w:rPr>
          <w:highlight w:val="white"/>
        </w:rPr>
        <w:t xml:space="preserve"> by using inheritance as the instrument variable</w:t>
      </w:r>
      <w:r w:rsidR="00717CCE">
        <w:rPr>
          <w:highlight w:val="white"/>
        </w:rPr>
        <w:t xml:space="preserve"> is not found</w:t>
      </w:r>
      <w:r>
        <w:rPr>
          <w:highlight w:val="white"/>
        </w:rPr>
        <w:t xml:space="preserve">. They conclude that short run changes in wealth do not affect health. </w:t>
      </w:r>
      <w:r w:rsidR="00717CCE">
        <w:t>However they do note</w:t>
      </w:r>
      <w:r>
        <w:rPr>
          <w:highlight w:val="white"/>
        </w:rPr>
        <w:t xml:space="preserv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w:t>
      </w:r>
      <w:r w:rsidR="00FF06A4">
        <w:rPr>
          <w:highlight w:val="white"/>
        </w:rPr>
        <w:t>f</w:t>
      </w:r>
      <w:r w:rsidR="00BD6F98">
        <w:rPr>
          <w:highlight w:val="white"/>
        </w:rPr>
        <w:t xml:space="preserve"> </w:t>
      </w:r>
      <w:r w:rsidR="00B71467">
        <w:rPr>
          <w:highlight w:val="white"/>
        </w:rPr>
        <w:t>poor</w:t>
      </w:r>
      <w:r w:rsidR="00BD6F98">
        <w:rPr>
          <w:highlight w:val="white"/>
        </w:rPr>
        <w:t xml:space="preserve"> health, this result is surprising as it contradicts the positive correlation between wealth and health.</w:t>
      </w:r>
    </w:p>
    <w:p w:rsidR="0021637B" w:rsidRDefault="00CB0C55" w:rsidP="00B71467">
      <w:pPr>
        <w:spacing w:line="360" w:lineRule="auto"/>
        <w:jc w:val="both"/>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w:t>
      </w:r>
      <w:r w:rsidR="00717CCE">
        <w:rPr>
          <w:highlight w:val="white"/>
        </w:rPr>
        <w:t>H</w:t>
      </w:r>
      <w:r>
        <w:rPr>
          <w:highlight w:val="white"/>
        </w:rPr>
        <w:t>owever</w:t>
      </w:r>
      <w:r w:rsidR="00717CCE">
        <w:rPr>
          <w:highlight w:val="white"/>
        </w:rPr>
        <w:t>, they</w:t>
      </w:r>
      <w:r>
        <w:rPr>
          <w:highlight w:val="white"/>
        </w:rPr>
        <w:t xml:space="preserve"> find that lottery winnings do produce better mental health but also increase smoking and social drinking. </w:t>
      </w:r>
      <w:r w:rsidR="00717CCE">
        <w:rPr>
          <w:highlight w:val="white"/>
        </w:rPr>
        <w:t xml:space="preserve">It is </w:t>
      </w:r>
      <w:r>
        <w:rPr>
          <w:highlight w:val="white"/>
        </w:rPr>
        <w:t xml:space="preserve"> note</w:t>
      </w:r>
      <w:r w:rsidR="00717CCE">
        <w:rPr>
          <w:highlight w:val="white"/>
        </w:rPr>
        <w:t>d</w:t>
      </w:r>
      <w:r>
        <w:rPr>
          <w:highlight w:val="white"/>
        </w:rPr>
        <w:t xml:space="preserve"> that “health is not a holistic concept, and we need to both be clear about what kind of health we are talking about and be ready for the possibility that different types of health behave in very different ways” (</w:t>
      </w:r>
      <w:proofErr w:type="spellStart"/>
      <w:r w:rsidR="007D1CC9">
        <w:rPr>
          <w:highlight w:val="white"/>
        </w:rPr>
        <w:t>Apouey</w:t>
      </w:r>
      <w:proofErr w:type="spellEnd"/>
      <w:r w:rsidR="007D1CC9">
        <w:rPr>
          <w:highlight w:val="white"/>
        </w:rPr>
        <w:t xml:space="preserve"> &amp; Clark, 2015, </w:t>
      </w:r>
      <w:r>
        <w:rPr>
          <w:highlight w:val="white"/>
        </w:rPr>
        <w:t xml:space="preserve">p. 536). </w:t>
      </w:r>
    </w:p>
    <w:p w:rsidR="00BD6F98" w:rsidRDefault="00BD6F98" w:rsidP="00B71467">
      <w:pPr>
        <w:spacing w:line="360" w:lineRule="auto"/>
        <w:ind w:firstLine="720"/>
        <w:jc w:val="both"/>
      </w:pPr>
      <w:r>
        <w:rPr>
          <w:highlight w:val="white"/>
        </w:rPr>
        <w:lastRenderedPageBreak/>
        <w:t xml:space="preserve">It could however be argued that inheritance might not be a good instrument to find a causal effect in this case. Most people will know whether or not they will inherit something. </w:t>
      </w:r>
      <w:r w:rsidR="00717CCE">
        <w:rPr>
          <w:highlight w:val="white"/>
        </w:rPr>
        <w:t>Due to the fact that in most cases people know that they will inherit something, therefore it will not come as a truly exogenous wealth shock.</w:t>
      </w:r>
      <w:r>
        <w:rPr>
          <w:highlight w:val="white"/>
        </w:rPr>
        <w:t xml:space="preserve"> They will</w:t>
      </w:r>
      <w:r w:rsidR="00717CCE">
        <w:rPr>
          <w:highlight w:val="white"/>
        </w:rPr>
        <w:t xml:space="preserve"> thus</w:t>
      </w:r>
      <w:r>
        <w:rPr>
          <w:highlight w:val="white"/>
        </w:rPr>
        <w:t xml:space="preserve"> make their decisions prior to receiving the inheritance with the inheritance in mind, therefore it could have an effect on health before the inheritance is</w:t>
      </w:r>
      <w:r w:rsidR="007D1CC9">
        <w:rPr>
          <w:highlight w:val="white"/>
        </w:rPr>
        <w:t xml:space="preserve"> actually</w:t>
      </w:r>
      <w:r>
        <w:rPr>
          <w:highlight w:val="white"/>
        </w:rPr>
        <w:t xml:space="preserve"> inherited .</w:t>
      </w:r>
      <w:r>
        <w:t xml:space="preserve"> Since winning the lottery is less predictable, lottery winnings might be a better instrument in this case.</w:t>
      </w:r>
    </w:p>
    <w:p w:rsidR="0021637B" w:rsidRDefault="00BD6F98" w:rsidP="00B71467">
      <w:pPr>
        <w:spacing w:line="360" w:lineRule="auto"/>
        <w:jc w:val="both"/>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r w:rsidR="007D1CC9">
        <w:t xml:space="preserve"> The institutional setting in the Netherlands is described in chapter 2.</w:t>
      </w:r>
    </w:p>
    <w:p w:rsidR="0021637B" w:rsidRDefault="00CB0C55" w:rsidP="00B71467">
      <w:pPr>
        <w:spacing w:line="360" w:lineRule="auto"/>
        <w:jc w:val="both"/>
      </w:pPr>
      <w:r>
        <w:rPr>
          <w:highlight w:val="white"/>
        </w:rPr>
        <w:tab/>
        <w:t>There are studies that do find a significant causal effect of wealth on health. Cai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She proposes four different explanations of the causal effect of wealth on health. Firstly, because the study focuses on people in Australia</w:t>
      </w:r>
      <w:r w:rsidR="007D1CC9">
        <w:rPr>
          <w:highlight w:val="white"/>
        </w:rPr>
        <w:t>,</w:t>
      </w:r>
      <w:r>
        <w:rPr>
          <w:highlight w:val="white"/>
        </w:rPr>
        <w:t xml:space="preserve">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w:t>
      </w:r>
      <w:r w:rsidR="00336848">
        <w:rPr>
          <w:highlight w:val="white"/>
        </w:rPr>
        <w:t xml:space="preserve">onments. </w:t>
      </w:r>
      <w:r>
        <w:rPr>
          <w:highlight w:val="white"/>
        </w:rPr>
        <w:t xml:space="preserve">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w:t>
      </w:r>
      <w:r w:rsidR="00717CCE">
        <w:rPr>
          <w:highlight w:val="white"/>
        </w:rPr>
        <w:t>through</w:t>
      </w:r>
      <w:r>
        <w:rPr>
          <w:highlight w:val="white"/>
        </w:rPr>
        <w:t xml:space="preserve"> which </w:t>
      </w:r>
      <w:r w:rsidR="00717CCE">
        <w:rPr>
          <w:highlight w:val="white"/>
        </w:rPr>
        <w:t>channel</w:t>
      </w:r>
      <w:r>
        <w:rPr>
          <w:highlight w:val="white"/>
        </w:rPr>
        <w:t xml:space="preserve"> wealth does affect health was out of the scope of her paper.</w:t>
      </w:r>
      <w:r w:rsidR="00FF06A4">
        <w:t xml:space="preserve"> This study also focusses on whether or not there is a causal effect rather than trying to explain through which channel this causal effect might happen.</w:t>
      </w:r>
    </w:p>
    <w:p w:rsidR="0021637B" w:rsidRDefault="00CB0C55" w:rsidP="00B71467">
      <w:pPr>
        <w:spacing w:line="360" w:lineRule="auto"/>
        <w:jc w:val="both"/>
      </w:pPr>
      <w:r>
        <w:rPr>
          <w:highlight w:val="white"/>
        </w:rPr>
        <w:tab/>
      </w:r>
      <w:bookmarkStart w:id="3" w:name="__UnoMark__2185_363168767"/>
      <w:bookmarkStart w:id="4" w:name="__UnoMark__2196_363168767"/>
      <w:bookmarkStart w:id="5" w:name="__UnoMark__2189_363168767"/>
      <w:bookmarkStart w:id="6" w:name="__UnoMark__2194_363168767"/>
      <w:proofErr w:type="spellStart"/>
      <w:r>
        <w:rPr>
          <w:highlight w:val="white"/>
        </w:rPr>
        <w:t>Keese</w:t>
      </w:r>
      <w:proofErr w:type="spellEnd"/>
      <w:r>
        <w:rPr>
          <w:highlight w:val="white"/>
        </w:rPr>
        <w:t xml:space="preserve"> and Schmitz (2014)</w:t>
      </w:r>
      <w:bookmarkEnd w:id="3"/>
      <w:bookmarkEnd w:id="4"/>
      <w:bookmarkEnd w:id="5"/>
      <w:bookmarkEnd w:id="6"/>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rsidR="002624B1" w:rsidRPr="00644472" w:rsidRDefault="00356794" w:rsidP="00B71467">
      <w:pPr>
        <w:spacing w:line="360" w:lineRule="auto"/>
        <w:jc w:val="both"/>
      </w:pPr>
      <w:r>
        <w:lastRenderedPageBreak/>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found. Secondly, this paper extends the method used by Cai (2009) in which she uses health transitions to estimate the causal effect of wealth on health to data from the Netherlands. </w:t>
      </w:r>
    </w:p>
    <w:p w:rsidR="0021637B" w:rsidRDefault="00CB0C55" w:rsidP="00B71467">
      <w:pPr>
        <w:pStyle w:val="Heading1"/>
        <w:jc w:val="both"/>
      </w:pPr>
      <w:r>
        <w:rPr>
          <w:highlight w:val="white"/>
        </w:rPr>
        <w:t>Institutional section:</w:t>
      </w:r>
    </w:p>
    <w:p w:rsidR="0021637B" w:rsidRDefault="00CB0C55" w:rsidP="00B71467">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w:t>
      </w:r>
      <w:r w:rsidR="00B71467">
        <w:rPr>
          <w:bCs/>
          <w:color w:val="000000"/>
          <w:highlight w:val="white"/>
        </w:rPr>
        <w:t>oint</w:t>
      </w:r>
      <w:r>
        <w:rPr>
          <w:bCs/>
          <w:color w:val="000000"/>
          <w:highlight w:val="white"/>
        </w:rPr>
        <w:t xml:space="preserve">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w:t>
      </w:r>
      <w:r w:rsidR="007D1CC9">
        <w:rPr>
          <w:bCs/>
          <w:color w:val="000000"/>
          <w:highlight w:val="white"/>
        </w:rPr>
        <w:t>the Dutch institutional</w:t>
      </w:r>
      <w:r>
        <w:rPr>
          <w:bCs/>
          <w:color w:val="000000"/>
          <w:highlight w:val="white"/>
        </w:rPr>
        <w:t xml:space="preserve">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w:t>
      </w:r>
      <w:r w:rsidR="00B71467">
        <w:rPr>
          <w:bCs/>
          <w:color w:val="000000"/>
          <w:highlight w:val="white"/>
        </w:rPr>
        <w:t xml:space="preserve"> and the </w:t>
      </w:r>
      <w:r>
        <w:rPr>
          <w:bCs/>
          <w:color w:val="000000"/>
          <w:highlight w:val="white"/>
        </w:rPr>
        <w:t>p</w:t>
      </w:r>
      <w:r w:rsidR="00B71467">
        <w:rPr>
          <w:bCs/>
          <w:color w:val="000000"/>
          <w:highlight w:val="white"/>
        </w:rPr>
        <w:t>ayment</w:t>
      </w:r>
      <w:r>
        <w:rPr>
          <w:bCs/>
          <w:color w:val="000000"/>
          <w:highlight w:val="white"/>
        </w:rPr>
        <w:t xml:space="preserve"> of salary for a sick person with and without a permanent contract.</w:t>
      </w:r>
    </w:p>
    <w:p w:rsidR="0021637B" w:rsidRDefault="00CB0C55" w:rsidP="00B71467">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 coverage</w:t>
      </w:r>
      <w:r>
        <w:rPr>
          <w:bCs/>
          <w:color w:val="000000"/>
          <w:highlight w:val="white"/>
        </w:rPr>
        <w:t xml:space="preserve">. With the basic insurance </w:t>
      </w:r>
      <w:r w:rsidR="00B71467">
        <w:rPr>
          <w:bCs/>
          <w:color w:val="000000"/>
          <w:highlight w:val="white"/>
        </w:rPr>
        <w:t xml:space="preserve">every visit </w:t>
      </w:r>
      <w:r>
        <w:rPr>
          <w:bCs/>
          <w:color w:val="000000"/>
          <w:highlight w:val="white"/>
        </w:rPr>
        <w:t xml:space="preserve">to the family physician </w:t>
      </w:r>
      <w:r w:rsidR="00B71467">
        <w:rPr>
          <w:bCs/>
          <w:color w:val="000000"/>
          <w:highlight w:val="white"/>
        </w:rPr>
        <w:t>is</w:t>
      </w:r>
      <w:r>
        <w:rPr>
          <w:bCs/>
          <w:color w:val="000000"/>
          <w:highlight w:val="white"/>
        </w:rPr>
        <w:t xml:space="preserve"> covered and if </w:t>
      </w:r>
      <w:r w:rsidR="00717CCE">
        <w:rPr>
          <w:bCs/>
          <w:color w:val="000000"/>
          <w:highlight w:val="white"/>
        </w:rPr>
        <w:t xml:space="preserve">someone is </w:t>
      </w:r>
      <w:r>
        <w:rPr>
          <w:bCs/>
          <w:color w:val="000000"/>
          <w:highlight w:val="white"/>
        </w:rPr>
        <w:t>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w:t>
      </w:r>
      <w:r w:rsidR="004F0E9D">
        <w:rPr>
          <w:bCs/>
          <w:color w:val="000000"/>
          <w:highlight w:val="white"/>
        </w:rPr>
        <w:t>In addition, t</w:t>
      </w:r>
      <w:r>
        <w:rPr>
          <w:bCs/>
          <w:color w:val="000000"/>
          <w:highlight w:val="white"/>
        </w:rPr>
        <w:t xml:space="preserve">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7D1CC9">
        <w:t>. I</w:t>
      </w:r>
      <w:r w:rsidR="003473BC">
        <w:t>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 xml:space="preserve">efore, everyone has, and </w:t>
      </w:r>
      <w:r w:rsidR="007D1CC9">
        <w:t>should be able to</w:t>
      </w:r>
      <w:r w:rsidR="003473BC">
        <w:t xml:space="preserve"> afford, an health</w:t>
      </w:r>
      <w:r>
        <w:t xml:space="preserve"> insurance</w:t>
      </w:r>
      <w:r w:rsidR="007D1CC9">
        <w:t xml:space="preserve"> in the Netherlands</w:t>
      </w:r>
      <w:r>
        <w:t xml:space="preserve">. </w:t>
      </w:r>
    </w:p>
    <w:p w:rsidR="0021637B" w:rsidRDefault="00CB0C55" w:rsidP="00B71467">
      <w:pPr>
        <w:spacing w:line="360" w:lineRule="auto"/>
        <w:jc w:val="both"/>
      </w:pPr>
      <w:r>
        <w:tab/>
        <w:t xml:space="preserve">The other </w:t>
      </w:r>
      <w:r w:rsidR="003752A6">
        <w:t xml:space="preserve">feature </w:t>
      </w:r>
      <w:r>
        <w:t>is the paying of salary when you are sick. If someone is si</w:t>
      </w:r>
      <w:r w:rsidR="00B71467">
        <w:t>ck and has a permanent contract, that person is</w:t>
      </w:r>
      <w:r>
        <w:t xml:space="preserve"> payed at least 70% of their salary in the first year</w:t>
      </w:r>
      <w:r w:rsidR="00216444">
        <w:t xml:space="preserve"> of being sick, whether a person is sick for a week or a year. Someone could receive more than 70% if s</w:t>
      </w:r>
      <w:r w:rsidR="00633FCB">
        <w:t>pecified in his or her contract</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w:t>
      </w:r>
      <w:r w:rsidR="00B71467">
        <w:t>receives</w:t>
      </w:r>
      <w:r>
        <w:t xml:space="preserve"> less than the minimum loan in the second year he</w:t>
      </w:r>
      <w:r w:rsidR="007D1CC9">
        <w:t xml:space="preserve"> or she</w:t>
      </w:r>
      <w:r>
        <w:t xml:space="preserve"> can apply for a benefit which makes the total income equal to the minimum </w:t>
      </w:r>
      <w:r w:rsidR="007D1CC9">
        <w:t>loan</w:t>
      </w:r>
      <w:r>
        <w:t xml:space="preserve">. (UWV, n.d.) When a person without a permanent contract </w:t>
      </w:r>
      <w:r w:rsidR="00B71467">
        <w:t>becomes</w:t>
      </w:r>
      <w:r>
        <w:t xml:space="preserve"> sick, salary will </w:t>
      </w:r>
      <w:r w:rsidR="00CD67CA">
        <w:t>continue to be</w:t>
      </w:r>
      <w:r w:rsidR="003473BC">
        <w:t xml:space="preserve"> paid</w:t>
      </w:r>
      <w:r>
        <w:t xml:space="preserve"> for the duration of the contract. When someone is still sick when the contract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xml:space="preserve">, </w:t>
      </w:r>
      <w:r>
        <w:lastRenderedPageBreak/>
        <w:t>someone who has an income from working but is unable to keep working due to poor health will keep</w:t>
      </w:r>
      <w:r w:rsidR="00B71467">
        <w:t xml:space="preserve"> roughly</w:t>
      </w:r>
      <w:r>
        <w:t xml:space="preserve"> the same income</w:t>
      </w:r>
      <w:r w:rsidR="007D1CC9">
        <w:t>, at least in the short run</w:t>
      </w:r>
      <w:r>
        <w:t>.</w:t>
      </w:r>
      <w:r w:rsidR="00C63542">
        <w:t xml:space="preserve"> </w:t>
      </w:r>
    </w:p>
    <w:p w:rsidR="0021637B" w:rsidRDefault="00CB0C55" w:rsidP="00B71467">
      <w:pPr>
        <w:spacing w:line="360" w:lineRule="auto"/>
        <w:jc w:val="both"/>
      </w:pPr>
      <w:r>
        <w:tab/>
        <w:t xml:space="preserve">Since every Dutch person </w:t>
      </w:r>
      <w:r w:rsidR="00B71467">
        <w:t>is obligated to</w:t>
      </w:r>
      <w:r>
        <w:t xml:space="preserve">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w:t>
      </w:r>
      <w:r w:rsidR="004F0E9D">
        <w:t>,</w:t>
      </w:r>
      <w:r>
        <w:t xml:space="preserve"> for example</w:t>
      </w:r>
      <w:r w:rsidR="004F0E9D">
        <w:t>,</w:t>
      </w:r>
      <w:r>
        <w:t xml:space="preserve"> hospital treatment is almost non-existent.</w:t>
      </w:r>
      <w:r w:rsidR="00CD1C7C">
        <w:t xml:space="preserve"> </w:t>
      </w:r>
    </w:p>
    <w:p w:rsidR="0021637B" w:rsidRDefault="00CB0C55" w:rsidP="00B71467">
      <w:pPr>
        <w:spacing w:line="360" w:lineRule="auto"/>
        <w:jc w:val="both"/>
      </w:pPr>
      <w:r>
        <w:tab/>
      </w:r>
      <w:r w:rsidR="00B71467">
        <w:t>In addition</w:t>
      </w:r>
      <w:r w:rsidR="004F0E9D">
        <w:t>,</w:t>
      </w:r>
      <w:r>
        <w:t xml:space="preserve"> an income is not lost when a person is unable to work due to health problems</w:t>
      </w:r>
      <w:r w:rsidR="004F0E9D">
        <w:t>. Therefore</w:t>
      </w:r>
      <w:r w:rsidR="00B71467">
        <w:t>,</w:t>
      </w:r>
      <w:r w:rsidR="004F0E9D">
        <w:t xml:space="preserve"> a</w:t>
      </w:r>
      <w:r>
        <w:t xml:space="preserve"> causal effect from health to wealth is less likely to exist</w:t>
      </w:r>
      <w:r w:rsidR="00B71467">
        <w:t xml:space="preserve"> </w:t>
      </w:r>
      <w:r>
        <w:t xml:space="preserve">in the Netherlands. </w:t>
      </w:r>
      <w:r w:rsidR="004F0E9D">
        <w:t>Since a person still has an income even if they are unable to work,</w:t>
      </w:r>
      <w:r>
        <w:t xml:space="preserve"> wealth is less likely to be impacted by bad health in the </w:t>
      </w:r>
      <w:r w:rsidR="0012486A">
        <w:t>short</w:t>
      </w:r>
      <w:r>
        <w:t xml:space="preserve"> run. Also</w:t>
      </w:r>
      <w:r w:rsidR="00B71467">
        <w:t>,</w:t>
      </w:r>
      <w:r>
        <w:t xml:space="preserve"> because the height of the benefit depends on the income</w:t>
      </w:r>
      <w:r w:rsidR="00B71467">
        <w:t xml:space="preserve"> of a person before that</w:t>
      </w:r>
      <w:r>
        <w:t xml:space="preserve"> person </w:t>
      </w:r>
      <w:r w:rsidR="00B71467">
        <w:t>becomes</w:t>
      </w:r>
      <w:r>
        <w:t xml:space="preserve"> sick, people do not only keep an</w:t>
      </w:r>
      <w:r w:rsidR="008C6126">
        <w:t>y</w:t>
      </w:r>
      <w:r>
        <w:t xml:space="preserve"> income but an income which is in line with their income before becoming sick.</w:t>
      </w:r>
      <w:r w:rsidR="008C6126">
        <w:t xml:space="preserve"> In the long run however, poor health might affect wealth</w:t>
      </w:r>
      <w:r w:rsidR="00B71467">
        <w:t>. P</w:t>
      </w:r>
      <w:r w:rsidR="008C6126">
        <w:t xml:space="preserve">oor health might affect </w:t>
      </w:r>
      <w:r w:rsidR="00B71467">
        <w:t>someone’s</w:t>
      </w:r>
      <w:r w:rsidR="008C6126">
        <w:t xml:space="preserve"> ability to work and therefore </w:t>
      </w:r>
      <w:r w:rsidR="00B71467">
        <w:t>makes it harder to get</w:t>
      </w:r>
      <w:r w:rsidR="008C6126">
        <w:t xml:space="preserve"> </w:t>
      </w:r>
      <w:r w:rsidR="00B71467">
        <w:t>a better job</w:t>
      </w:r>
      <w:r w:rsidR="008C6126">
        <w:t xml:space="preserve"> or a higher salary. </w:t>
      </w:r>
    </w:p>
    <w:p w:rsidR="0021637B" w:rsidRDefault="00426849" w:rsidP="00B71467">
      <w:pPr>
        <w:spacing w:line="360" w:lineRule="auto"/>
        <w:jc w:val="both"/>
      </w:pPr>
      <w:r>
        <w:tab/>
        <w:t>Hurd and Kapteyn (2005) also point there are “generous income maintenance provisions [that] aim to mitigate any adverse effect of health related earnings interruptions” (Hurd &amp; Kapteyn, 2005, p. 311) in the Netherlands. They add to this that since healthcare is basically universal, the explanation that different access to healthcare is due to d</w:t>
      </w:r>
      <w:r w:rsidR="00537927">
        <w:t xml:space="preserve">ifferences in wealth or income </w:t>
      </w:r>
      <w:r>
        <w:t>is of limited importance.</w:t>
      </w:r>
    </w:p>
    <w:p w:rsidR="0021637B" w:rsidRDefault="0021637B" w:rsidP="00CB0C55">
      <w:pPr>
        <w:spacing w:line="360" w:lineRule="auto"/>
        <w:jc w:val="both"/>
      </w:pPr>
    </w:p>
    <w:p w:rsidR="0021637B" w:rsidRDefault="00CB0C55" w:rsidP="00644472">
      <w:pPr>
        <w:pStyle w:val="Heading1"/>
        <w:rPr>
          <w:highlight w:val="white"/>
        </w:rPr>
      </w:pPr>
      <w:r>
        <w:rPr>
          <w:highlight w:val="white"/>
        </w:rPr>
        <w:t>Data</w:t>
      </w:r>
    </w:p>
    <w:p w:rsidR="0021637B" w:rsidRPr="003473BC" w:rsidRDefault="00CB0C55" w:rsidP="00CB0C55">
      <w:pPr>
        <w:spacing w:line="360" w:lineRule="auto"/>
        <w:jc w:val="both"/>
        <w:rPr>
          <w:rFonts w:ascii="OpenSymbol" w:eastAsia="OpenSymbol" w:hAnsi="OpenSymbol" w:cs="OpenSymbol"/>
          <w:highlight w:val="white"/>
        </w:rPr>
      </w:pPr>
      <w:r>
        <w:rPr>
          <w:highlight w:val="white"/>
        </w:rPr>
        <w:t>The data consist</w:t>
      </w:r>
      <w:r w:rsidR="00AC63DF">
        <w:rPr>
          <w:highlight w:val="white"/>
        </w:rPr>
        <w:t xml:space="preserve">s of different </w:t>
      </w:r>
      <w:r w:rsidR="007D1CC9">
        <w:rPr>
          <w:highlight w:val="white"/>
        </w:rPr>
        <w:t xml:space="preserve">waves from the DHS. </w:t>
      </w:r>
      <w:r>
        <w:rPr>
          <w:highlight w:val="white"/>
        </w:rPr>
        <w:t>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w:t>
      </w:r>
      <w:r w:rsidR="00B71467">
        <w:rPr>
          <w:highlight w:val="white"/>
        </w:rPr>
        <w:t>ovides two aggregated data files:</w:t>
      </w:r>
      <w:r w:rsidR="00B71467">
        <w:t xml:space="preserve"> </w:t>
      </w:r>
      <w:r>
        <w:rPr>
          <w:highlight w:val="white"/>
        </w:rPr>
        <w:t xml:space="preserve">aggregated income data and aggregated wealth data. This paper </w:t>
      </w:r>
      <w:r w:rsidR="007D1CC9">
        <w:rPr>
          <w:highlight w:val="white"/>
        </w:rPr>
        <w:t>uses</w:t>
      </w:r>
      <w:r>
        <w:rPr>
          <w:highlight w:val="white"/>
        </w:rPr>
        <w:t xml:space="preserve"> </w:t>
      </w:r>
      <w:r w:rsidR="00933FA2">
        <w:rPr>
          <w:highlight w:val="white"/>
        </w:rPr>
        <w:t>different questionnaires, depending on the analysis. T</w:t>
      </w:r>
      <w:r>
        <w:rPr>
          <w:highlight w:val="white"/>
        </w:rPr>
        <w:t>he Health and Income questionnaire includes the self-rated health variable and the aggregated wealth data</w:t>
      </w:r>
      <w:r w:rsidR="00933FA2">
        <w:rPr>
          <w:highlight w:val="white"/>
        </w:rPr>
        <w:t xml:space="preserve"> includes the information to create the net wealth variable</w:t>
      </w:r>
      <w:r>
        <w:rPr>
          <w:highlight w:val="white"/>
        </w:rPr>
        <w:t>. The aggregated wealth data is made up from different questionnaires and consists of all the</w:t>
      </w:r>
      <w:r>
        <w:rPr>
          <w:rStyle w:val="Bullets"/>
          <w:highlight w:val="white"/>
        </w:rPr>
        <w:t xml:space="preserve"> </w:t>
      </w:r>
      <w:r>
        <w:rPr>
          <w:highlight w:val="white"/>
        </w:rPr>
        <w:t>assets and liabilities someone might have.</w:t>
      </w:r>
    </w:p>
    <w:p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xml:space="preserve">. The data received from the DHS has five categories for health: </w:t>
      </w:r>
      <w:r w:rsidRPr="00933FA2">
        <w:rPr>
          <w:i/>
          <w:highlight w:val="white"/>
        </w:rPr>
        <w:t>poor</w:t>
      </w:r>
      <w:r>
        <w:rPr>
          <w:highlight w:val="white"/>
        </w:rPr>
        <w:t xml:space="preserve">, </w:t>
      </w:r>
      <w:r w:rsidRPr="00933FA2">
        <w:rPr>
          <w:i/>
          <w:highlight w:val="white"/>
        </w:rPr>
        <w:t>not so good</w:t>
      </w:r>
      <w:r>
        <w:rPr>
          <w:highlight w:val="white"/>
        </w:rPr>
        <w:t xml:space="preserve">, </w:t>
      </w:r>
      <w:r w:rsidRPr="00933FA2">
        <w:rPr>
          <w:i/>
          <w:highlight w:val="white"/>
        </w:rPr>
        <w:t>fair</w:t>
      </w:r>
      <w:r>
        <w:rPr>
          <w:highlight w:val="white"/>
        </w:rPr>
        <w:t xml:space="preserve">, </w:t>
      </w:r>
      <w:r w:rsidRPr="00933FA2">
        <w:rPr>
          <w:i/>
          <w:highlight w:val="white"/>
        </w:rPr>
        <w:t>good</w:t>
      </w:r>
      <w:r>
        <w:rPr>
          <w:highlight w:val="white"/>
        </w:rPr>
        <w:t xml:space="preserve"> and </w:t>
      </w:r>
      <w:r w:rsidRPr="00933FA2">
        <w:rPr>
          <w:i/>
          <w:highlight w:val="white"/>
        </w:rPr>
        <w:t>excellent</w:t>
      </w:r>
      <w:r>
        <w:rPr>
          <w:highlight w:val="white"/>
        </w:rPr>
        <w:t xml:space="preserve">. People were placed in one of these categories by </w:t>
      </w:r>
      <w:r w:rsidR="00933FA2">
        <w:rPr>
          <w:highlight w:val="white"/>
        </w:rPr>
        <w:t>self-assessment</w:t>
      </w:r>
      <w:r>
        <w:rPr>
          <w:highlight w:val="white"/>
        </w:rPr>
        <w:t xml:space="preserve">. </w:t>
      </w:r>
      <w:r w:rsidR="00933FA2">
        <w:rPr>
          <w:highlight w:val="white"/>
        </w:rPr>
        <w:t>Self-assessed</w:t>
      </w:r>
      <w:r>
        <w:rPr>
          <w:highlight w:val="white"/>
        </w:rPr>
        <w:t xml:space="preserve"> </w:t>
      </w:r>
      <w:r>
        <w:rPr>
          <w:highlight w:val="white"/>
        </w:rPr>
        <w:lastRenderedPageBreak/>
        <w:t>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sidR="00B71467">
        <w:rPr>
          <w:highlight w:val="white"/>
        </w:rPr>
        <w:t xml:space="preserve"> who consider</w:t>
      </w:r>
      <w:r>
        <w:rPr>
          <w:highlight w:val="white"/>
        </w:rPr>
        <w:t xml:space="preserve"> themselves to be in </w:t>
      </w:r>
      <w:r w:rsidRPr="00933FA2">
        <w:rPr>
          <w:i/>
          <w:highlight w:val="white"/>
        </w:rPr>
        <w:t>poor</w:t>
      </w:r>
      <w:r>
        <w:rPr>
          <w:highlight w:val="white"/>
        </w:rPr>
        <w:t xml:space="preserve"> or </w:t>
      </w:r>
      <w:r w:rsidRPr="00933FA2">
        <w:rPr>
          <w:i/>
          <w:highlight w:val="white"/>
        </w:rPr>
        <w:t>not so good</w:t>
      </w:r>
      <w:r>
        <w:rPr>
          <w:highlight w:val="white"/>
        </w:rPr>
        <w:t xml:space="preserve"> health are placed in the not healthy category. The persons that consider themselves to be in </w:t>
      </w:r>
      <w:r w:rsidRPr="00933FA2">
        <w:rPr>
          <w:i/>
          <w:highlight w:val="white"/>
        </w:rPr>
        <w:t>fair</w:t>
      </w:r>
      <w:r>
        <w:rPr>
          <w:highlight w:val="white"/>
        </w:rPr>
        <w:t xml:space="preserve">, </w:t>
      </w:r>
      <w:r w:rsidRPr="00933FA2">
        <w:rPr>
          <w:i/>
          <w:highlight w:val="white"/>
        </w:rPr>
        <w:t>good</w:t>
      </w:r>
      <w:r>
        <w:rPr>
          <w:highlight w:val="white"/>
        </w:rPr>
        <w:t xml:space="preserve"> or </w:t>
      </w:r>
      <w:r w:rsidRPr="00933FA2">
        <w:rPr>
          <w:i/>
          <w:highlight w:val="white"/>
        </w:rPr>
        <w:t>excellent</w:t>
      </w:r>
      <w:r>
        <w:rPr>
          <w:highlight w:val="white"/>
        </w:rPr>
        <w:t xml:space="preserve"> health </w:t>
      </w:r>
      <w:r w:rsidR="00B71467">
        <w:rPr>
          <w:highlight w:val="white"/>
        </w:rPr>
        <w:t>are</w:t>
      </w:r>
      <w:r>
        <w:rPr>
          <w:highlight w:val="white"/>
        </w:rPr>
        <w:t xml:space="preserve"> </w:t>
      </w:r>
      <w:r w:rsidR="00EB11A9">
        <w:rPr>
          <w:highlight w:val="white"/>
        </w:rPr>
        <w:t>placed in the healthy category.</w:t>
      </w:r>
    </w:p>
    <w:p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xml:space="preserve">. Someone might well own a  nice car and a house, but if </w:t>
      </w:r>
      <w:r w:rsidR="004F0E9D">
        <w:rPr>
          <w:highlight w:val="white"/>
        </w:rPr>
        <w:t>that person</w:t>
      </w:r>
      <w:r>
        <w:rPr>
          <w:highlight w:val="white"/>
        </w:rPr>
        <w:t xml:space="preserve"> has a loan for the car and two mortgages on the house, </w:t>
      </w:r>
      <w:r w:rsidR="004F0E9D">
        <w:rPr>
          <w:highlight w:val="white"/>
        </w:rPr>
        <w:t>one</w:t>
      </w:r>
      <w:r>
        <w:rPr>
          <w:highlight w:val="white"/>
        </w:rPr>
        <w:t xml:space="preserve"> might still have a negative net wealth. To calculate the net wealth, all the assets of a person have been added together and the liabilities have been subtracted from the assets. The questionnaires are quite detailed on wealth which</w:t>
      </w:r>
      <w:r w:rsidR="004F0E9D">
        <w:rPr>
          <w:highlight w:val="white"/>
        </w:rPr>
        <w:t>, as Pollack et al. (2007)</w:t>
      </w:r>
      <w:r w:rsidR="00C90CEA">
        <w:rPr>
          <w:highlight w:val="white"/>
        </w:rPr>
        <w:t xml:space="preserve"> point out,</w:t>
      </w:r>
      <w:r>
        <w:rPr>
          <w:highlight w:val="white"/>
        </w:rPr>
        <w:t xml:space="preserve"> is</w:t>
      </w:r>
      <w:r w:rsidR="004F0E9D">
        <w:rPr>
          <w:highlight w:val="white"/>
        </w:rPr>
        <w:t xml:space="preserve"> an</w:t>
      </w:r>
      <w:r>
        <w:rPr>
          <w:highlight w:val="white"/>
        </w:rPr>
        <w:t xml:space="preserve"> important</w:t>
      </w:r>
      <w:r w:rsidR="004F0E9D">
        <w:rPr>
          <w:highlight w:val="white"/>
        </w:rPr>
        <w:t xml:space="preserve"> aspect</w:t>
      </w:r>
      <w:r w:rsidR="004F0E9D">
        <w:t>.</w:t>
      </w:r>
    </w:p>
    <w:p w:rsidR="0021637B" w:rsidRDefault="00714BF8" w:rsidP="00714BF8">
      <w:pPr>
        <w:spacing w:line="360" w:lineRule="auto"/>
        <w:ind w:firstLine="720"/>
        <w:rPr>
          <w:highlight w:val="white"/>
        </w:rPr>
      </w:pPr>
      <w:r w:rsidRPr="00714BF8">
        <w:t xml:space="preserve">The assets and liabilities that </w:t>
      </w:r>
      <w:r w:rsidR="00C90CEA">
        <w:t>are</w:t>
      </w:r>
      <w:r w:rsidRPr="00714BF8">
        <w:t xml:space="preserve">  found in the aggregated wealth data and of which the net worth variable consists of can be seen in table 1</w:t>
      </w:r>
      <w:r>
        <w:t>.</w:t>
      </w: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1</w:t>
      </w:r>
      <w:r w:rsidR="003F2044">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lastRenderedPageBreak/>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AC63DF" w:rsidP="00CB0C55">
            <w:pPr>
              <w:spacing w:line="360" w:lineRule="auto"/>
              <w:ind w:left="360"/>
              <w:jc w:val="both"/>
              <w:rPr>
                <w:b w:val="0"/>
                <w:color w:val="000000"/>
                <w:spacing w:val="15"/>
              </w:rPr>
            </w:pPr>
            <w:r>
              <w:rPr>
                <w:b w:val="0"/>
                <w:color w:val="000000"/>
                <w:spacing w:val="15"/>
              </w:rPr>
              <w:t>C</w:t>
            </w:r>
            <w:r w:rsidR="00CB0C55">
              <w:rPr>
                <w:b w:val="0"/>
                <w:color w:val="000000"/>
                <w:spacing w:val="15"/>
              </w:rPr>
              <w:t>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AC63DF" w:rsidP="00CB0C55">
            <w:pPr>
              <w:spacing w:line="360" w:lineRule="auto"/>
              <w:ind w:left="360"/>
              <w:jc w:val="both"/>
              <w:rPr>
                <w:b w:val="0"/>
                <w:color w:val="000000"/>
                <w:spacing w:val="15"/>
              </w:rPr>
            </w:pPr>
            <w:r>
              <w:rPr>
                <w:b w:val="0"/>
                <w:color w:val="000000"/>
                <w:spacing w:val="15"/>
              </w:rPr>
              <w:t>M</w:t>
            </w:r>
            <w:r w:rsidR="00CB0C55">
              <w:rPr>
                <w:b w:val="0"/>
                <w:color w:val="000000"/>
                <w:spacing w:val="15"/>
              </w:rPr>
              <w:t>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AC63DF" w:rsidP="00CB0C55">
            <w:pPr>
              <w:spacing w:line="360" w:lineRule="auto"/>
              <w:ind w:left="360"/>
              <w:jc w:val="both"/>
              <w:rPr>
                <w:b w:val="0"/>
                <w:color w:val="000000"/>
                <w:spacing w:val="15"/>
              </w:rPr>
            </w:pPr>
            <w:r>
              <w:rPr>
                <w:b w:val="0"/>
                <w:color w:val="000000"/>
                <w:spacing w:val="15"/>
              </w:rPr>
              <w:t>B</w:t>
            </w:r>
            <w:r w:rsidR="00CB0C55">
              <w:rPr>
                <w:b w:val="0"/>
                <w:color w:val="000000"/>
                <w:spacing w:val="15"/>
              </w:rPr>
              <w:t>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3F2044">
        <w:fldChar w:fldCharType="begin"/>
      </w:r>
      <w:r>
        <w:instrText>SEQ Figure \* ARABIC</w:instrText>
      </w:r>
      <w:r w:rsidR="003F2044">
        <w:fldChar w:fldCharType="separate"/>
      </w:r>
      <w:r w:rsidR="00200608">
        <w:rPr>
          <w:noProof/>
        </w:rPr>
        <w:t>1</w:t>
      </w:r>
      <w:r w:rsidR="003F2044">
        <w:fldChar w:fldCharType="end"/>
      </w:r>
      <w:r w:rsidR="00C90CEA">
        <w:t>:</w:t>
      </w:r>
      <w:r>
        <w:t xml:space="preserve"> Housing Prices in the </w:t>
      </w:r>
      <w:r w:rsidR="00C90CEA">
        <w:t>Netherlands</w:t>
      </w:r>
      <w:r>
        <w:t xml:space="preserve"> </w:t>
      </w:r>
      <w:r w:rsidR="00E029DD">
        <w:t>(CBS, 201</w:t>
      </w:r>
      <w:r w:rsidR="00E029DD" w:rsidRPr="00E029DD">
        <w:t>9</w:t>
      </w:r>
      <w:r w:rsidR="00C90CEA">
        <w:t>.</w:t>
      </w:r>
      <w:r w:rsidR="00E029DD" w:rsidRPr="00E029DD">
        <w:t>)</w:t>
      </w:r>
    </w:p>
    <w:p w:rsidR="0021637B" w:rsidRDefault="0021637B" w:rsidP="00CB0C55">
      <w:pPr>
        <w:spacing w:line="360" w:lineRule="auto"/>
        <w:jc w:val="both"/>
        <w:rPr>
          <w:color w:val="000000"/>
          <w:spacing w:val="15"/>
          <w:highlight w:val="white"/>
        </w:rPr>
      </w:pPr>
    </w:p>
    <w:p w:rsidR="0021637B" w:rsidRPr="004F0E9D" w:rsidRDefault="00CB0C55" w:rsidP="00CB0C55">
      <w:pPr>
        <w:spacing w:line="360" w:lineRule="auto"/>
        <w:jc w:val="both"/>
        <w:rPr>
          <w:highlight w:val="white"/>
        </w:rPr>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xml:space="preserve">. </w:t>
      </w:r>
      <w:r w:rsidR="004F0E9D">
        <w:rPr>
          <w:highlight w:val="white"/>
        </w:rPr>
        <w:t>Since</w:t>
      </w:r>
      <w:r>
        <w:rPr>
          <w:highlight w:val="white"/>
        </w:rPr>
        <w:t xml:space="preserve"> the financia</w:t>
      </w:r>
      <w:r w:rsidR="003473BC">
        <w:rPr>
          <w:highlight w:val="white"/>
        </w:rPr>
        <w:t xml:space="preserve">l crisis hit in September 2008 </w:t>
      </w:r>
      <w:r>
        <w:rPr>
          <w:highlight w:val="white"/>
        </w:rPr>
        <w:t xml:space="preserve">it might </w:t>
      </w:r>
      <w:r>
        <w:rPr>
          <w:highlight w:val="white"/>
        </w:rPr>
        <w:lastRenderedPageBreak/>
        <w:t>have affected some observations while others not. 2013 is the year when the housing prices were at the lowest in the Netherlands</w:t>
      </w:r>
      <w:r w:rsidR="00933FA2">
        <w:rPr>
          <w:highlight w:val="white"/>
        </w:rPr>
        <w:t xml:space="preserve"> and 2017 was the latest year available at the time of writing</w:t>
      </w:r>
      <w:r>
        <w:rPr>
          <w:highlight w:val="white"/>
        </w:rPr>
        <w:t>. If wealth would cause short-term changes in health, it should be visible in the</w:t>
      </w:r>
      <w:r w:rsidR="00E832F4">
        <w:rPr>
          <w:highlight w:val="white"/>
        </w:rPr>
        <w:t xml:space="preserve"> difference in differences</w:t>
      </w:r>
      <w:r>
        <w:rPr>
          <w:highlight w:val="white"/>
        </w:rPr>
        <w:t xml:space="preserve"> regression 2007 – 2013 and 2013 - 2017. </w:t>
      </w:r>
      <w:r w:rsidR="004F0E9D">
        <w:rPr>
          <w:highlight w:val="white"/>
        </w:rPr>
        <w:t>For instance,</w:t>
      </w:r>
      <w:r>
        <w:rPr>
          <w:highlight w:val="white"/>
        </w:rPr>
        <w:t xml:space="preserve">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w:t>
      </w:r>
      <w:r w:rsidR="00933FA2">
        <w:rPr>
          <w:highlight w:val="white"/>
        </w:rPr>
        <w:t>DID</w:t>
      </w:r>
      <w:r w:rsidR="00E832F4">
        <w:rPr>
          <w:highlight w:val="white"/>
        </w:rPr>
        <w:t xml:space="preserve">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 xml:space="preserve">This </w:t>
      </w:r>
      <w:r w:rsidR="00C90CEA">
        <w:t>would</w:t>
      </w:r>
      <w:r w:rsidR="003473BC">
        <w:t xml:space="preserve"> make the effect of the change in ho</w:t>
      </w:r>
      <w:r w:rsidR="00C90CEA">
        <w:t xml:space="preserve">using prices less noticeable on </w:t>
      </w:r>
      <w:r w:rsidR="003473BC">
        <w:t>net wealth.</w:t>
      </w:r>
    </w:p>
    <w:p w:rsidR="00F50F3F" w:rsidRDefault="00933FA2" w:rsidP="000E14CB">
      <w:pPr>
        <w:spacing w:line="360" w:lineRule="auto"/>
        <w:ind w:firstLine="720"/>
        <w:jc w:val="both"/>
      </w:pPr>
      <w:r>
        <w:t xml:space="preserve">In the analysis that uses health transitions the same years </w:t>
      </w:r>
      <w:r w:rsidR="004F0E9D">
        <w:t>are used</w:t>
      </w:r>
      <w:r>
        <w:t xml:space="preserve"> as in the difference in differences analysis. Since changes in health are not likely to happen over a short time span as for example a year, as was noted </w:t>
      </w:r>
      <w:r w:rsidR="004F0E9D">
        <w:t>before</w:t>
      </w:r>
      <w:r>
        <w:t>, a five year timespan could be enough for changes in health to happen. It also makes sense to use the same years as the D</w:t>
      </w:r>
      <w:r w:rsidR="00395D0F">
        <w:t>I</w:t>
      </w:r>
      <w:r>
        <w:t>D analysis since it allows to compare the results of both regressions.</w:t>
      </w:r>
    </w:p>
    <w:p w:rsidR="00F50F3F" w:rsidRDefault="00F50F3F" w:rsidP="00F50F3F">
      <w:pPr>
        <w:spacing w:line="360" w:lineRule="auto"/>
        <w:jc w:val="both"/>
      </w:pPr>
      <w:r>
        <w:tab/>
        <w:t>The observations are split in two samples for the difference in differences analysis. One sample is the “all observations” sample which simply consists of all observations found. The second group is the “recurring individuals” sample which consists of individuals who filled out the survey in both years of the regression (2007 and 2013 for example) and who did not change from control to treatment group. The health transition analysis also uses the recurring individuals group</w:t>
      </w:r>
      <w:r w:rsidR="006B7292">
        <w:t xml:space="preserve"> but does not take into account whether or not a person has </w:t>
      </w:r>
      <w:r w:rsidR="00933FA2">
        <w:t>changed from control or treatment group</w:t>
      </w:r>
      <w:r>
        <w:t>.</w:t>
      </w:r>
      <w:r w:rsidR="006B7292">
        <w:t xml:space="preserve"> This is not necessary </w:t>
      </w:r>
      <w:r w:rsidR="00C90CEA">
        <w:t xml:space="preserve">since the health transition </w:t>
      </w:r>
      <w:r w:rsidR="006B7292">
        <w:t>analysis does not take into account whether or not a person does or does not own a house.</w:t>
      </w:r>
    </w:p>
    <w:p w:rsidR="00F50F3F" w:rsidRDefault="00F50F3F" w:rsidP="00F50F3F">
      <w:pPr>
        <w:spacing w:line="360" w:lineRule="auto"/>
        <w:ind w:firstLine="720"/>
        <w:jc w:val="both"/>
      </w:pPr>
      <w:r>
        <w:t>The size of the sample</w:t>
      </w:r>
      <w:r w:rsidR="004F0E9D">
        <w:t xml:space="preserve">s for the </w:t>
      </w:r>
      <w:r>
        <w:t xml:space="preserve">analyses are </w:t>
      </w:r>
      <w:r w:rsidR="004F0E9D">
        <w:t>not the same</w:t>
      </w:r>
      <w:r>
        <w:t xml:space="preserve"> because of three different reasons. The first being that the survey has a different number of respondents each year. This explains the difference in the number of observations between years in the all observations sample. The second is that not all individuals filled out all the different parts of the survey and these parts </w:t>
      </w:r>
      <w:r w:rsidR="00933FA2">
        <w:t xml:space="preserve">are </w:t>
      </w:r>
      <w:r>
        <w:t xml:space="preserve">connected to get all the information needed. The size of the all observations sample is for example different in the DID regression with and without added explanatory variables. This is because the extra variables were collected from another part of the survey which not </w:t>
      </w:r>
      <w:r w:rsidR="00933FA2">
        <w:t>every individual in the all observations sample</w:t>
      </w:r>
      <w:r>
        <w:t xml:space="preserve"> filled out (completely). The third reason is that not all individuals are recurring individuals. This explains the difference in group size between the all observations sample and the recurring individuals sample as well as the difference between the 2007 – 2013 and 2013 – 2017 regressions.</w:t>
      </w:r>
    </w:p>
    <w:p w:rsidR="00E832F4" w:rsidRDefault="00E832F4" w:rsidP="00CB0C55">
      <w:pPr>
        <w:spacing w:line="360" w:lineRule="auto"/>
        <w:jc w:val="both"/>
      </w:pPr>
      <w:r>
        <w:lastRenderedPageBreak/>
        <w:tab/>
      </w:r>
    </w:p>
    <w:p w:rsidR="0021637B" w:rsidRDefault="00CB0C55" w:rsidP="00CB0C55">
      <w:pPr>
        <w:spacing w:line="360" w:lineRule="auto"/>
        <w:jc w:val="both"/>
        <w:rPr>
          <w:highlight w:val="white"/>
        </w:rPr>
      </w:pPr>
      <w:r>
        <w:tab/>
        <w:t xml:space="preserve">Table </w:t>
      </w:r>
      <w:r w:rsidR="00752990">
        <w:t>@!$#!@#$!@# two!@#!@$!@#$!@#</w:t>
      </w:r>
      <w:r>
        <w:t xml:space="preserve"> shows the number of observations per year </w:t>
      </w:r>
      <w:r w:rsidR="00752990">
        <w:t xml:space="preserve">of the all observations sample </w:t>
      </w:r>
      <w:r>
        <w:t>and the size of the treatment group and the control group.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2</w:t>
      </w:r>
      <w:r w:rsidR="003F2044">
        <w:fldChar w:fldCharType="end"/>
      </w:r>
      <w:r>
        <w:t xml:space="preserve"> distribution of</w:t>
      </w:r>
      <w:r w:rsidR="00505577">
        <w:t xml:space="preserve"> individuals in</w:t>
      </w:r>
      <w:r w:rsidR="00B12788">
        <w:t xml:space="preserve"> the all observations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3473BC" w:rsidRDefault="003473BC" w:rsidP="00CB0C55">
      <w:pPr>
        <w:spacing w:line="360" w:lineRule="auto"/>
        <w:jc w:val="both"/>
      </w:pPr>
    </w:p>
    <w:p w:rsidR="007C4DC3" w:rsidRDefault="007C4DC3" w:rsidP="00CB0C55">
      <w:pPr>
        <w:spacing w:line="360" w:lineRule="auto"/>
        <w:jc w:val="both"/>
      </w:pPr>
    </w:p>
    <w:p w:rsidR="00752990" w:rsidRDefault="00752990" w:rsidP="00D41ABF">
      <w:pPr>
        <w:spacing w:line="360" w:lineRule="auto"/>
        <w:ind w:firstLine="720"/>
        <w:jc w:val="both"/>
      </w:pPr>
      <w:r>
        <w:t xml:space="preserve">Table @#$!@#$!@#$ three !@#$!@#$!@# shows the size of the </w:t>
      </w:r>
      <w:r w:rsidR="00D41ABF">
        <w:t xml:space="preserve">recurring individuals sample in the 2007 – 2013 regression and the 2013 – 2017 analysis. The size of the control and treatment group are quite the same in this sample as well. </w:t>
      </w:r>
    </w:p>
    <w:p w:rsidR="00B12788" w:rsidRDefault="00B12788" w:rsidP="00B12788">
      <w:pPr>
        <w:pStyle w:val="Caption"/>
        <w:keepNext/>
      </w:pPr>
      <w:r>
        <w:t xml:space="preserve">Table </w:t>
      </w:r>
      <w:r w:rsidR="003F2044">
        <w:rPr>
          <w:noProof/>
        </w:rPr>
        <w:fldChar w:fldCharType="begin"/>
      </w:r>
      <w:r w:rsidR="00DF29E2">
        <w:rPr>
          <w:noProof/>
        </w:rPr>
        <w:instrText xml:space="preserve"> SEQ Table \* ARABIC </w:instrText>
      </w:r>
      <w:r w:rsidR="003F2044">
        <w:rPr>
          <w:noProof/>
        </w:rPr>
        <w:fldChar w:fldCharType="separate"/>
      </w:r>
      <w:r w:rsidR="00200608">
        <w:rPr>
          <w:noProof/>
        </w:rPr>
        <w:t>3</w:t>
      </w:r>
      <w:r w:rsidR="003F2044">
        <w:rPr>
          <w:noProof/>
        </w:rPr>
        <w:fldChar w:fldCharType="end"/>
      </w:r>
      <w:r>
        <w:t>: Distribution of individuals in the recurring individuals sample</w:t>
      </w:r>
    </w:p>
    <w:tbl>
      <w:tblPr>
        <w:tblStyle w:val="LightShading-Accent5"/>
        <w:tblW w:w="8132" w:type="dxa"/>
        <w:jc w:val="center"/>
        <w:tblLook w:val="04A0" w:firstRow="1" w:lastRow="0" w:firstColumn="1" w:lastColumn="0" w:noHBand="0" w:noVBand="1"/>
      </w:tblPr>
      <w:tblGrid>
        <w:gridCol w:w="2034"/>
        <w:gridCol w:w="2033"/>
        <w:gridCol w:w="2033"/>
        <w:gridCol w:w="2032"/>
      </w:tblGrid>
      <w:tr w:rsidR="007C4DC3" w:rsidTr="00B12788">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auto"/>
          </w:tcPr>
          <w:p w:rsidR="007C4DC3" w:rsidRDefault="00B12788" w:rsidP="00A07C78">
            <w:pPr>
              <w:spacing w:line="360" w:lineRule="auto"/>
              <w:jc w:val="both"/>
              <w:rPr>
                <w:color w:val="000000"/>
                <w:spacing w:val="15"/>
                <w:highlight w:val="white"/>
              </w:rPr>
            </w:pPr>
            <w:r>
              <w:rPr>
                <w:color w:val="000000"/>
                <w:spacing w:val="15"/>
                <w:highlight w:val="white"/>
              </w:rPr>
              <w:t>period</w:t>
            </w:r>
          </w:p>
        </w:tc>
        <w:tc>
          <w:tcPr>
            <w:tcW w:w="2033" w:type="dxa"/>
            <w:shd w:val="clear" w:color="auto" w:fill="auto"/>
          </w:tcPr>
          <w:p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7C4DC3" w:rsidRDefault="007C4DC3" w:rsidP="00D41ABF">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7C4DC3" w:rsidTr="00B12788">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tcPr>
          <w:p w:rsidR="007C4DC3" w:rsidRDefault="007C4DC3" w:rsidP="00A07C78">
            <w:pPr>
              <w:spacing w:line="360" w:lineRule="auto"/>
              <w:jc w:val="both"/>
              <w:rPr>
                <w:color w:val="000000"/>
                <w:spacing w:val="15"/>
              </w:rPr>
            </w:pPr>
            <w:r>
              <w:rPr>
                <w:color w:val="000000"/>
                <w:spacing w:val="15"/>
              </w:rPr>
              <w:t>2007</w:t>
            </w:r>
            <w:r w:rsidR="00B12788">
              <w:rPr>
                <w:color w:val="000000"/>
                <w:spacing w:val="15"/>
              </w:rPr>
              <w:t>-2013</w:t>
            </w:r>
          </w:p>
        </w:tc>
        <w:tc>
          <w:tcPr>
            <w:tcW w:w="2033" w:type="dxa"/>
            <w:tcBorders>
              <w:top w:val="nil"/>
              <w:bottom w:val="nil"/>
            </w:tcBorders>
          </w:tcPr>
          <w:p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374</w:t>
            </w:r>
            <w:r w:rsidR="007C4DC3">
              <w:rPr>
                <w:color w:val="000000"/>
                <w:spacing w:val="15"/>
              </w:rPr>
              <w:t xml:space="preserve"> (</w:t>
            </w:r>
            <w:r>
              <w:rPr>
                <w:color w:val="000000"/>
                <w:spacing w:val="15"/>
              </w:rPr>
              <w:t>53.20</w:t>
            </w:r>
            <w:r w:rsidR="007C4DC3">
              <w:rPr>
                <w:color w:val="000000"/>
                <w:spacing w:val="15"/>
              </w:rPr>
              <w:t>%)</w:t>
            </w:r>
          </w:p>
        </w:tc>
        <w:tc>
          <w:tcPr>
            <w:tcW w:w="2033" w:type="dxa"/>
            <w:tcBorders>
              <w:top w:val="nil"/>
              <w:bottom w:val="nil"/>
            </w:tcBorders>
          </w:tcPr>
          <w:p w:rsidR="007C4DC3" w:rsidRDefault="00B12788" w:rsidP="00B1278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329</w:t>
            </w:r>
            <w:r w:rsidR="007C4DC3">
              <w:rPr>
                <w:color w:val="000000"/>
                <w:spacing w:val="15"/>
              </w:rPr>
              <w:t xml:space="preserve"> (</w:t>
            </w:r>
            <w:r>
              <w:rPr>
                <w:color w:val="000000"/>
                <w:spacing w:val="15"/>
              </w:rPr>
              <w:t>46.80</w:t>
            </w:r>
            <w:r w:rsidR="007C4DC3">
              <w:rPr>
                <w:color w:val="000000"/>
                <w:spacing w:val="15"/>
              </w:rPr>
              <w:t>%)</w:t>
            </w:r>
          </w:p>
        </w:tc>
        <w:tc>
          <w:tcPr>
            <w:tcW w:w="2032" w:type="dxa"/>
            <w:tcBorders>
              <w:top w:val="nil"/>
              <w:bottom w:val="nil"/>
            </w:tcBorders>
          </w:tcPr>
          <w:p w:rsidR="007C4DC3" w:rsidRDefault="00B12788" w:rsidP="00A07C78">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703</w:t>
            </w:r>
          </w:p>
        </w:tc>
      </w:tr>
      <w:tr w:rsidR="007C4DC3" w:rsidTr="00B12788">
        <w:trPr>
          <w:trHeight w:val="429"/>
          <w:jc w:val="center"/>
        </w:trPr>
        <w:tc>
          <w:tcPr>
            <w:cnfStyle w:val="001000000000" w:firstRow="0" w:lastRow="0" w:firstColumn="1" w:lastColumn="0" w:oddVBand="0" w:evenVBand="0" w:oddHBand="0" w:evenHBand="0" w:firstRowFirstColumn="0" w:firstRowLastColumn="0" w:lastRowFirstColumn="0" w:lastRowLastColumn="0"/>
            <w:tcW w:w="2034" w:type="dxa"/>
            <w:tcBorders>
              <w:top w:val="nil"/>
              <w:bottom w:val="nil"/>
            </w:tcBorders>
            <w:shd w:val="clear" w:color="auto" w:fill="auto"/>
          </w:tcPr>
          <w:p w:rsidR="007C4DC3" w:rsidRDefault="007C4DC3" w:rsidP="00A07C78">
            <w:pPr>
              <w:spacing w:line="360" w:lineRule="auto"/>
              <w:jc w:val="both"/>
              <w:rPr>
                <w:color w:val="000000"/>
                <w:spacing w:val="15"/>
              </w:rPr>
            </w:pPr>
            <w:r>
              <w:rPr>
                <w:color w:val="000000"/>
                <w:spacing w:val="15"/>
              </w:rPr>
              <w:t>2013</w:t>
            </w:r>
            <w:r w:rsidR="00B12788">
              <w:rPr>
                <w:color w:val="000000"/>
                <w:spacing w:val="15"/>
              </w:rPr>
              <w:t>-2017</w:t>
            </w:r>
          </w:p>
        </w:tc>
        <w:tc>
          <w:tcPr>
            <w:tcW w:w="2033" w:type="dxa"/>
            <w:tcBorders>
              <w:top w:val="nil"/>
              <w:bottom w:val="nil"/>
            </w:tcBorders>
            <w:shd w:val="clear" w:color="auto" w:fill="auto"/>
          </w:tcPr>
          <w:p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504</w:t>
            </w:r>
            <w:r w:rsidR="007C4DC3">
              <w:rPr>
                <w:color w:val="000000"/>
                <w:spacing w:val="15"/>
              </w:rPr>
              <w:t xml:space="preserve"> (</w:t>
            </w:r>
            <w:r>
              <w:rPr>
                <w:color w:val="000000"/>
                <w:spacing w:val="15"/>
              </w:rPr>
              <w:t>58</w:t>
            </w:r>
            <w:r w:rsidR="007C4DC3">
              <w:rPr>
                <w:color w:val="000000"/>
                <w:spacing w:val="15"/>
              </w:rPr>
              <w:t>.</w:t>
            </w:r>
            <w:r>
              <w:rPr>
                <w:color w:val="000000"/>
                <w:spacing w:val="15"/>
              </w:rPr>
              <w:t>27</w:t>
            </w:r>
            <w:r w:rsidR="007C4DC3">
              <w:rPr>
                <w:color w:val="000000"/>
                <w:spacing w:val="15"/>
              </w:rPr>
              <w:t>%)</w:t>
            </w:r>
          </w:p>
        </w:tc>
        <w:tc>
          <w:tcPr>
            <w:tcW w:w="2033" w:type="dxa"/>
            <w:tcBorders>
              <w:top w:val="nil"/>
              <w:bottom w:val="nil"/>
            </w:tcBorders>
            <w:shd w:val="clear" w:color="auto" w:fill="auto"/>
          </w:tcPr>
          <w:p w:rsidR="007C4DC3" w:rsidRDefault="00B12788" w:rsidP="00B1278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361</w:t>
            </w:r>
            <w:r w:rsidR="007C4DC3">
              <w:rPr>
                <w:color w:val="000000"/>
                <w:spacing w:val="15"/>
              </w:rPr>
              <w:t xml:space="preserve"> (</w:t>
            </w:r>
            <w:r>
              <w:rPr>
                <w:color w:val="000000"/>
                <w:spacing w:val="15"/>
              </w:rPr>
              <w:t>41</w:t>
            </w:r>
            <w:r w:rsidR="007C4DC3">
              <w:rPr>
                <w:color w:val="000000"/>
                <w:spacing w:val="15"/>
              </w:rPr>
              <w:t>.</w:t>
            </w:r>
            <w:r>
              <w:rPr>
                <w:color w:val="000000"/>
                <w:spacing w:val="15"/>
              </w:rPr>
              <w:t>73</w:t>
            </w:r>
            <w:r w:rsidR="007C4DC3">
              <w:rPr>
                <w:color w:val="000000"/>
                <w:spacing w:val="15"/>
              </w:rPr>
              <w:t>%)</w:t>
            </w:r>
          </w:p>
        </w:tc>
        <w:tc>
          <w:tcPr>
            <w:tcW w:w="2032" w:type="dxa"/>
            <w:tcBorders>
              <w:top w:val="nil"/>
              <w:bottom w:val="nil"/>
            </w:tcBorders>
            <w:shd w:val="clear" w:color="auto" w:fill="auto"/>
          </w:tcPr>
          <w:p w:rsidR="007C4DC3" w:rsidRDefault="00B12788" w:rsidP="00A07C78">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865</w:t>
            </w:r>
          </w:p>
        </w:tc>
      </w:tr>
    </w:tbl>
    <w:p w:rsidR="0021637B" w:rsidRDefault="00CB0C55" w:rsidP="00D41ABF">
      <w:pPr>
        <w:spacing w:line="360" w:lineRule="auto"/>
        <w:ind w:firstLine="720"/>
        <w:jc w:val="both"/>
      </w:pPr>
      <w:r>
        <w:t xml:space="preserve">Table </w:t>
      </w:r>
      <w:r w:rsidR="00D41ABF">
        <w:t>@#$!@#</w:t>
      </w:r>
      <w:r>
        <w:t>three</w:t>
      </w:r>
      <w:r w:rsidR="00D41ABF">
        <w:t>!@#$!@#</w:t>
      </w:r>
      <w:r w:rsidR="00260FB3">
        <w:t xml:space="preserve"> shows</w:t>
      </w:r>
      <w:r>
        <w:t xml:space="preserve"> the summary statistics of respectively 2007, 2013 and 2017</w:t>
      </w:r>
      <w:r w:rsidR="00D41ABF">
        <w:t xml:space="preserve"> of the all observations sample</w:t>
      </w:r>
      <w:r>
        <w:t>.</w:t>
      </w:r>
      <w:r w:rsidR="00D41ABF">
        <w:t xml:space="preserve"> The recurring individuals sample might be slightly different but</w:t>
      </w:r>
      <w:r w:rsidR="004F0E9D">
        <w:t xml:space="preserve"> nevertheless</w:t>
      </w:r>
      <w:r w:rsidR="00C90CEA">
        <w:t>,</w:t>
      </w:r>
      <w:r w:rsidR="00D41ABF">
        <w:t xml:space="preserve"> these summary statistics should give a general idea about the recurring individuals sample as well.</w:t>
      </w:r>
      <w:r>
        <w:t xml:space="preserve"> In all of the three years both the con</w:t>
      </w:r>
      <w:r w:rsidR="00933FA2">
        <w:t xml:space="preserve">trol and treatment group have a </w:t>
      </w:r>
      <w:r>
        <w:t xml:space="preserve">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p>
    <w:p w:rsidR="0021637B" w:rsidRDefault="00CB0C55" w:rsidP="00CB0C55">
      <w:pPr>
        <w:spacing w:line="360" w:lineRule="auto"/>
        <w:jc w:val="both"/>
      </w:pPr>
      <w:r>
        <w:tab/>
        <w:t>The average net worth of the treatment group decreases between 2007 and 2013 and then increases between 2013 and 2017. The average net worth of control group increases between 2007 and 2013 and also between 2013 and 2017. Since the hous</w:t>
      </w:r>
      <w:r w:rsidR="004F0E9D">
        <w:t>ing</w:t>
      </w:r>
      <w:r>
        <w:t xml:space="preserve"> prices also decrease between 2007 and 2013 and increase between 2013 and 2017 this indicates that the average net worth of home </w:t>
      </w:r>
      <w:r>
        <w:lastRenderedPageBreak/>
        <w:t>owners does behave in line with the housing prices while the net worth of the tenants does not</w:t>
      </w:r>
      <w:r w:rsidR="003473BC">
        <w:t>,</w:t>
      </w:r>
      <w:r>
        <w:t xml:space="preserve"> as was expected. </w:t>
      </w:r>
    </w:p>
    <w:p w:rsidR="0021637B" w:rsidRPr="00A20A58" w:rsidRDefault="00CB0C55" w:rsidP="00CB0C55">
      <w:pPr>
        <w:pStyle w:val="Caption"/>
        <w:keepNext/>
        <w:spacing w:line="360" w:lineRule="auto"/>
        <w:jc w:val="both"/>
        <w:rPr>
          <w:lang w:val="nl-NL"/>
        </w:rPr>
      </w:pPr>
      <w:r w:rsidRPr="00B71467">
        <w:rPr>
          <w:lang w:val="nl-NL"/>
        </w:rPr>
        <w:br/>
      </w:r>
      <w:r w:rsidRPr="00B71467">
        <w:rPr>
          <w:lang w:val="nl-NL"/>
        </w:rPr>
        <w:br/>
      </w:r>
      <w:proofErr w:type="spellStart"/>
      <w:r w:rsidRPr="00A20A58">
        <w:rPr>
          <w:lang w:val="nl-NL"/>
        </w:rPr>
        <w:t>Table</w:t>
      </w:r>
      <w:proofErr w:type="spellEnd"/>
      <w:r w:rsidRPr="00A20A58">
        <w:rPr>
          <w:lang w:val="nl-NL"/>
        </w:rPr>
        <w:t xml:space="preserve"> </w:t>
      </w:r>
      <w:r w:rsidR="003F2044">
        <w:fldChar w:fldCharType="begin"/>
      </w:r>
      <w:r w:rsidRPr="00A20A58">
        <w:rPr>
          <w:lang w:val="nl-NL"/>
        </w:rPr>
        <w:instrText>SEQ Table \* ARABIC</w:instrText>
      </w:r>
      <w:r w:rsidR="003F2044">
        <w:fldChar w:fldCharType="separate"/>
      </w:r>
      <w:r w:rsidR="00200608">
        <w:rPr>
          <w:noProof/>
          <w:lang w:val="nl-NL"/>
        </w:rPr>
        <w:t>4</w:t>
      </w:r>
      <w:r w:rsidR="003F2044">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5</w:t>
      </w:r>
      <w:r w:rsidR="003F2044">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6</w:t>
      </w:r>
      <w:r w:rsidR="003F2044">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F26246">
      <w:pPr>
        <w:pStyle w:val="Heading1"/>
      </w:pPr>
      <w:r>
        <w:rPr>
          <w:highlight w:val="white"/>
        </w:rPr>
        <w:t>Methods</w:t>
      </w:r>
    </w:p>
    <w:p w:rsidR="00BF04DE" w:rsidRDefault="00BF04DE" w:rsidP="00CB0C55">
      <w:pPr>
        <w:spacing w:line="360" w:lineRule="auto"/>
        <w:jc w:val="both"/>
      </w:pPr>
    </w:p>
    <w:p w:rsidR="00EB11A9" w:rsidRDefault="00C90CEA" w:rsidP="00C90CEA">
      <w:pPr>
        <w:spacing w:line="360" w:lineRule="auto"/>
        <w:jc w:val="both"/>
      </w:pPr>
      <w:r>
        <w:lastRenderedPageBreak/>
        <w:t xml:space="preserve">This section discusses the three methods employed in this paper to try to find a causal effect from wealth on health. </w:t>
      </w:r>
      <w:r w:rsidR="00EB11A9">
        <w:t>First</w:t>
      </w:r>
      <w:r>
        <w:t>,</w:t>
      </w:r>
      <w:r w:rsidR="00EB11A9">
        <w:t xml:space="preserve"> the ordinary least squares regression is briefly discussed which is used to show the correlation between wealth and health. Secondly the difference in diff</w:t>
      </w:r>
      <w:r w:rsidR="00933FA2">
        <w:t>erences analysis is discussed and f</w:t>
      </w:r>
      <w:r w:rsidR="00EB11A9">
        <w:t>inally, the analysis that uses health transitions is discussed briefly.</w:t>
      </w:r>
    </w:p>
    <w:p w:rsidR="00F26246" w:rsidRDefault="00F26246" w:rsidP="00F26246">
      <w:pPr>
        <w:pStyle w:val="Heading2"/>
      </w:pPr>
      <w:r>
        <w:t>OLS</w:t>
      </w:r>
    </w:p>
    <w:p w:rsidR="0021637B" w:rsidRDefault="00CB0C55" w:rsidP="00C90CEA">
      <w:pPr>
        <w:spacing w:line="360" w:lineRule="auto"/>
        <w:jc w:val="both"/>
      </w:pPr>
      <w:r>
        <w:t xml:space="preserve">First this paper </w:t>
      </w:r>
      <w:r w:rsidR="00C90CEA">
        <w:t>uses</w:t>
      </w:r>
      <w:r>
        <w:t xml:space="preserve"> a simple ordinary least squares (OLS) regression. In this OLS regression health </w:t>
      </w:r>
      <w:r w:rsidR="00C90CEA">
        <w:t>is</w:t>
      </w:r>
      <w:r>
        <w:t xml:space="preserve"> the dependent variable and wealth </w:t>
      </w:r>
      <w:r w:rsidR="00C90CEA">
        <w:t>is</w:t>
      </w:r>
      <w:r>
        <w:t xml:space="preserve"> the independent variable. Health is defined as a categorical variable where someone can be either healthy, with value 1, or unhealthy, with a value of 0. Wealth is the net wor</w:t>
      </w:r>
      <w:r w:rsidR="000E14CB">
        <w:t>th of a person as shown above.</w:t>
      </w:r>
    </w:p>
    <w:p w:rsidR="000E14CB" w:rsidRDefault="000E14CB" w:rsidP="000E14CB">
      <w:pPr>
        <w:spacing w:line="360" w:lineRule="auto"/>
        <w:jc w:val="both"/>
      </w:pPr>
      <w:r>
        <w:t>The model used is:</w:t>
      </w:r>
    </w:p>
    <w:p w:rsidR="000E14CB" w:rsidRDefault="00C90CEA" w:rsidP="000E14C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0E14CB" w:rsidRDefault="000E14CB" w:rsidP="000E14CB">
      <w:pPr>
        <w:spacing w:line="360" w:lineRule="auto"/>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health of individual </w:t>
      </w:r>
      <w:proofErr w:type="spellStart"/>
      <w:r>
        <w:t>i</w:t>
      </w:r>
      <w:proofErr w:type="spellEnd"/>
      <w:r>
        <w:t xml:space="preserve"> and </w:t>
      </w:r>
      <m:oMath>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net worth as defined in the data section of individual i.</w:t>
      </w:r>
    </w:p>
    <w:p w:rsidR="00F26246" w:rsidRDefault="00F26246" w:rsidP="00F26246">
      <w:pPr>
        <w:pStyle w:val="Heading2"/>
      </w:pPr>
      <w:r>
        <w:t>Difference in differences</w:t>
      </w:r>
    </w:p>
    <w:p w:rsidR="0021637B" w:rsidRDefault="00CB0C55" w:rsidP="00CB0C55">
      <w:pPr>
        <w:spacing w:line="360" w:lineRule="auto"/>
        <w:jc w:val="both"/>
      </w:pPr>
      <w:r>
        <w:t>Secondly, this paper uses a difference in difference</w:t>
      </w:r>
      <w:r w:rsidR="00395D0F">
        <w:t>s</w:t>
      </w:r>
      <w:r>
        <w:t xml:space="preserve"> analysis to look for a causal effect from wealth to health. Health is defined in the same way as in the OLS regression. A D</w:t>
      </w:r>
      <w:r w:rsidR="00395D0F">
        <w:t>I</w:t>
      </w:r>
      <w:r>
        <w:t>D analysis is a quasi-experimental design with a treatment group, a control group and a treatment. A D</w:t>
      </w:r>
      <w:r w:rsidR="00395D0F">
        <w:t>I</w:t>
      </w:r>
      <w:r>
        <w:t xml:space="preserve">D analysis is used to estimate the effect of a treatment by comparing the differences in the outcomes between </w:t>
      </w:r>
      <w:r w:rsidR="00C90CEA">
        <w:t>the treatment and control group before and after the treatment</w:t>
      </w:r>
      <w:r>
        <w:t>.</w:t>
      </w:r>
    </w:p>
    <w:p w:rsidR="000E14CB" w:rsidRDefault="00CB0C55" w:rsidP="000E14CB">
      <w:pPr>
        <w:spacing w:line="360" w:lineRule="auto"/>
        <w:jc w:val="both"/>
      </w:pPr>
      <w:r>
        <w:tab/>
        <w:t xml:space="preserve"> The treatment group, control group and the treatment itself </w:t>
      </w:r>
      <w:r w:rsidR="00FA0EFA">
        <w:t>are</w:t>
      </w:r>
      <w:r>
        <w:t xml:space="preserve"> defined as follows. </w:t>
      </w:r>
      <w:r w:rsidR="000E14CB">
        <w:t>The  treatment group is defined as the individuals who own one or more houses. The control group is defined as the individuals who rent a house and do not own a house. The Treated variable is a dummy variable which is 1 when a person belongs to the treatment group and 0 when a person belongs to the control group.</w:t>
      </w:r>
    </w:p>
    <w:p w:rsidR="000E14CB" w:rsidRDefault="000E14CB" w:rsidP="000E14CB">
      <w:pPr>
        <w:spacing w:line="360" w:lineRule="auto"/>
        <w:ind w:firstLine="720"/>
        <w:jc w:val="both"/>
      </w:pPr>
      <w:r w:rsidRPr="00DF1722">
        <w:t xml:space="preserve">Since the participants of the DHS are randomly selected, it can be assumed that the only real difference between the control and treatment group is the ownership of a house. In the all-observations </w:t>
      </w:r>
      <w:r>
        <w:t>sample</w:t>
      </w:r>
      <w:r w:rsidRPr="00DF1722">
        <w:t xml:space="preserve"> it is</w:t>
      </w:r>
      <w:r w:rsidR="00C90CEA">
        <w:t>,</w:t>
      </w:r>
      <w:r w:rsidRPr="00DF1722">
        <w:t xml:space="preserve"> however</w:t>
      </w:r>
      <w:r w:rsidR="00C90CEA">
        <w:t>,</w:t>
      </w:r>
      <w:r w:rsidRPr="00DF1722">
        <w:t xml:space="preserve"> possible that the characteristics of the control and treatment group change between the pre- and posttreatment period which could then cause differences in the differences in health between the two groups. This is tested in the robustness section which shows that apart from gender in the 2013 – 2017 period, the characteristics, such as job loss, education and net income, of the groups did not change differently in the treatment period. T</w:t>
      </w:r>
      <w:r>
        <w:t xml:space="preserve">herefore, the </w:t>
      </w:r>
      <w:r w:rsidRPr="00DF1722">
        <w:t>other ways in which the financial crisis could have affected health</w:t>
      </w:r>
      <w:r w:rsidRPr="006838F8">
        <w:rPr>
          <w:color w:val="auto"/>
        </w:rPr>
        <w:t xml:space="preserve">, for </w:t>
      </w:r>
      <w:r w:rsidRPr="00DF1722">
        <w:t>example through job loss, should be roughly the same in both the t</w:t>
      </w:r>
      <w:r>
        <w:t xml:space="preserve">reatment and the control group. This means that the all-observations group is a valid group for the DID method even though not all people are recurring individuals pre- and posttreatment. In the recurring individuals sample, the characteristics matter </w:t>
      </w:r>
      <w:r>
        <w:lastRenderedPageBreak/>
        <w:t xml:space="preserve">less as they should remain </w:t>
      </w:r>
      <w:r w:rsidR="00C90CEA">
        <w:t xml:space="preserve">roughly </w:t>
      </w:r>
      <w:r>
        <w:t>the same since it follows the same individuals. The characteristics are especially unimportant in the fixed effects regression.</w:t>
      </w:r>
    </w:p>
    <w:p w:rsidR="0021637B" w:rsidRDefault="000E14CB" w:rsidP="000E14CB">
      <w:pPr>
        <w:spacing w:line="360" w:lineRule="auto"/>
        <w:ind w:firstLine="720"/>
        <w:jc w:val="both"/>
      </w:pPr>
      <w:r>
        <w:t>This analysis uses</w:t>
      </w:r>
      <w:r w:rsidR="00CB0C55">
        <w:t xml:space="preserve"> the financial crisis of 2008 in which housing prices dropped suddenly and sharply</w:t>
      </w:r>
      <w:r>
        <w:t>,</w:t>
      </w:r>
      <w:r w:rsidR="00CB0C55">
        <w:t xml:space="preserve"> as is visible in figure 1</w:t>
      </w:r>
      <w:r>
        <w:t>, as the treatment</w:t>
      </w:r>
      <w:r w:rsidR="00CB0C55">
        <w:t xml:space="preserve">. Another treatment that </w:t>
      </w:r>
      <w:r w:rsidR="004F0E9D">
        <w:t>is</w:t>
      </w:r>
      <w:r w:rsidR="00CB0C55">
        <w:t xml:space="preserve"> used is the bounce-back of the housing prices after the financial crisis which started in 2013. It </w:t>
      </w:r>
      <w:r w:rsidR="002064F3">
        <w:t xml:space="preserve">can </w:t>
      </w:r>
      <w:r w:rsidR="00902F80">
        <w:t>be assumed</w:t>
      </w:r>
      <w:r w:rsidR="00CB0C55">
        <w:t xml:space="preserve"> that the health of people did not directly cause the financial crisis, or that health was di</w:t>
      </w:r>
      <w:r w:rsidR="00781B23">
        <w:t xml:space="preserve">rectly affected by the crisis. </w:t>
      </w:r>
      <w:r w:rsidR="00CB0C55">
        <w:t xml:space="preserve">The treatment group consists of people who own one or more houses and the control group consists of people who rent a house. Although the net </w:t>
      </w:r>
      <w:r>
        <w:t>wealth</w:t>
      </w:r>
      <w:r w:rsidR="00CB0C55">
        <w:t xml:space="preserve"> of tenants </w:t>
      </w:r>
      <w:r w:rsidR="00902F80">
        <w:t>might</w:t>
      </w:r>
      <w:r w:rsidR="00CB0C55">
        <w:t xml:space="preserve"> also have been impacted</w:t>
      </w:r>
      <w:r w:rsidR="00902F80">
        <w:t xml:space="preserve"> </w:t>
      </w:r>
      <w:r>
        <w:t>by</w:t>
      </w:r>
      <w:r w:rsidR="00902F80">
        <w:t xml:space="preserve"> the financial crisis</w:t>
      </w:r>
      <w:r w:rsidR="00CB0C55">
        <w:t>, the home owners are</w:t>
      </w:r>
      <w:r w:rsidRPr="000E14CB">
        <w:t xml:space="preserve"> </w:t>
      </w:r>
      <w:r>
        <w:t>more</w:t>
      </w:r>
      <w:r w:rsidR="00CB0C55">
        <w:t xml:space="preserve"> exposed to </w:t>
      </w:r>
      <w:r w:rsidR="00902F80">
        <w:t>a</w:t>
      </w:r>
      <w:r w:rsidR="00CB0C55">
        <w:t xml:space="preserve"> wealth shock due to the </w:t>
      </w:r>
      <w:r w:rsidR="00902F80">
        <w:t>change</w:t>
      </w:r>
      <w:r w:rsidR="00CB0C55">
        <w:t xml:space="preserve"> in housing prices. Therefore the net </w:t>
      </w:r>
      <w:r w:rsidR="00902F80">
        <w:t>wealth</w:t>
      </w:r>
      <w:r w:rsidR="00CB0C55">
        <w:t xml:space="preserve"> of </w:t>
      </w:r>
      <w:r w:rsidR="00902F80">
        <w:t>the control group</w:t>
      </w:r>
      <w:r w:rsidR="00CB0C55">
        <w:t xml:space="preserve"> should be affected less than the net </w:t>
      </w:r>
      <w:r w:rsidR="00902F80">
        <w:t>wealth</w:t>
      </w:r>
      <w:r w:rsidR="00CB0C55">
        <w:t xml:space="preserve"> of </w:t>
      </w:r>
      <w:r w:rsidR="00902F80">
        <w:t>the treatment group by the changes in the housing prices</w:t>
      </w:r>
      <w:r w:rsidR="00CB0C55">
        <w:t>.</w:t>
      </w:r>
    </w:p>
    <w:p w:rsidR="0021637B" w:rsidRPr="00DF1722" w:rsidRDefault="00DF1722" w:rsidP="00DF1722">
      <w:pPr>
        <w:spacing w:line="360" w:lineRule="auto"/>
        <w:jc w:val="both"/>
      </w:pPr>
      <w:r>
        <w:tab/>
        <w:t xml:space="preserve">There is another way in which the financial crisis might have affected the health of the treatment and control group in a different </w:t>
      </w:r>
      <w:r w:rsidR="00574A4A">
        <w:t>manner</w:t>
      </w:r>
      <w:r>
        <w:t xml:space="preserve">, namely through job loss. It is </w:t>
      </w:r>
      <w:r w:rsidR="00C90CEA">
        <w:t>plausible</w:t>
      </w:r>
      <w:r>
        <w:t xml:space="preserve"> to think that renters are more likely to have a lower income and therefore </w:t>
      </w:r>
      <w:r w:rsidR="000E14CB">
        <w:t>might</w:t>
      </w:r>
      <w:r>
        <w:t xml:space="preserve"> have more short term contracts than home-owners. </w:t>
      </w:r>
      <w:r w:rsidR="00786390">
        <w:t>An explanation for this could be that</w:t>
      </w:r>
      <w:r w:rsidR="000E14CB">
        <w:t xml:space="preserve"> </w:t>
      </w:r>
      <w:r>
        <w:t>getting a mortgage requires a steady flow in income. Individuals with short-term contracts are more prone to losing their job because of changes in business cycles and losing a job could cause stress which could result in poor health. This is however tested in the robustness section which showed that there is no significant different change in unemployment rate between the control and treatment group.</w:t>
      </w:r>
      <w:r w:rsidR="000E14CB">
        <w:t xml:space="preserve"> Therefore, the health of the treatment and control group should not be affected differently through job loss.</w:t>
      </w:r>
    </w:p>
    <w:p w:rsidR="00DF1722" w:rsidRDefault="00786390" w:rsidP="00CB0C55">
      <w:pPr>
        <w:spacing w:line="360" w:lineRule="auto"/>
        <w:jc w:val="both"/>
      </w:pPr>
      <w:r>
        <w:tab/>
        <w:t>Regressions are</w:t>
      </w:r>
      <w:r w:rsidR="00CB0C55">
        <w:t xml:space="preserve"> done on two different </w:t>
      </w:r>
      <w:r w:rsidR="000E14CB">
        <w:t>samples</w:t>
      </w:r>
      <w:r w:rsidR="00CB0C55">
        <w:t xml:space="preserve"> of observations, one </w:t>
      </w:r>
      <w:r w:rsidR="000E14CB">
        <w:t>sample</w:t>
      </w:r>
      <w:r w:rsidR="00CB0C55">
        <w:t xml:space="preserve"> </w:t>
      </w:r>
      <w:r>
        <w:t>consists</w:t>
      </w:r>
      <w:r w:rsidR="00CB0C55">
        <w:t xml:space="preserve"> of all observations and the second </w:t>
      </w:r>
      <w:r w:rsidR="000E14CB">
        <w:t>sample</w:t>
      </w:r>
      <w:r w:rsidR="00CB0C55">
        <w:t xml:space="preserve"> </w:t>
      </w:r>
      <w:r>
        <w:t>consists</w:t>
      </w:r>
      <w:r w:rsidR="00CB0C55">
        <w:t xml:space="preserve"> only on the same persons observed </w:t>
      </w:r>
      <w:r w:rsidR="000E14CB">
        <w:t xml:space="preserve">before and after the treatment. </w:t>
      </w:r>
      <w:r w:rsidR="00574A4A">
        <w:t>Since</w:t>
      </w:r>
      <w:r w:rsidR="00CB0C55">
        <w:t xml:space="preserve"> the first </w:t>
      </w:r>
      <w:r w:rsidR="000E14CB">
        <w:t>sample</w:t>
      </w:r>
      <w:r w:rsidR="006838F8">
        <w:t>, the all</w:t>
      </w:r>
      <w:r w:rsidR="000E14CB">
        <w:t xml:space="preserve"> </w:t>
      </w:r>
      <w:r w:rsidR="006838F8">
        <w:t xml:space="preserve">observations </w:t>
      </w:r>
      <w:r w:rsidR="000E14CB">
        <w:t>sample</w:t>
      </w:r>
      <w:r w:rsidR="006838F8">
        <w:t>,</w:t>
      </w:r>
      <w:r w:rsidR="00CB0C55">
        <w:t xml:space="preserve"> is bigger, the estimations should be better. For certainty, the second </w:t>
      </w:r>
      <w:r w:rsidR="000E14CB">
        <w:t>sample</w:t>
      </w:r>
      <w:r w:rsidR="00DF1722">
        <w:t xml:space="preserve">, the recurring individuals </w:t>
      </w:r>
      <w:r w:rsidR="000E14CB">
        <w:t>sample</w:t>
      </w:r>
      <w:r w:rsidR="00DF1722">
        <w:t>,</w:t>
      </w:r>
      <w:r w:rsidR="00CB0C55">
        <w:t xml:space="preserve">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r w:rsidR="00A20A58">
        <w:t xml:space="preserve"> for the difference in difference</w:t>
      </w:r>
      <w:r w:rsidR="005F1CA0">
        <w:t>s</w:t>
      </w:r>
      <w:r w:rsidR="00A20A58">
        <w:t xml:space="preserve"> analysis</w:t>
      </w:r>
      <w:r>
        <w: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7" w:name="_Ref534894565"/>
            <w:r>
              <w:t>(</w:t>
            </w:r>
            <w:r w:rsidR="003F2044">
              <w:fldChar w:fldCharType="begin"/>
            </w:r>
            <w:r>
              <w:instrText>SEQ Equation \* ARABIC</w:instrText>
            </w:r>
            <w:r w:rsidR="003F2044">
              <w:fldChar w:fldCharType="separate"/>
            </w:r>
            <w:r w:rsidR="00200608">
              <w:rPr>
                <w:noProof/>
              </w:rPr>
              <w:t>1</w:t>
            </w:r>
            <w:r w:rsidR="003F2044">
              <w:fldChar w:fldCharType="end"/>
            </w:r>
            <w:bookmarkEnd w:id="7"/>
            <w:r>
              <w:t>)</w:t>
            </w:r>
          </w:p>
        </w:tc>
      </w:tr>
    </w:tbl>
    <w:p w:rsidR="0021637B" w:rsidRDefault="0021637B" w:rsidP="00CB0C55">
      <w:pPr>
        <w:spacing w:line="360" w:lineRule="auto"/>
        <w:jc w:val="both"/>
      </w:pPr>
    </w:p>
    <w:p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i</w:t>
      </w:r>
      <w:r w:rsidR="00781B23">
        <w:t xml:space="preserve"> is healthy or not in period t.</w:t>
      </w:r>
      <w:r>
        <w:t xml:space="preserve"> Time is </w:t>
      </w:r>
      <w:r w:rsidR="008C08D5">
        <w:t>whether an observation is pre</w:t>
      </w:r>
      <w:r w:rsidR="00786390">
        <w:t>- or post</w:t>
      </w:r>
      <w:r w:rsidR="008C08D5">
        <w:t>treatment.</w:t>
      </w:r>
      <w:r>
        <w:t xml:space="preserve"> Treated is </w:t>
      </w:r>
      <w:r w:rsidR="008C08D5">
        <w:t>whether a person is in the treatment or control group and</w:t>
      </w:r>
      <w:r>
        <w:t xml:space="preserve"> Time * Diff is the difference in change over time. If the Time * Diff coefficient is statistically different from zero, there is an effect from the treatment on the dependent variable</w:t>
      </w:r>
      <w:r w:rsidR="00786390">
        <w:t xml:space="preserve"> which implies</w:t>
      </w:r>
      <w:r w:rsidR="003D3FC0">
        <w:t xml:space="preserve"> a causal effect from wealth on health</w:t>
      </w:r>
      <w:r>
        <w:t>.</w:t>
      </w:r>
      <w:r w:rsidR="00AD4CC2">
        <w:t xml:space="preserve"> The coefficients will be estimated with an OLS regression.</w:t>
      </w:r>
    </w:p>
    <w:p w:rsidR="0021637B" w:rsidRDefault="00CB0C55" w:rsidP="00CB0C55">
      <w:pPr>
        <w:spacing w:line="360" w:lineRule="auto"/>
        <w:jc w:val="both"/>
      </w:pPr>
      <w:r>
        <w:lastRenderedPageBreak/>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2</w:t>
            </w:r>
            <w:r w:rsidR="003F2044">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3</w:t>
            </w:r>
            <w:r w:rsidR="003F2044">
              <w:fldChar w:fldCharType="end"/>
            </w:r>
            <w:r>
              <w:t>)</w:t>
            </w:r>
          </w:p>
        </w:tc>
      </w:tr>
    </w:tbl>
    <w:p w:rsidR="003D3FC0" w:rsidRDefault="003D3FC0" w:rsidP="00CB0C55">
      <w:pPr>
        <w:spacing w:line="360" w:lineRule="auto"/>
        <w:jc w:val="both"/>
      </w:pPr>
    </w:p>
    <w:p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rsidR="0021637B" w:rsidRDefault="00CB0C55" w:rsidP="00597F36">
      <w:pPr>
        <w:spacing w:line="360" w:lineRule="auto"/>
        <w:ind w:firstLine="720"/>
        <w:jc w:val="both"/>
      </w:pPr>
      <w:r>
        <w:t>To show that the difference in difference</w:t>
      </w:r>
      <w:r w:rsidR="005F1CA0">
        <w:t>s</w:t>
      </w:r>
      <w:r>
        <w:t xml:space="preserv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is either the treatment group</w:t>
      </w:r>
      <w:r w:rsidR="003D3FC0">
        <w:t xml:space="preserve"> (1)</w:t>
      </w:r>
      <w:r w:rsidR="00902F80">
        <w:t xml:space="preserve">, </w:t>
      </w:r>
      <w:r>
        <w:t>i.e.</w:t>
      </w:r>
      <w:r w:rsidR="00902F80">
        <w:t>, home-owners</w:t>
      </w:r>
      <w:r w:rsidR="003D3FC0">
        <w:t>,</w:t>
      </w:r>
      <w:r w:rsidR="00902F80">
        <w:t xml:space="preserve"> or the control group</w:t>
      </w:r>
      <w:r w:rsidR="003D3FC0">
        <w:t xml:space="preserve"> (0)</w:t>
      </w:r>
      <w:r w:rsidR="00902F80">
        <w:t xml:space="preserve">, </w:t>
      </w:r>
      <w:r>
        <w:t>i.e.</w:t>
      </w:r>
      <w:r w:rsidR="00902F80">
        <w:t>, tenants</w:t>
      </w:r>
      <w:r w:rsidR="003D3FC0">
        <w:t xml:space="preserve">, </w:t>
      </w:r>
      <w:r>
        <w:t xml:space="preserve">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4</w:t>
            </w:r>
            <w:r w:rsidR="003F2044">
              <w:fldChar w:fldCharType="end"/>
            </w:r>
            <w:r>
              <w:t>)</w:t>
            </w:r>
          </w:p>
        </w:tc>
      </w:tr>
    </w:tbl>
    <w:p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8" w:name="_Ref534893964"/>
            <w:r>
              <w:t>(</w:t>
            </w:r>
            <w:r w:rsidR="003F2044">
              <w:fldChar w:fldCharType="begin"/>
            </w:r>
            <w:r>
              <w:instrText>SEQ Equation \* ARABIC</w:instrText>
            </w:r>
            <w:r w:rsidR="003F2044">
              <w:fldChar w:fldCharType="separate"/>
            </w:r>
            <w:r w:rsidR="00200608">
              <w:rPr>
                <w:noProof/>
              </w:rPr>
              <w:t>5</w:t>
            </w:r>
            <w:r w:rsidR="003F2044">
              <w:fldChar w:fldCharType="end"/>
            </w:r>
            <w:bookmarkEnd w:id="8"/>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C90CEA">
        <w:fldChar w:fldCharType="begin"/>
      </w:r>
      <w:r w:rsidR="00C90CEA">
        <w:instrText xml:space="preserve">REF _Ref534893964 \h \* MERGEFORMAT </w:instrText>
      </w:r>
      <w:r w:rsidR="00C90CEA">
        <w:fldChar w:fldCharType="separate"/>
      </w:r>
      <w:r w:rsidR="00200608">
        <w:t>(5</w:t>
      </w:r>
      <w:r w:rsidR="00C90CEA">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6</w:t>
            </w:r>
            <w:r w:rsidR="003F2044">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7</w:t>
            </w:r>
            <w:r w:rsidR="003F2044">
              <w:fldChar w:fldCharType="end"/>
            </w:r>
            <w:r>
              <w:t>)</w:t>
            </w:r>
          </w:p>
        </w:tc>
      </w:tr>
    </w:tbl>
    <w:p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8</w:t>
            </w:r>
            <w:r w:rsidR="003F2044">
              <w:fldChar w:fldCharType="end"/>
            </w:r>
            <w:r>
              <w:t>)</w:t>
            </w:r>
          </w:p>
        </w:tc>
      </w:tr>
    </w:tbl>
    <w:p w:rsidR="0021637B" w:rsidRDefault="00CB0C55" w:rsidP="00CB0C55">
      <w:pPr>
        <w:spacing w:line="360" w:lineRule="auto"/>
        <w:jc w:val="both"/>
      </w:pPr>
      <w:r>
        <w:lastRenderedPageBreak/>
        <w:t xml:space="preserve">Here </w:t>
      </w:r>
      <w:r>
        <w:rPr>
          <w:rFonts w:ascii="Times New Roman" w:hAnsi="Times New Roman" w:cs="Times New Roman"/>
        </w:rPr>
        <w:t>δ</w:t>
      </w:r>
      <w:r>
        <w:t xml:space="preserve"> is the causal effect of interest which is estimated through the model described in equation</w:t>
      </w:r>
      <w:r w:rsidR="003D3FC0">
        <w:t>!@#$!@#</w:t>
      </w:r>
      <w:r>
        <w:t xml:space="preserve"> </w:t>
      </w:r>
      <w:r w:rsidR="00C90CEA">
        <w:fldChar w:fldCharType="begin"/>
      </w:r>
      <w:r w:rsidR="00C90CEA">
        <w:instrText xml:space="preserve">REF _Ref534894565 \h \* MERGEFORMAT </w:instrText>
      </w:r>
      <w:r w:rsidR="00C90CEA">
        <w:fldChar w:fldCharType="separate"/>
      </w:r>
      <w:r w:rsidR="00200608">
        <w:t>(1</w:t>
      </w:r>
      <w:r w:rsidR="00C90CEA">
        <w:fldChar w:fldCharType="end"/>
      </w:r>
      <w:r>
        <w:t>)</w:t>
      </w:r>
      <w:r w:rsidR="003D3FC0">
        <w:t>!@#$!@#$</w:t>
      </w:r>
      <w:r>
        <w:t xml:space="preserve">. The parameters in the model of equation </w:t>
      </w:r>
      <w:r w:rsidR="003D3FC0">
        <w:t>!@#$</w:t>
      </w:r>
      <w:r w:rsidR="00C90CEA">
        <w:fldChar w:fldCharType="begin"/>
      </w:r>
      <w:r w:rsidR="00C90CEA">
        <w:instrText xml:space="preserve">REF _Ref534894565 \h \* MERGEFORMAT </w:instrText>
      </w:r>
      <w:r w:rsidR="00C90CEA">
        <w:fldChar w:fldCharType="separate"/>
      </w:r>
      <w:r w:rsidR="00200608">
        <w:t>(1</w:t>
      </w:r>
      <w:r w:rsidR="00C90CEA">
        <w:fldChar w:fldCharType="end"/>
      </w:r>
      <w:r w:rsidR="008D077D">
        <w:t>)</w:t>
      </w:r>
      <w:r w:rsidR="003D3FC0">
        <w:t>!@#</w:t>
      </w:r>
      <w:r>
        <w:t xml:space="preserve"> can be seen in the light of the model described in equation </w:t>
      </w:r>
      <w:r w:rsidR="003D3FC0">
        <w:t>!@#</w:t>
      </w:r>
      <w:r w:rsidR="00C90CEA">
        <w:fldChar w:fldCharType="begin"/>
      </w:r>
      <w:r w:rsidR="00C90CEA">
        <w:instrText xml:space="preserve">REF _Ref534893964 \h \* MERGEFORMAT </w:instrText>
      </w:r>
      <w:r w:rsidR="00C90CEA">
        <w:fldChar w:fldCharType="separate"/>
      </w:r>
      <w:r w:rsidR="00200608">
        <w:t>(5</w:t>
      </w:r>
      <w:r w:rsidR="00C90CEA">
        <w:fldChar w:fldCharType="end"/>
      </w:r>
      <w:r>
        <w:t>)</w:t>
      </w:r>
      <w:r w:rsidR="003D3FC0">
        <w:t>!@#</w:t>
      </w:r>
      <w:r>
        <w:t xml:space="preserve">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9</w:t>
            </w:r>
            <w:r w:rsidR="003F2044">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10</w:t>
            </w:r>
            <w:r w:rsidR="003F2044">
              <w:fldChar w:fldCharType="end"/>
            </w:r>
            <w:r>
              <w:t>)</w:t>
            </w:r>
          </w:p>
          <w:p w:rsidR="0021637B" w:rsidRDefault="0021637B" w:rsidP="00CB0C55">
            <w:pPr>
              <w:spacing w:line="360" w:lineRule="auto"/>
              <w:jc w:val="both"/>
            </w:pPr>
          </w:p>
        </w:tc>
      </w:tr>
    </w:tbl>
    <w:p w:rsidR="0021637B" w:rsidRDefault="00C90CEA"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11</w:t>
            </w:r>
            <w:r w:rsidR="003F2044">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w:t>
      </w:r>
      <w:r w:rsidR="00786390">
        <w:t>In other words,</w:t>
      </w:r>
      <w:r>
        <w:t xml:space="preserve">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90CEA"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3F2044">
              <w:fldChar w:fldCharType="begin"/>
            </w:r>
            <w:r>
              <w:instrText>SEQ Equation \* ARABIC</w:instrText>
            </w:r>
            <w:r w:rsidR="003F2044">
              <w:fldChar w:fldCharType="separate"/>
            </w:r>
            <w:r w:rsidR="00200608">
              <w:rPr>
                <w:noProof/>
              </w:rPr>
              <w:t>12</w:t>
            </w:r>
            <w:r w:rsidR="003F2044">
              <w:fldChar w:fldCharType="end"/>
            </w:r>
            <w:r>
              <w:t>)</w:t>
            </w:r>
          </w:p>
        </w:tc>
      </w:tr>
    </w:tbl>
    <w:p w:rsidR="0021637B" w:rsidRDefault="00786390"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the</w:t>
      </w:r>
      <w:r w:rsidR="00CB0C55">
        <w:t xml:space="preserve"> difference in differences between average health before and after the treatment of the home owners and the tenants.</w:t>
      </w:r>
    </w:p>
    <w:p w:rsidR="00F26246" w:rsidRDefault="00F26246" w:rsidP="00F26246">
      <w:pPr>
        <w:pStyle w:val="Heading3"/>
      </w:pPr>
      <w:r>
        <w:t>Extra  characteristic variables</w:t>
      </w:r>
    </w:p>
    <w:p w:rsidR="0021637B" w:rsidRDefault="00CB0C55" w:rsidP="00CB0C55">
      <w:pPr>
        <w:spacing w:line="360" w:lineRule="auto"/>
        <w:jc w:val="both"/>
      </w:pPr>
      <w:r>
        <w:t xml:space="preserve">Because characteristics </w:t>
      </w:r>
      <w:r w:rsidR="00DB219C">
        <w:t>could</w:t>
      </w:r>
      <w:r>
        <w:t xml:space="preserve"> differ and therefore explain some of the variation in health in the first </w:t>
      </w:r>
      <w:r w:rsidR="003D3FC0">
        <w:t>sample</w:t>
      </w:r>
      <w:r>
        <w:t xml:space="preserve"> (i.e.</w:t>
      </w:r>
      <w:r w:rsidR="003D3FC0">
        <w:t xml:space="preserve"> the</w:t>
      </w:r>
      <w:r>
        <w:t xml:space="preserve"> all the observations</w:t>
      </w:r>
      <w:r w:rsidR="003D3FC0">
        <w:t xml:space="preserve"> sample</w:t>
      </w:r>
      <w:r>
        <w:t xml:space="preserve">) an extra regression on that </w:t>
      </w:r>
      <w:r w:rsidR="003D3FC0">
        <w:t>sample</w:t>
      </w:r>
      <w:r>
        <w:t xml:space="preserve"> </w:t>
      </w:r>
      <w:r w:rsidR="003D3FC0">
        <w:t>is</w:t>
      </w:r>
      <w:r w:rsidR="00786390">
        <w:t xml:space="preserve"> </w:t>
      </w:r>
      <w:r>
        <w:t xml:space="preserve">run which includes some </w:t>
      </w:r>
      <w:r w:rsidR="00574A4A">
        <w:t>additional</w:t>
      </w:r>
      <w:r>
        <w:t xml:space="preserve">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The regression model will then look like this:</w:t>
      </w:r>
    </w:p>
    <w:p w:rsidR="0021637B" w:rsidRDefault="00C90CEA"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 xml:space="preserve">ed an education at the HBO </w:t>
      </w:r>
      <w:r w:rsidR="002C68B2">
        <w:lastRenderedPageBreak/>
        <w:t>level</w:t>
      </w:r>
      <w:r>
        <w:t xml:space="preserve"> or university.</w:t>
      </w:r>
      <w:r w:rsidR="002C68B2">
        <w:t xml:space="preserve"> Unemployed is also a dummy variable where 1 means unemplo</w:t>
      </w:r>
      <w:r w:rsidR="00EF0AEE">
        <w:t xml:space="preserve">yed and 0 means not unemployed. </w:t>
      </w:r>
      <w:r w:rsidR="002C68B2">
        <w:t>People who are unemployed</w:t>
      </w:r>
      <w:r w:rsidR="00574A4A">
        <w:t xml:space="preserve"> </w:t>
      </w:r>
      <w:r w:rsidR="00786390">
        <w:t>are</w:t>
      </w:r>
      <w:r w:rsidR="00574A4A">
        <w:t xml:space="preserve"> defined as </w:t>
      </w:r>
      <w:r w:rsidR="002C68B2">
        <w:t>people who are looking for a job because they lost their last job or a</w:t>
      </w:r>
      <w:r w:rsidR="00786390">
        <w:t>re</w:t>
      </w:r>
      <w:r w:rsidR="002C68B2">
        <w:t xml:space="preserve"> looking for a job for the first time.</w:t>
      </w:r>
      <w:r>
        <w:t xml:space="preserve"> </w:t>
      </w:r>
      <w:r w:rsidR="002C68B2">
        <w:t>Gender is a dummy variable as well where 1 represents male and 0 represent female.</w:t>
      </w:r>
    </w:p>
    <w:p w:rsidR="00F26246" w:rsidRDefault="00F26246" w:rsidP="002C68B2">
      <w:pPr>
        <w:pStyle w:val="Heading3"/>
      </w:pPr>
      <w:r>
        <w:t>Fixed effects</w:t>
      </w:r>
    </w:p>
    <w:p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C90CEA"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w:t>
      </w:r>
      <w:r w:rsidR="00926E14">
        <w:t xml:space="preserve"> since it contains the individuals time-invariant characteristics. T</w:t>
      </w:r>
      <w:r w:rsidR="003F4713">
        <w:t>herefore reducing the error term.</w:t>
      </w:r>
      <w:r w:rsidR="00CE4340">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52990">
        <w:t xml:space="preserve"> also contains the Treated variable since it doesn’t change </w:t>
      </w:r>
      <w:r w:rsidR="003D3FC0">
        <w:t>during</w:t>
      </w:r>
      <w:r w:rsidR="00752990">
        <w:t xml:space="preserve"> the treatment period. Therefore, the Treated variable is canceled out as well.</w:t>
      </w:r>
    </w:p>
    <w:p w:rsidR="00F26246" w:rsidRDefault="00F26246" w:rsidP="00CB0C55">
      <w:pPr>
        <w:spacing w:line="360" w:lineRule="auto"/>
        <w:jc w:val="both"/>
      </w:pPr>
    </w:p>
    <w:p w:rsidR="00F26246" w:rsidRDefault="00F26246" w:rsidP="00F26246">
      <w:pPr>
        <w:pStyle w:val="Heading2"/>
      </w:pPr>
      <w:r>
        <w:t>Health transitions</w:t>
      </w:r>
    </w:p>
    <w:p w:rsidR="00F408DB" w:rsidRDefault="00786390" w:rsidP="00F17AC2">
      <w:pPr>
        <w:spacing w:line="360" w:lineRule="auto"/>
      </w:pPr>
      <w:r>
        <w:t>Finally</w:t>
      </w:r>
      <w:r w:rsidR="003E3243">
        <w:t xml:space="preserve">, this paper uses an analysis which uses health transitions rather than health status. This method is based off the method used by Cai (2009). By focusing on health transitions the endogeneity between health and wealth is avoided. </w:t>
      </w:r>
      <w:r w:rsidR="00F408DB">
        <w:t>The transitions are measured between the same years which are used in the D</w:t>
      </w:r>
      <w:r w:rsidR="00395D0F">
        <w:t>I</w:t>
      </w:r>
      <w:r w:rsidR="00F408DB">
        <w:t xml:space="preserve">D analysis. Therefore, there is one analysis which focusses on the transition between 2007 and 2013 and analysis which focusses on the transition between 2013 and 2017. </w:t>
      </w:r>
      <w:r w:rsidR="003E3243">
        <w:t xml:space="preserve">This paper uses negative health transitions where a negative health transition is defined as the </w:t>
      </w:r>
      <w:r w:rsidR="00F17AC2">
        <w:t xml:space="preserve">decrease in self-assessed health scale. People </w:t>
      </w:r>
      <w:r>
        <w:t>had to choose between</w:t>
      </w:r>
      <w:r w:rsidR="00F17AC2">
        <w:t xml:space="preserve">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rsidR="003E3243">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w:t>
      </w:r>
      <w:r w:rsidR="003D3FC0">
        <w:t>.</w:t>
      </w:r>
      <w:r w:rsidR="00F408DB">
        <w:t xml:space="preserve"> Characteristics that are used in the D</w:t>
      </w:r>
      <w:r w:rsidR="003D3FC0">
        <w:t>I</w:t>
      </w:r>
      <w:r w:rsidR="00F408DB">
        <w:t>D model</w:t>
      </w:r>
      <w:r w:rsidR="003D3FC0">
        <w:t xml:space="preserve"> as extra explanatory variables</w:t>
      </w:r>
      <w:r w:rsidR="00F408DB">
        <w:t xml:space="preserve"> in the all observations group are also used here. The model used for this analysis is therefore:</w:t>
      </w:r>
    </w:p>
    <w:p w:rsidR="00F408DB" w:rsidRPr="00F408DB" w:rsidRDefault="00C90CEA"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i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r w:rsidR="00A41EAF">
        <w:t xml:space="preserve">nt characteristics of person </w:t>
      </w:r>
      <w:proofErr w:type="spellStart"/>
      <w:r w:rsidR="00A41EAF">
        <w:t>i</w:t>
      </w:r>
      <w:proofErr w:type="spellEnd"/>
      <w:r w:rsidR="00A41EAF">
        <w:t>. The coefficients will be estimated by an OLS regression.</w:t>
      </w:r>
    </w:p>
    <w:p w:rsidR="002C68B2" w:rsidRPr="002C68B2" w:rsidRDefault="002C68B2" w:rsidP="00F26246"/>
    <w:p w:rsidR="00F408DB" w:rsidRPr="00F26246" w:rsidRDefault="00F408DB" w:rsidP="00F26246"/>
    <w:p w:rsidR="001311BA" w:rsidRDefault="001311BA" w:rsidP="00CB0C55">
      <w:pPr>
        <w:spacing w:line="360" w:lineRule="auto"/>
        <w:jc w:val="both"/>
        <w:rPr>
          <w:b/>
          <w:sz w:val="28"/>
          <w:szCs w:val="28"/>
        </w:rPr>
      </w:pPr>
    </w:p>
    <w:p w:rsidR="0021637B" w:rsidRPr="002C68B2" w:rsidRDefault="00CB0C55" w:rsidP="002C68B2">
      <w:pPr>
        <w:pStyle w:val="Heading1"/>
      </w:pPr>
      <w:r w:rsidRPr="002C68B2">
        <w:rPr>
          <w:rStyle w:val="Heading1Char"/>
          <w:b/>
          <w:bCs/>
        </w:rPr>
        <w:t>Results</w:t>
      </w:r>
    </w:p>
    <w:p w:rsidR="0021637B" w:rsidRDefault="0021637B" w:rsidP="00CB0C55">
      <w:pPr>
        <w:spacing w:line="360" w:lineRule="auto"/>
        <w:jc w:val="both"/>
      </w:pPr>
    </w:p>
    <w:p w:rsidR="00786390" w:rsidRPr="00786390" w:rsidRDefault="00786390" w:rsidP="00CB0C55">
      <w:pPr>
        <w:spacing w:line="360" w:lineRule="auto"/>
        <w:jc w:val="both"/>
      </w:pPr>
      <w:r>
        <w:t>This section presents the results found from the three different analyses. First the results from the OLS regression are presented. Secondly the results from the DID analysis are shown and finally the results from the health transitions analysis are presented.</w:t>
      </w:r>
    </w:p>
    <w:p w:rsidR="0021637B" w:rsidRDefault="00CB0C55" w:rsidP="00A41EAF">
      <w:pPr>
        <w:pStyle w:val="Heading2"/>
      </w:pPr>
      <w:r>
        <w:t>Basic OLS results</w:t>
      </w:r>
    </w:p>
    <w:p w:rsidR="0021637B" w:rsidRDefault="00CB0C55" w:rsidP="00CB0C55">
      <w:pPr>
        <w:spacing w:line="360" w:lineRule="auto"/>
        <w:jc w:val="both"/>
      </w:pPr>
      <w:r>
        <w:t>A simple OLS regression was conducted first to check whether or not there exists a correlation between heal</w:t>
      </w:r>
      <w:r w:rsidR="00EF0AEE">
        <w:t xml:space="preserve">th </w:t>
      </w:r>
      <w:r w:rsidR="000E14CB">
        <w:t xml:space="preserve">and health in this dataset. </w:t>
      </w:r>
      <w:r>
        <w:t xml:space="preserve">The results of this regression can be seen in table 6. </w:t>
      </w:r>
      <w:r w:rsidR="00EF0AEE">
        <w:t>A significant (p &lt; 5%) positive</w:t>
      </w:r>
      <w:r>
        <w:t xml:space="preser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w:t>
      </w:r>
      <w:r w:rsidR="00786390">
        <w:t>It should be noted</w:t>
      </w:r>
      <w:r>
        <w:t xml:space="preserve"> that this correlation does not say anything about </w:t>
      </w:r>
      <w:r w:rsidR="008901F4">
        <w:t>a</w:t>
      </w:r>
      <w:r>
        <w:t xml:space="preserv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7</w:t>
      </w:r>
      <w:r w:rsidR="003F2044">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C90CEA"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A41EAF">
      <w:pPr>
        <w:pStyle w:val="Heading2"/>
      </w:pPr>
      <w:r>
        <w:t>Difference in Difference</w:t>
      </w:r>
      <w:r w:rsidR="00DE0519">
        <w:t>s</w:t>
      </w:r>
      <w:r>
        <w:t xml:space="preserve"> Analysis</w:t>
      </w:r>
    </w:p>
    <w:p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w:t>
      </w:r>
      <w:proofErr w:type="spellStart"/>
      <w:r w:rsidR="00786390">
        <w:t>anal</w:t>
      </w:r>
      <w:r w:rsidR="00BF455F">
        <w:t>ys</w:t>
      </w:r>
      <w:r w:rsidR="00786390">
        <w:t>ed</w:t>
      </w:r>
      <w:proofErr w:type="spellEnd"/>
      <w:r w:rsidR="00786390">
        <w:t xml:space="preserve"> </w:t>
      </w:r>
      <w:r>
        <w:t xml:space="preserve">the short term effects of wealth on health. It uses the waves from 2007 and 2013. The </w:t>
      </w:r>
      <w:r w:rsidR="00322CEC">
        <w:t>second</w:t>
      </w:r>
      <w:r>
        <w:t xml:space="preserve"> analysis also </w:t>
      </w:r>
      <w:proofErr w:type="spellStart"/>
      <w:r w:rsidR="00BF455F">
        <w:t>analys</w:t>
      </w:r>
      <w:r w:rsidR="00786390">
        <w:t>ed</w:t>
      </w:r>
      <w:proofErr w:type="spellEnd"/>
      <w:r>
        <w:t xml:space="preserve"> the short-term </w:t>
      </w:r>
      <w:r>
        <w:lastRenderedPageBreak/>
        <w:t xml:space="preserve">effect by using the 2013 and 2017 waves. The variable of interest is DID. If this variable 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w:t>
      </w:r>
      <w:r w:rsidR="006838F8">
        <w:t>implies</w:t>
      </w:r>
      <w:r w:rsidR="00256CE5">
        <w:t xml:space="preserve"> that the variation in health is</w:t>
      </w:r>
      <w:r w:rsidR="006838F8">
        <w:t xml:space="preserve"> partly</w:t>
      </w:r>
      <w:r w:rsidR="00256CE5">
        <w:t xml:space="preserve"> </w:t>
      </w:r>
      <w:r w:rsidR="006838F8">
        <w:t>explained by net income. This study tests in the robustness section if net income changed differently in the treatment period between the two groups to see if that could explain the difference in differences in health. The robustness test does not find a significant result. This implies that even though the variance in health in one year might be partly explained by income, the difference in the differences in health between the groups is not explained by net</w:t>
      </w:r>
      <w:r w:rsidR="00CE4340">
        <w:t xml:space="preserve"> income</w:t>
      </w:r>
      <w:r w:rsidR="00786399">
        <w:t xml:space="preserve">. </w:t>
      </w:r>
      <w:r w:rsidR="006B7292">
        <w:t xml:space="preserve">To test </w:t>
      </w:r>
      <w:r w:rsidR="003D3FC0">
        <w:t>why</w:t>
      </w:r>
      <w:r w:rsidR="006B7292">
        <w:t xml:space="preserve"> income might have such an impact on health another regression was run but with unemployment as a dummy variable</w:t>
      </w:r>
      <w:r w:rsidR="00BF455F">
        <w:t>. U</w:t>
      </w:r>
      <w:r w:rsidR="006B7292">
        <w:t xml:space="preserve">nemployment </w:t>
      </w:r>
      <w:r w:rsidR="00574A4A">
        <w:t>has a great impact on</w:t>
      </w:r>
      <w:r w:rsidR="006B7292">
        <w:t xml:space="preserve"> net income and could cause a lot of stress which could</w:t>
      </w:r>
      <w:r w:rsidR="00BF455F">
        <w:t xml:space="preserve"> therefore</w:t>
      </w:r>
      <w:r w:rsidR="006B7292">
        <w:t xml:space="preserve"> negatively impact health. The coefficient of unemployment is insignificant which implies that net income is significant because of </w:t>
      </w:r>
      <w:r w:rsidR="003D3FC0">
        <w:t>the level of</w:t>
      </w:r>
      <w:r w:rsidR="006B7292">
        <w:t xml:space="preserve"> income rather than unemployment. </w:t>
      </w:r>
      <w:r w:rsidR="00786399">
        <w:t>Because the DID coefficient is insignificant in both years, this implies that there is no causal relationship between wealth and health in this group.</w:t>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8</w:t>
      </w:r>
      <w:r w:rsidR="003F2044">
        <w:fldChar w:fldCharType="end"/>
      </w:r>
      <w:r>
        <w:t>: D</w:t>
      </w:r>
      <w:r w:rsidR="00395D0F">
        <w:t>I</w:t>
      </w:r>
      <w:r>
        <w:t>D results all observations</w:t>
      </w:r>
    </w:p>
    <w:tbl>
      <w:tblPr>
        <w:tblW w:w="8493" w:type="dxa"/>
        <w:tblLook w:val="04A0" w:firstRow="1" w:lastRow="0" w:firstColumn="1" w:lastColumn="0" w:noHBand="0" w:noVBand="1"/>
      </w:tblPr>
      <w:tblGrid>
        <w:gridCol w:w="93"/>
        <w:gridCol w:w="1344"/>
        <w:gridCol w:w="96"/>
        <w:gridCol w:w="1068"/>
        <w:gridCol w:w="92"/>
        <w:gridCol w:w="1067"/>
        <w:gridCol w:w="93"/>
        <w:gridCol w:w="1071"/>
        <w:gridCol w:w="89"/>
        <w:gridCol w:w="1071"/>
        <w:gridCol w:w="89"/>
        <w:gridCol w:w="1160"/>
        <w:gridCol w:w="1160"/>
      </w:tblGrid>
      <w:tr w:rsidR="006B7292" w:rsidTr="003D3FC0">
        <w:trPr>
          <w:gridBefore w:val="1"/>
          <w:wBefore w:w="93" w:type="dxa"/>
          <w:trHeight w:val="255"/>
        </w:trPr>
        <w:tc>
          <w:tcPr>
            <w:tcW w:w="1440" w:type="dxa"/>
            <w:gridSpan w:val="2"/>
            <w:tcBorders>
              <w:top w:val="nil"/>
              <w:left w:val="nil"/>
              <w:bottom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bottom w:val="single" w:sz="4" w:space="0" w:color="000000"/>
              <w:right w:val="single" w:sz="4" w:space="0" w:color="auto"/>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single" w:sz="4" w:space="0" w:color="auto"/>
              <w:bottom w:val="single" w:sz="4" w:space="0" w:color="000000"/>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r>
      <w:tr w:rsidR="006B7292" w:rsidTr="003D3FC0">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2013 - 2017</w:t>
            </w:r>
          </w:p>
        </w:tc>
        <w:tc>
          <w:tcPr>
            <w:tcW w:w="1160" w:type="dxa"/>
            <w:gridSpan w:val="2"/>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2007 - 2013</w:t>
            </w:r>
          </w:p>
        </w:tc>
        <w:tc>
          <w:tcPr>
            <w:tcW w:w="1160" w:type="dxa"/>
            <w:gridSpan w:val="2"/>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2013 - 2017</w:t>
            </w:r>
          </w:p>
        </w:tc>
        <w:tc>
          <w:tcPr>
            <w:tcW w:w="1160" w:type="dxa"/>
            <w:tcBorders>
              <w:top w:val="single" w:sz="4" w:space="0" w:color="000000"/>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2013-2017</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VARIABLES</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health</w:t>
            </w:r>
          </w:p>
        </w:tc>
      </w:tr>
      <w:tr w:rsidR="006B7292" w:rsidTr="006B7292">
        <w:trPr>
          <w:gridBefore w:val="1"/>
          <w:wBefore w:w="93" w:type="dxa"/>
          <w:trHeight w:val="255"/>
        </w:trPr>
        <w:tc>
          <w:tcPr>
            <w:tcW w:w="1440" w:type="dxa"/>
            <w:gridSpan w:val="2"/>
            <w:tcBorders>
              <w:top w:val="single" w:sz="4" w:space="0" w:color="000000"/>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DID</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-0.0112</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0.0347**</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-0.0123</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0.0234</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-0.0128</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0.0248</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(0.0143)</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(0.0155)</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(0.0155)</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Time</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0.0026</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-0.0291***</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0.0054</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-0.0173</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0.0064</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-0.0169</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(0.0101)</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(0.0113)</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(0.0113)</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Treated</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0.0190**</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0.0078</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0.0173</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0.0028</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0.0238**</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0.0099</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(0.0096)</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(0.0108)</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(0.0116)</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(0.0123)</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(0.0112)</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(0.0120)</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Gender</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-0.0124</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-0.0110</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-0.0075</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-0.0063</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(0.0088)</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(0.0083)</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lastRenderedPageBreak/>
              <w:t>Education</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0.0044</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0.0070</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0.0096</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0.0133*</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(0.0084)</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(0.0082)</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(0.0080)</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(0.0079)</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Net Income</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(0.0000)</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(0.0000)</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Unemployed</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0.0224</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0.0155</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(0.0268)</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(0.0239)</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Constant</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0.9487***</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0.9513***</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0.9426***</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0.9450***</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0.9478***</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0.9527***</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(0.0065)</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(0.0076)</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(0.0087)</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(0.0097)</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(0.0083)</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(0.0092)</w:t>
            </w: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 </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p>
        </w:tc>
      </w:tr>
      <w:tr w:rsidR="006B7292" w:rsidTr="006B7292">
        <w:trPr>
          <w:gridBefore w:val="1"/>
          <w:wBefore w:w="93" w:type="dxa"/>
          <w:trHeight w:val="255"/>
        </w:trPr>
        <w:tc>
          <w:tcPr>
            <w:tcW w:w="144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Observations</w:t>
            </w:r>
          </w:p>
        </w:tc>
        <w:tc>
          <w:tcPr>
            <w:tcW w:w="1160" w:type="dxa"/>
            <w:gridSpan w:val="2"/>
            <w:tcBorders>
              <w:top w:val="nil"/>
              <w:left w:val="single" w:sz="4" w:space="0" w:color="000000"/>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3,458</w:t>
            </w:r>
          </w:p>
        </w:tc>
        <w:tc>
          <w:tcPr>
            <w:tcW w:w="1160" w:type="dxa"/>
            <w:gridSpan w:val="2"/>
            <w:tcBorders>
              <w:top w:val="nil"/>
              <w:left w:val="nil"/>
              <w:bottom w:val="nil"/>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3,864</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2,586</w:t>
            </w:r>
          </w:p>
        </w:tc>
        <w:tc>
          <w:tcPr>
            <w:tcW w:w="1160" w:type="dxa"/>
            <w:gridSpan w:val="2"/>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2,671</w:t>
            </w:r>
          </w:p>
        </w:tc>
        <w:tc>
          <w:tcPr>
            <w:tcW w:w="1160" w:type="dxa"/>
            <w:tcBorders>
              <w:top w:val="nil"/>
              <w:left w:val="single" w:sz="4" w:space="0" w:color="auto"/>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2,586</w:t>
            </w:r>
          </w:p>
        </w:tc>
        <w:tc>
          <w:tcPr>
            <w:tcW w:w="1160" w:type="dxa"/>
            <w:tcBorders>
              <w:top w:val="nil"/>
              <w:left w:val="nil"/>
              <w:bottom w:val="nil"/>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2,671</w:t>
            </w:r>
          </w:p>
        </w:tc>
      </w:tr>
      <w:tr w:rsidR="006B7292" w:rsidTr="006B7292">
        <w:trPr>
          <w:gridBefore w:val="1"/>
          <w:wBefore w:w="93" w:type="dxa"/>
          <w:trHeight w:val="255"/>
        </w:trPr>
        <w:tc>
          <w:tcPr>
            <w:tcW w:w="1440" w:type="dxa"/>
            <w:gridSpan w:val="2"/>
            <w:tcBorders>
              <w:top w:val="nil"/>
              <w:left w:val="nil"/>
              <w:bottom w:val="single" w:sz="4" w:space="0" w:color="000000"/>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R-squared</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0.0013</w:t>
            </w:r>
          </w:p>
        </w:tc>
        <w:tc>
          <w:tcPr>
            <w:tcW w:w="1160" w:type="dxa"/>
            <w:gridSpan w:val="2"/>
            <w:tcBorders>
              <w:top w:val="nil"/>
              <w:left w:val="nil"/>
              <w:bottom w:val="single" w:sz="4" w:space="0" w:color="000000"/>
              <w:right w:val="single" w:sz="4" w:space="0" w:color="000000"/>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0.0060</w:t>
            </w:r>
          </w:p>
        </w:tc>
        <w:tc>
          <w:tcPr>
            <w:tcW w:w="1160" w:type="dxa"/>
            <w:gridSpan w:val="2"/>
            <w:tcBorders>
              <w:top w:val="nil"/>
              <w:left w:val="nil"/>
              <w:bottom w:val="single" w:sz="4" w:space="0" w:color="000000"/>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0.0046</w:t>
            </w:r>
          </w:p>
        </w:tc>
        <w:tc>
          <w:tcPr>
            <w:tcW w:w="1160" w:type="dxa"/>
            <w:gridSpan w:val="2"/>
            <w:tcBorders>
              <w:top w:val="nil"/>
              <w:left w:val="nil"/>
              <w:bottom w:val="single" w:sz="4" w:space="0" w:color="000000"/>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0.0085</w:t>
            </w:r>
          </w:p>
        </w:tc>
        <w:tc>
          <w:tcPr>
            <w:tcW w:w="1160" w:type="dxa"/>
            <w:tcBorders>
              <w:top w:val="nil"/>
              <w:left w:val="single" w:sz="4" w:space="0" w:color="auto"/>
              <w:bottom w:val="single" w:sz="4" w:space="0" w:color="000000"/>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0.0032</w:t>
            </w:r>
          </w:p>
        </w:tc>
        <w:tc>
          <w:tcPr>
            <w:tcW w:w="1160" w:type="dxa"/>
            <w:tcBorders>
              <w:top w:val="nil"/>
              <w:left w:val="nil"/>
              <w:bottom w:val="single" w:sz="4" w:space="0" w:color="000000"/>
              <w:right w:val="nil"/>
            </w:tcBorders>
            <w:shd w:val="clear" w:color="auto" w:fill="auto"/>
            <w:noWrap/>
            <w:vAlign w:val="bottom"/>
            <w:hideMark/>
          </w:tcPr>
          <w:p w:rsidR="006B7292" w:rsidRDefault="006B7292">
            <w:pPr>
              <w:jc w:val="center"/>
              <w:rPr>
                <w:rFonts w:ascii="Calibri" w:hAnsi="Calibri"/>
                <w:sz w:val="20"/>
                <w:szCs w:val="20"/>
              </w:rPr>
            </w:pPr>
            <w:r>
              <w:rPr>
                <w:rFonts w:ascii="Calibri" w:hAnsi="Calibri"/>
                <w:sz w:val="20"/>
                <w:szCs w:val="20"/>
              </w:rPr>
              <w:t>0.0059</w:t>
            </w:r>
          </w:p>
        </w:tc>
      </w:tr>
      <w:tr w:rsidR="006B7292" w:rsidTr="006B7292">
        <w:trPr>
          <w:gridBefore w:val="1"/>
          <w:wBefore w:w="93" w:type="dxa"/>
          <w:trHeight w:val="255"/>
        </w:trPr>
        <w:tc>
          <w:tcPr>
            <w:tcW w:w="3760" w:type="dxa"/>
            <w:gridSpan w:val="6"/>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Standard errors in parentheses</w:t>
            </w: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r>
      <w:tr w:rsidR="006B7292" w:rsidTr="006B7292">
        <w:trPr>
          <w:gridBefore w:val="1"/>
          <w:wBefore w:w="93" w:type="dxa"/>
          <w:trHeight w:val="255"/>
        </w:trPr>
        <w:tc>
          <w:tcPr>
            <w:tcW w:w="2600" w:type="dxa"/>
            <w:gridSpan w:val="4"/>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r>
              <w:rPr>
                <w:rFonts w:ascii="Calibri" w:hAnsi="Calibri"/>
                <w:sz w:val="20"/>
                <w:szCs w:val="20"/>
              </w:rPr>
              <w:t>*** p&lt;0.01, ** p&lt;0.05, * p&lt;0.1</w:t>
            </w: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gridSpan w:val="2"/>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6B7292" w:rsidRDefault="006B7292">
            <w:pPr>
              <w:rPr>
                <w:rFonts w:ascii="Calibri" w:hAnsi="Calibri"/>
                <w:sz w:val="20"/>
                <w:szCs w:val="20"/>
              </w:rPr>
            </w:pPr>
          </w:p>
        </w:tc>
      </w:tr>
      <w:tr w:rsidR="00F666B2"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6B7292">
        <w:tblPrEx>
          <w:jc w:val="center"/>
          <w:tblBorders>
            <w:top w:val="single" w:sz="4" w:space="0" w:color="000001"/>
          </w:tblBorders>
        </w:tblPrEx>
        <w:trPr>
          <w:gridAfter w:val="3"/>
          <w:wAfter w:w="2409" w:type="dxa"/>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D10A65" w:rsidRPr="00D10A65" w:rsidRDefault="00CB0C55" w:rsidP="00D10A65">
      <w:r>
        <w:tab/>
        <w:t xml:space="preserve">The results from the regressions in the second </w:t>
      </w:r>
      <w:r w:rsidR="00CE4340">
        <w:t>sample</w:t>
      </w:r>
      <w:r>
        <w:t xml:space="preserve">, </w:t>
      </w:r>
      <w:r w:rsidR="00CE4340">
        <w:t>the recurring individuals sample</w:t>
      </w:r>
      <w:r>
        <w:t>, can be seen in table 8. There are no significant results for the DID variable. Therefore, there is no evidence that there is a causal effect from wealth on health</w:t>
      </w:r>
      <w:r w:rsidR="003F4713">
        <w:t xml:space="preserve"> in this group</w:t>
      </w:r>
      <w:r>
        <w:t>.</w:t>
      </w:r>
      <w:r w:rsidR="003F4713">
        <w:t xml:space="preserve"> Even though the error term is smaller in the results </w:t>
      </w:r>
      <w:r w:rsidR="00D10A65">
        <w:t>of the fixed effects model, the</w:t>
      </w:r>
      <w:r w:rsidR="003F4713">
        <w:t xml:space="preserve"> DID coefficient</w:t>
      </w:r>
      <w:r w:rsidR="00CE4340">
        <w:t>s remain</w:t>
      </w:r>
      <w:r w:rsidR="003F4713">
        <w:t xml:space="preserve"> </w:t>
      </w:r>
      <w:r w:rsidR="003D3FC0">
        <w:t>in</w:t>
      </w:r>
      <w:r w:rsidR="003F4713">
        <w:t>significant</w:t>
      </w:r>
      <w:r w:rsidR="00CE4340">
        <w:t xml:space="preserve">. </w:t>
      </w:r>
    </w:p>
    <w:p w:rsidR="00322CEC"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9</w:t>
      </w:r>
      <w:r w:rsidR="003F2044">
        <w:fldChar w:fldCharType="end"/>
      </w:r>
      <w:r>
        <w:t>: D</w:t>
      </w:r>
      <w:r w:rsidR="00395D0F">
        <w:t>I</w:t>
      </w:r>
      <w:r>
        <w:t>D results same persons</w:t>
      </w:r>
    </w:p>
    <w:tbl>
      <w:tblPr>
        <w:tblpPr w:leftFromText="180" w:rightFromText="180" w:vertAnchor="text" w:tblpXSpec="center" w:tblpY="1"/>
        <w:tblOverlap w:val="never"/>
        <w:tblW w:w="6173" w:type="dxa"/>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B12788" w:rsidTr="003D3FC0">
        <w:trPr>
          <w:gridBefore w:val="1"/>
          <w:wBefore w:w="93" w:type="dxa"/>
          <w:trHeight w:val="255"/>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B12788" w:rsidRDefault="003D3FC0" w:rsidP="00B12788">
            <w:pPr>
              <w:jc w:val="center"/>
              <w:rPr>
                <w:rFonts w:ascii="Calibri" w:hAnsi="Calibri"/>
                <w:sz w:val="20"/>
                <w:szCs w:val="20"/>
              </w:rPr>
            </w:pPr>
            <w:r>
              <w:rPr>
                <w:rFonts w:ascii="Calibri" w:hAnsi="Calibri"/>
                <w:sz w:val="20"/>
                <w:szCs w:val="20"/>
              </w:rPr>
              <w:t>2007-</w:t>
            </w:r>
            <w:r w:rsidR="00B12788">
              <w:rPr>
                <w:rFonts w:ascii="Calibri" w:hAnsi="Calibri"/>
                <w:sz w:val="20"/>
                <w:szCs w:val="20"/>
              </w:rPr>
              <w:t>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B12788" w:rsidRDefault="003D3FC0" w:rsidP="003D3FC0">
            <w:pPr>
              <w:jc w:val="center"/>
              <w:rPr>
                <w:rFonts w:ascii="Calibri" w:hAnsi="Calibri"/>
                <w:sz w:val="20"/>
                <w:szCs w:val="20"/>
              </w:rPr>
            </w:pPr>
            <w:r>
              <w:rPr>
                <w:rFonts w:ascii="Calibri" w:hAnsi="Calibri"/>
                <w:sz w:val="20"/>
                <w:szCs w:val="20"/>
              </w:rPr>
              <w:t>201</w:t>
            </w:r>
            <w:r w:rsidR="00B12788">
              <w:rPr>
                <w:rFonts w:ascii="Calibri" w:hAnsi="Calibri"/>
                <w:sz w:val="20"/>
                <w:szCs w:val="20"/>
              </w:rPr>
              <w:t xml:space="preserve"> -2017</w:t>
            </w:r>
          </w:p>
        </w:tc>
        <w:tc>
          <w:tcPr>
            <w:tcW w:w="1160" w:type="dxa"/>
            <w:gridSpan w:val="2"/>
            <w:tcBorders>
              <w:top w:val="single" w:sz="4" w:space="0" w:color="000000"/>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2007-2013</w:t>
            </w:r>
          </w:p>
        </w:tc>
        <w:tc>
          <w:tcPr>
            <w:tcW w:w="1160" w:type="dxa"/>
            <w:tcBorders>
              <w:top w:val="single" w:sz="4" w:space="0" w:color="000000"/>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2013-2017</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VARIABLES</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3"/>
            <w:tcBorders>
              <w:top w:val="nil"/>
              <w:left w:val="nil"/>
              <w:bottom w:val="nil"/>
              <w:right w:val="single" w:sz="4" w:space="0" w:color="000000"/>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health</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health</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health</w:t>
            </w:r>
          </w:p>
        </w:tc>
      </w:tr>
      <w:tr w:rsidR="00B12788" w:rsidTr="003D3FC0">
        <w:trPr>
          <w:gridBefore w:val="1"/>
          <w:wBefore w:w="93" w:type="dxa"/>
          <w:trHeight w:val="255"/>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single" w:sz="4" w:space="0" w:color="000000"/>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 </w:t>
            </w:r>
          </w:p>
        </w:tc>
        <w:tc>
          <w:tcPr>
            <w:tcW w:w="1160" w:type="dxa"/>
            <w:tcBorders>
              <w:top w:val="single" w:sz="4" w:space="0" w:color="000000"/>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 </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DID</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-0.0207</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0.0099</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-0.0207</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0.0099</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(0.0205)</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(0.0203)</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(0.0166)</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(0.0146)</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time</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-0.0061</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-0.0139</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-0.0061</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-0.0139</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(0.0150)</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(0.0155)</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(0.0121)</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(0.0112)</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treated</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0.0238</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0.0284**</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(0.0145)</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(0.0144)</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Constant</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0.9574***</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0.9418***</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0.9701***</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0.9584***</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(0.0106)</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(0.0110)</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(0.0058)</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(0.0051)</w:t>
            </w: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p>
        </w:tc>
      </w:tr>
      <w:tr w:rsidR="00B1278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B12788" w:rsidRDefault="00B12788" w:rsidP="00B12788">
            <w:pPr>
              <w:rPr>
                <w:rFonts w:ascii="Calibri" w:hAnsi="Calibri"/>
                <w:sz w:val="20"/>
                <w:szCs w:val="20"/>
              </w:rPr>
            </w:pPr>
            <w:r>
              <w:rPr>
                <w:rFonts w:ascii="Calibri" w:hAnsi="Calibri"/>
                <w:sz w:val="20"/>
                <w:szCs w:val="20"/>
              </w:rPr>
              <w:t>Observations</w:t>
            </w:r>
          </w:p>
        </w:tc>
        <w:tc>
          <w:tcPr>
            <w:tcW w:w="1160" w:type="dxa"/>
            <w:gridSpan w:val="2"/>
            <w:tcBorders>
              <w:top w:val="nil"/>
              <w:left w:val="single" w:sz="4" w:space="0" w:color="auto"/>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1,406</w:t>
            </w:r>
          </w:p>
        </w:tc>
        <w:tc>
          <w:tcPr>
            <w:tcW w:w="1160" w:type="dxa"/>
            <w:gridSpan w:val="3"/>
            <w:tcBorders>
              <w:top w:val="nil"/>
              <w:left w:val="nil"/>
              <w:bottom w:val="nil"/>
              <w:right w:val="single" w:sz="4" w:space="0" w:color="auto"/>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1,730</w:t>
            </w:r>
          </w:p>
        </w:tc>
        <w:tc>
          <w:tcPr>
            <w:tcW w:w="1160" w:type="dxa"/>
            <w:gridSpan w:val="2"/>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1,406</w:t>
            </w:r>
          </w:p>
        </w:tc>
        <w:tc>
          <w:tcPr>
            <w:tcW w:w="1160" w:type="dxa"/>
            <w:tcBorders>
              <w:top w:val="nil"/>
              <w:left w:val="nil"/>
              <w:bottom w:val="nil"/>
              <w:right w:val="nil"/>
            </w:tcBorders>
            <w:shd w:val="clear" w:color="auto" w:fill="auto"/>
            <w:noWrap/>
            <w:vAlign w:val="bottom"/>
            <w:hideMark/>
          </w:tcPr>
          <w:p w:rsidR="00B12788" w:rsidRDefault="00B12788" w:rsidP="00B12788">
            <w:pPr>
              <w:jc w:val="center"/>
              <w:rPr>
                <w:rFonts w:ascii="Calibri" w:hAnsi="Calibri"/>
                <w:sz w:val="20"/>
                <w:szCs w:val="20"/>
              </w:rPr>
            </w:pPr>
            <w:r>
              <w:rPr>
                <w:rFonts w:ascii="Calibri" w:hAnsi="Calibri"/>
                <w:sz w:val="20"/>
                <w:szCs w:val="20"/>
              </w:rPr>
              <w:t>1,730</w:t>
            </w:r>
          </w:p>
        </w:tc>
      </w:tr>
      <w:tr w:rsidR="006B2DB8" w:rsidTr="003D3FC0">
        <w:trPr>
          <w:gridBefore w:val="1"/>
          <w:wBefore w:w="93" w:type="dxa"/>
          <w:trHeight w:val="255"/>
        </w:trPr>
        <w:tc>
          <w:tcPr>
            <w:tcW w:w="1440" w:type="dxa"/>
            <w:gridSpan w:val="2"/>
            <w:tcBorders>
              <w:top w:val="nil"/>
              <w:left w:val="nil"/>
              <w:bottom w:val="nil"/>
              <w:right w:val="single" w:sz="4" w:space="0" w:color="auto"/>
            </w:tcBorders>
            <w:shd w:val="clear" w:color="auto" w:fill="auto"/>
            <w:noWrap/>
            <w:vAlign w:val="bottom"/>
            <w:hideMark/>
          </w:tcPr>
          <w:p w:rsidR="006B2DB8" w:rsidRDefault="006B2DB8" w:rsidP="006B2DB8">
            <w:pPr>
              <w:rPr>
                <w:rFonts w:ascii="Calibri" w:hAnsi="Calibri"/>
                <w:sz w:val="20"/>
                <w:szCs w:val="20"/>
              </w:rPr>
            </w:pPr>
            <w:r>
              <w:rPr>
                <w:rFonts w:ascii="Calibri" w:hAnsi="Calibri"/>
                <w:sz w:val="20"/>
                <w:szCs w:val="20"/>
              </w:rPr>
              <w:t>persons</w:t>
            </w:r>
          </w:p>
        </w:tc>
        <w:tc>
          <w:tcPr>
            <w:tcW w:w="1160" w:type="dxa"/>
            <w:gridSpan w:val="2"/>
            <w:tcBorders>
              <w:top w:val="nil"/>
              <w:left w:val="single" w:sz="4" w:space="0" w:color="auto"/>
              <w:bottom w:val="nil"/>
              <w:right w:val="nil"/>
            </w:tcBorders>
            <w:shd w:val="clear" w:color="auto" w:fill="auto"/>
            <w:noWrap/>
            <w:vAlign w:val="bottom"/>
            <w:hideMark/>
          </w:tcPr>
          <w:p w:rsidR="006B2DB8" w:rsidRDefault="006B2DB8" w:rsidP="006B2DB8">
            <w:pPr>
              <w:rPr>
                <w:rFonts w:ascii="Calibri" w:hAnsi="Calibri"/>
                <w:sz w:val="20"/>
                <w:szCs w:val="20"/>
              </w:rPr>
            </w:pPr>
          </w:p>
        </w:tc>
        <w:tc>
          <w:tcPr>
            <w:tcW w:w="1160" w:type="dxa"/>
            <w:gridSpan w:val="3"/>
            <w:tcBorders>
              <w:top w:val="nil"/>
              <w:left w:val="nil"/>
              <w:bottom w:val="nil"/>
              <w:right w:val="single" w:sz="4" w:space="0" w:color="auto"/>
            </w:tcBorders>
            <w:shd w:val="clear" w:color="auto" w:fill="auto"/>
            <w:noWrap/>
            <w:vAlign w:val="bottom"/>
            <w:hideMark/>
          </w:tcPr>
          <w:p w:rsidR="006B2DB8" w:rsidRDefault="006B2DB8" w:rsidP="006B2DB8">
            <w:pPr>
              <w:rPr>
                <w:rFonts w:ascii="Calibri" w:hAnsi="Calibri"/>
                <w:sz w:val="20"/>
                <w:szCs w:val="20"/>
              </w:rPr>
            </w:pPr>
            <w:r>
              <w:rPr>
                <w:rFonts w:ascii="Calibri" w:hAnsi="Calibri"/>
                <w:sz w:val="20"/>
                <w:szCs w:val="20"/>
              </w:rPr>
              <w:t> </w:t>
            </w:r>
          </w:p>
        </w:tc>
        <w:tc>
          <w:tcPr>
            <w:tcW w:w="1160" w:type="dxa"/>
            <w:gridSpan w:val="2"/>
            <w:tcBorders>
              <w:top w:val="nil"/>
              <w:left w:val="nil"/>
              <w:bottom w:val="nil"/>
              <w:right w:val="nil"/>
            </w:tcBorders>
            <w:shd w:val="clear" w:color="auto" w:fill="auto"/>
            <w:noWrap/>
            <w:vAlign w:val="bottom"/>
          </w:tcPr>
          <w:p w:rsidR="006B2DB8" w:rsidRDefault="006B2DB8" w:rsidP="006B2DB8">
            <w:pPr>
              <w:jc w:val="center"/>
              <w:rPr>
                <w:rFonts w:ascii="Calibri" w:hAnsi="Calibri"/>
                <w:sz w:val="20"/>
                <w:szCs w:val="20"/>
              </w:rPr>
            </w:pPr>
            <w:r>
              <w:rPr>
                <w:rFonts w:ascii="Calibri" w:hAnsi="Calibri"/>
                <w:sz w:val="20"/>
                <w:szCs w:val="20"/>
              </w:rPr>
              <w:t>703</w:t>
            </w:r>
          </w:p>
        </w:tc>
        <w:tc>
          <w:tcPr>
            <w:tcW w:w="1160" w:type="dxa"/>
            <w:tcBorders>
              <w:top w:val="nil"/>
              <w:left w:val="nil"/>
              <w:bottom w:val="nil"/>
              <w:right w:val="nil"/>
            </w:tcBorders>
            <w:shd w:val="clear" w:color="auto" w:fill="auto"/>
            <w:noWrap/>
            <w:vAlign w:val="bottom"/>
          </w:tcPr>
          <w:p w:rsidR="006B2DB8" w:rsidRDefault="006B2DB8" w:rsidP="006B2DB8">
            <w:pPr>
              <w:jc w:val="center"/>
              <w:rPr>
                <w:rFonts w:ascii="Calibri" w:hAnsi="Calibri"/>
                <w:sz w:val="20"/>
                <w:szCs w:val="20"/>
              </w:rPr>
            </w:pPr>
            <w:r>
              <w:rPr>
                <w:rFonts w:ascii="Calibri" w:hAnsi="Calibri"/>
                <w:sz w:val="20"/>
                <w:szCs w:val="20"/>
              </w:rPr>
              <w:t>865</w:t>
            </w:r>
          </w:p>
        </w:tc>
      </w:tr>
      <w:tr w:rsidR="006B2DB8" w:rsidTr="003D3FC0">
        <w:trPr>
          <w:gridBefore w:val="1"/>
          <w:wBefore w:w="93" w:type="dxa"/>
          <w:trHeight w:val="255"/>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6B2DB8" w:rsidRDefault="006B2DB8" w:rsidP="006B2DB8">
            <w:pPr>
              <w:rPr>
                <w:rFonts w:ascii="Calibri" w:hAnsi="Calibri"/>
                <w:sz w:val="20"/>
                <w:szCs w:val="20"/>
              </w:rPr>
            </w:pPr>
            <w:r>
              <w:rPr>
                <w:rFonts w:ascii="Calibri" w:hAnsi="Calibri"/>
                <w:sz w:val="20"/>
                <w:szCs w:val="20"/>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6B2DB8" w:rsidRDefault="006B2DB8" w:rsidP="006B2DB8">
            <w:pPr>
              <w:jc w:val="center"/>
              <w:rPr>
                <w:rFonts w:ascii="Calibri" w:hAnsi="Calibri"/>
                <w:sz w:val="20"/>
                <w:szCs w:val="20"/>
              </w:rPr>
            </w:pPr>
            <w:r>
              <w:rPr>
                <w:rFonts w:ascii="Calibri" w:hAnsi="Calibri"/>
                <w:sz w:val="20"/>
                <w:szCs w:val="20"/>
              </w:rPr>
              <w:t>0.0039</w:t>
            </w:r>
          </w:p>
        </w:tc>
        <w:tc>
          <w:tcPr>
            <w:tcW w:w="1160" w:type="dxa"/>
            <w:gridSpan w:val="3"/>
            <w:tcBorders>
              <w:top w:val="nil"/>
              <w:left w:val="nil"/>
              <w:bottom w:val="single" w:sz="4" w:space="0" w:color="000000"/>
              <w:right w:val="single" w:sz="4" w:space="0" w:color="auto"/>
            </w:tcBorders>
            <w:shd w:val="clear" w:color="auto" w:fill="auto"/>
            <w:noWrap/>
            <w:vAlign w:val="bottom"/>
            <w:hideMark/>
          </w:tcPr>
          <w:p w:rsidR="006B2DB8" w:rsidRDefault="006B2DB8" w:rsidP="006B2DB8">
            <w:pPr>
              <w:jc w:val="center"/>
              <w:rPr>
                <w:rFonts w:ascii="Calibri" w:hAnsi="Calibri"/>
                <w:sz w:val="20"/>
                <w:szCs w:val="20"/>
              </w:rPr>
            </w:pPr>
            <w:r>
              <w:rPr>
                <w:rFonts w:ascii="Calibri" w:hAnsi="Calibri"/>
                <w:sz w:val="20"/>
                <w:szCs w:val="20"/>
              </w:rPr>
              <w:t>0.0067</w:t>
            </w:r>
          </w:p>
        </w:tc>
        <w:tc>
          <w:tcPr>
            <w:tcW w:w="1160" w:type="dxa"/>
            <w:gridSpan w:val="2"/>
            <w:tcBorders>
              <w:top w:val="nil"/>
              <w:left w:val="nil"/>
              <w:bottom w:val="single" w:sz="4" w:space="0" w:color="000000"/>
              <w:right w:val="nil"/>
            </w:tcBorders>
            <w:shd w:val="clear" w:color="auto" w:fill="auto"/>
            <w:noWrap/>
            <w:vAlign w:val="bottom"/>
          </w:tcPr>
          <w:p w:rsidR="006B2DB8" w:rsidRDefault="006B2DB8" w:rsidP="006B2DB8">
            <w:pPr>
              <w:jc w:val="center"/>
              <w:rPr>
                <w:rFonts w:ascii="Calibri" w:hAnsi="Calibri"/>
                <w:sz w:val="20"/>
                <w:szCs w:val="20"/>
              </w:rPr>
            </w:pPr>
            <w:r>
              <w:rPr>
                <w:rFonts w:ascii="Calibri" w:hAnsi="Calibri"/>
                <w:sz w:val="20"/>
                <w:szCs w:val="20"/>
              </w:rPr>
              <w:t>0.0082</w:t>
            </w:r>
          </w:p>
        </w:tc>
        <w:tc>
          <w:tcPr>
            <w:tcW w:w="1160" w:type="dxa"/>
            <w:tcBorders>
              <w:top w:val="nil"/>
              <w:left w:val="nil"/>
              <w:bottom w:val="single" w:sz="4" w:space="0" w:color="000000"/>
              <w:right w:val="nil"/>
            </w:tcBorders>
            <w:shd w:val="clear" w:color="auto" w:fill="auto"/>
            <w:noWrap/>
            <w:vAlign w:val="bottom"/>
          </w:tcPr>
          <w:p w:rsidR="006B2DB8" w:rsidRDefault="006B2DB8" w:rsidP="006B2DB8">
            <w:pPr>
              <w:jc w:val="center"/>
              <w:rPr>
                <w:rFonts w:ascii="Calibri" w:hAnsi="Calibri"/>
                <w:sz w:val="20"/>
                <w:szCs w:val="20"/>
              </w:rPr>
            </w:pPr>
            <w:r>
              <w:rPr>
                <w:rFonts w:ascii="Calibri" w:hAnsi="Calibri"/>
                <w:sz w:val="20"/>
                <w:szCs w:val="20"/>
              </w:rPr>
              <w:t>0.002</w:t>
            </w:r>
          </w:p>
        </w:tc>
      </w:tr>
      <w:tr w:rsidR="006B2DB8" w:rsidRPr="00322CEC" w:rsidTr="00B12788">
        <w:trPr>
          <w:gridBefore w:val="1"/>
          <w:wBefore w:w="93" w:type="dxa"/>
          <w:trHeight w:val="255"/>
        </w:trPr>
        <w:tc>
          <w:tcPr>
            <w:tcW w:w="3760" w:type="dxa"/>
            <w:gridSpan w:val="7"/>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6B2DB8" w:rsidRPr="00322CEC" w:rsidRDefault="006B2DB8" w:rsidP="006B2DB8">
            <w:pPr>
              <w:jc w:val="center"/>
              <w:rPr>
                <w:rFonts w:ascii="Calibri" w:eastAsia="Times New Roman" w:hAnsi="Calibri" w:cs="Times New Roman"/>
                <w:color w:val="auto"/>
                <w:sz w:val="20"/>
                <w:szCs w:val="20"/>
                <w:lang w:eastAsia="en-US" w:bidi="ar-SA"/>
              </w:rPr>
            </w:pPr>
          </w:p>
        </w:tc>
      </w:tr>
      <w:tr w:rsidR="006B2DB8" w:rsidRPr="00322CEC" w:rsidTr="00B12788">
        <w:trPr>
          <w:gridBefore w:val="1"/>
          <w:wBefore w:w="93" w:type="dxa"/>
          <w:trHeight w:val="255"/>
        </w:trPr>
        <w:tc>
          <w:tcPr>
            <w:tcW w:w="3417" w:type="dxa"/>
            <w:gridSpan w:val="5"/>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6B2DB8" w:rsidRPr="00322CEC" w:rsidRDefault="006B2DB8" w:rsidP="006B2DB8">
            <w:pPr>
              <w:rPr>
                <w:rFonts w:ascii="Calibri" w:eastAsia="Times New Roman" w:hAnsi="Calibri" w:cs="Times New Roman"/>
                <w:color w:val="auto"/>
                <w:sz w:val="20"/>
                <w:szCs w:val="20"/>
                <w:lang w:eastAsia="en-US" w:bidi="ar-SA"/>
              </w:rPr>
            </w:pPr>
          </w:p>
        </w:tc>
      </w:tr>
      <w:tr w:rsidR="006B2DB8" w:rsidTr="00B12788">
        <w:trPr>
          <w:gridAfter w:val="2"/>
          <w:wAfter w:w="1253" w:type="dxa"/>
          <w:trHeight w:hRule="exact" w:val="23"/>
        </w:trPr>
        <w:tc>
          <w:tcPr>
            <w:tcW w:w="1440" w:type="dxa"/>
            <w:gridSpan w:val="2"/>
            <w:shd w:val="clear" w:color="auto" w:fill="auto"/>
            <w:vAlign w:val="bottom"/>
          </w:tcPr>
          <w:p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6B2DB8" w:rsidRDefault="006B2DB8" w:rsidP="006B2DB8">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6B2DB8" w:rsidRDefault="006B2DB8" w:rsidP="006B2DB8">
            <w:pPr>
              <w:spacing w:line="360" w:lineRule="auto"/>
              <w:jc w:val="both"/>
              <w:rPr>
                <w:rFonts w:ascii="Calibri" w:eastAsia="Times New Roman" w:hAnsi="Calibri" w:cs="Times New Roman"/>
                <w:sz w:val="20"/>
                <w:szCs w:val="20"/>
                <w:lang w:eastAsia="en-US" w:bidi="ar-SA"/>
              </w:rPr>
            </w:pPr>
          </w:p>
        </w:tc>
      </w:tr>
    </w:tbl>
    <w:p w:rsidR="0021637B" w:rsidRDefault="00B12788" w:rsidP="00CB0C55">
      <w:pPr>
        <w:pStyle w:val="Caption"/>
        <w:spacing w:line="360" w:lineRule="auto"/>
        <w:ind w:firstLine="720"/>
        <w:jc w:val="both"/>
        <w:rPr>
          <w:i w:val="0"/>
        </w:rPr>
      </w:pPr>
      <w:r>
        <w:rPr>
          <w:i w:val="0"/>
        </w:rPr>
        <w:br w:type="textWrapping" w:clear="all"/>
      </w:r>
    </w:p>
    <w:p w:rsidR="0021637B" w:rsidRDefault="0021637B" w:rsidP="00CB0C55">
      <w:pPr>
        <w:pStyle w:val="Caption"/>
        <w:spacing w:line="360" w:lineRule="auto"/>
        <w:ind w:firstLine="720"/>
        <w:jc w:val="both"/>
        <w:rPr>
          <w:i w:val="0"/>
        </w:rPr>
      </w:pPr>
    </w:p>
    <w:p w:rsidR="00A41EAF" w:rsidRDefault="00A41EAF" w:rsidP="00A41EAF">
      <w:pPr>
        <w:pStyle w:val="Heading2"/>
      </w:pPr>
      <w:r>
        <w:t>Health transition analysis</w:t>
      </w:r>
    </w:p>
    <w:p w:rsidR="00A41EAF" w:rsidRDefault="00A41EAF" w:rsidP="00A41EAF"/>
    <w:p w:rsidR="003F2F6E" w:rsidRDefault="00A41EAF" w:rsidP="003F2F6E">
      <w:pPr>
        <w:spacing w:line="360" w:lineRule="auto"/>
      </w:pPr>
      <w:r>
        <w:t>The results of the regression on health transitions can be seen in table</w:t>
      </w:r>
      <w:r w:rsidR="00BF455F">
        <w:t>!@#$!@#</w:t>
      </w:r>
      <w:r>
        <w:t xml:space="preserve"> </w:t>
      </w:r>
      <w:r>
        <w:rPr>
          <w:b/>
        </w:rPr>
        <w:t>9</w:t>
      </w:r>
      <w:r w:rsidR="00BF455F">
        <w:rPr>
          <w:b/>
        </w:rPr>
        <w:t>!@#$!@#</w:t>
      </w:r>
      <w:r>
        <w:t>. The effect of wealth on a transition from healthy to unhealthy is insignificant</w:t>
      </w:r>
      <w:r w:rsidR="00F621FB">
        <w:t xml:space="preserve">, therefore </w:t>
      </w:r>
      <w:r w:rsidR="00574A4A">
        <w:t>it</w:t>
      </w:r>
      <w:r w:rsidR="00F621FB">
        <w:t xml:space="preserve"> can</w:t>
      </w:r>
      <w:r w:rsidR="00574A4A">
        <w:t xml:space="preserve"> be</w:t>
      </w:r>
      <w:r w:rsidR="00F621FB">
        <w:t xml:space="preserve"> conclud</w:t>
      </w:r>
      <w:r w:rsidR="00574A4A">
        <w:t xml:space="preserve">ed </w:t>
      </w:r>
      <w:r w:rsidR="00F621FB">
        <w:t xml:space="preserve">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w:t>
      </w:r>
      <w:r w:rsidR="003F2F6E">
        <w:lastRenderedPageBreak/>
        <w:t>gender coefficient is significant (p &lt; 10%) in the 2007 – 2013 regression which tells us that in that period a male had a 7.3 percentage point higher chance of decreasing in health scale than a woman</w:t>
      </w:r>
      <w:r w:rsidR="00BF455F">
        <w:t>.</w:t>
      </w:r>
      <w:r w:rsidR="00F621FB">
        <w:t xml:space="preserve"> The results found here contradict the findings of Cai (2009)</w:t>
      </w:r>
      <w:r w:rsidR="003F2F6E">
        <w:t xml:space="preserve"> as she did find a significant effect from wealth on the transition chance.</w:t>
      </w:r>
    </w:p>
    <w:p w:rsidR="00A41EAF" w:rsidRPr="00A41EAF" w:rsidRDefault="00A41EAF" w:rsidP="00A41EAF"/>
    <w:p w:rsidR="00A41EAF" w:rsidRDefault="00A41EAF" w:rsidP="00A41EAF">
      <w:pPr>
        <w:pStyle w:val="Caption"/>
        <w:keepNext/>
      </w:pPr>
      <w:r>
        <w:t xml:space="preserve">Table </w:t>
      </w:r>
      <w:r w:rsidR="003F2044">
        <w:rPr>
          <w:noProof/>
        </w:rPr>
        <w:fldChar w:fldCharType="begin"/>
      </w:r>
      <w:r w:rsidR="00DF29E2">
        <w:rPr>
          <w:noProof/>
        </w:rPr>
        <w:instrText xml:space="preserve"> SEQ Table \* ARABIC </w:instrText>
      </w:r>
      <w:r w:rsidR="003F2044">
        <w:rPr>
          <w:noProof/>
        </w:rPr>
        <w:fldChar w:fldCharType="separate"/>
      </w:r>
      <w:r w:rsidR="00200608">
        <w:rPr>
          <w:noProof/>
        </w:rPr>
        <w:t>10</w:t>
      </w:r>
      <w:r w:rsidR="003F2044">
        <w:rPr>
          <w:noProof/>
        </w:rPr>
        <w:fldChar w:fldCharType="end"/>
      </w:r>
      <w:r>
        <w:t>: Health transition results</w:t>
      </w:r>
    </w:p>
    <w:p w:rsidR="00A41EAF" w:rsidRDefault="00A41EAF" w:rsidP="00A41EAF">
      <w:pPr>
        <w:pStyle w:val="Caption"/>
        <w:keepNext/>
      </w:pPr>
    </w:p>
    <w:tbl>
      <w:tblPr>
        <w:tblW w:w="3852" w:type="dxa"/>
        <w:jc w:val="center"/>
        <w:tblLook w:val="04A0" w:firstRow="1" w:lastRow="0" w:firstColumn="1" w:lastColumn="0" w:noHBand="0" w:noVBand="1"/>
      </w:tblPr>
      <w:tblGrid>
        <w:gridCol w:w="1440"/>
        <w:gridCol w:w="1206"/>
        <w:gridCol w:w="1206"/>
      </w:tblGrid>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r>
      <w:tr w:rsidR="00F17AC2"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2013-2017</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transitioned</w:t>
            </w:r>
          </w:p>
        </w:tc>
      </w:tr>
      <w:tr w:rsidR="00F17AC2"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 </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-0.0322***</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(0.0121)</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-0.0068</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(0.0129)</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-0.0140</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(0.0395)</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(0.0000)</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0.0411***</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(0.0115)</w:t>
            </w: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p>
        </w:tc>
      </w:tr>
      <w:tr w:rsidR="00F17AC2" w:rsidTr="00F17AC2">
        <w:trPr>
          <w:trHeight w:val="255"/>
          <w:jc w:val="center"/>
        </w:trPr>
        <w:tc>
          <w:tcPr>
            <w:tcW w:w="1440"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588</w:t>
            </w:r>
          </w:p>
        </w:tc>
      </w:tr>
      <w:tr w:rsidR="00F17AC2"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rsidR="00F17AC2" w:rsidRDefault="00F17AC2">
            <w:pPr>
              <w:jc w:val="center"/>
              <w:rPr>
                <w:rFonts w:ascii="Calibri" w:hAnsi="Calibri"/>
                <w:sz w:val="20"/>
                <w:szCs w:val="20"/>
              </w:rPr>
            </w:pPr>
            <w:r>
              <w:rPr>
                <w:rFonts w:ascii="Calibri" w:hAnsi="Calibri"/>
                <w:sz w:val="20"/>
                <w:szCs w:val="20"/>
              </w:rPr>
              <w:t>0.0175</w:t>
            </w:r>
          </w:p>
        </w:tc>
      </w:tr>
      <w:tr w:rsidR="00F17AC2" w:rsidTr="00F17AC2">
        <w:trPr>
          <w:trHeight w:val="255"/>
          <w:jc w:val="center"/>
        </w:trPr>
        <w:tc>
          <w:tcPr>
            <w:tcW w:w="3852" w:type="dxa"/>
            <w:gridSpan w:val="3"/>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Standard errors in parentheses</w:t>
            </w:r>
          </w:p>
        </w:tc>
      </w:tr>
      <w:tr w:rsidR="00F17AC2" w:rsidTr="00F17AC2">
        <w:trPr>
          <w:trHeight w:val="255"/>
          <w:jc w:val="center"/>
        </w:trPr>
        <w:tc>
          <w:tcPr>
            <w:tcW w:w="2646" w:type="dxa"/>
            <w:gridSpan w:val="2"/>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rsidR="00F17AC2" w:rsidRDefault="00F17AC2">
            <w:pPr>
              <w:rPr>
                <w:rFonts w:ascii="Calibri" w:hAnsi="Calibri"/>
                <w:sz w:val="20"/>
                <w:szCs w:val="20"/>
              </w:rPr>
            </w:pPr>
          </w:p>
        </w:tc>
      </w:tr>
    </w:tbl>
    <w:p w:rsidR="00A41EAF" w:rsidRPr="00A41EAF" w:rsidRDefault="00A41EAF" w:rsidP="00A41EAF"/>
    <w:p w:rsidR="0021637B" w:rsidRDefault="00CB0C55" w:rsidP="00A41EAF">
      <w:pPr>
        <w:pStyle w:val="Heading1"/>
      </w:pPr>
      <w:r>
        <w:t xml:space="preserve">Robustness </w:t>
      </w:r>
      <w:r w:rsidR="000F3B0C">
        <w:t>tests</w:t>
      </w:r>
    </w:p>
    <w:p w:rsidR="0021637B" w:rsidRDefault="00CB0C55" w:rsidP="00CC1856">
      <w:pPr>
        <w:spacing w:line="360" w:lineRule="auto"/>
      </w:pPr>
      <w:r>
        <w:t xml:space="preserve">To test whether the results are valid, several robustness </w:t>
      </w:r>
      <w:r w:rsidR="003F4713">
        <w:t>tests</w:t>
      </w:r>
      <w:r>
        <w:t xml:space="preserve"> </w:t>
      </w:r>
      <w:r w:rsidR="00BF455F">
        <w:t>were</w:t>
      </w:r>
      <w:r w:rsidR="003D3FC0">
        <w:t xml:space="preserve"> conducted</w:t>
      </w:r>
      <w:r w:rsidR="00BF455F">
        <w:t xml:space="preserve">. First </w:t>
      </w:r>
      <w:r>
        <w:t xml:space="preserve">a pretreatment </w:t>
      </w:r>
      <w:r w:rsidR="003F4713">
        <w:t>test</w:t>
      </w:r>
      <w:r>
        <w:t xml:space="preserve"> to test that the health of the control and treatment group behaved in the same way before the treatment</w:t>
      </w:r>
      <w:r w:rsidR="00BF455F">
        <w:t xml:space="preserve"> was conducted. This</w:t>
      </w:r>
      <w:r w:rsidR="003F4713">
        <w:t xml:space="preserve"> test</w:t>
      </w:r>
      <w:r w:rsidR="00BF455F">
        <w:t>s</w:t>
      </w:r>
      <w:r w:rsidR="003F4713">
        <w:t xml:space="preserve"> whether the parallel trend assumption of the difference in difference</w:t>
      </w:r>
      <w:r w:rsidR="005F1CA0">
        <w:t>s</w:t>
      </w:r>
      <w:r w:rsidR="003F4713">
        <w:t xml:space="preserve"> analysis</w:t>
      </w:r>
      <w:r w:rsidR="006A6958">
        <w:t xml:space="preserve"> </w:t>
      </w:r>
      <w:r w:rsidR="00BF455F">
        <w:t>is</w:t>
      </w:r>
      <w:r w:rsidR="003E0A3D">
        <w:t xml:space="preserve">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w:t>
      </w:r>
      <w:r w:rsidR="003D3FC0">
        <w:t>would threaten the robustness of the DID analysis</w:t>
      </w:r>
      <w:r w:rsidR="002E77DB">
        <w:t>.</w:t>
      </w:r>
      <w:r>
        <w:t xml:space="preserve"> Thirdly, </w:t>
      </w:r>
      <w:r w:rsidR="003F4713">
        <w:t>tests</w:t>
      </w:r>
      <w:r>
        <w:t xml:space="preserve"> </w:t>
      </w:r>
      <w:r w:rsidR="00BF455F">
        <w:t>were conducted</w:t>
      </w:r>
      <w:r>
        <w:t xml:space="preserve"> to see whether or not 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t>
      </w:r>
      <w:r w:rsidR="003F4713">
        <w:lastRenderedPageBreak/>
        <w:t>wealth difference</w:t>
      </w:r>
      <w:r w:rsidR="002E77DB">
        <w:t xml:space="preserve"> caused by the treatment</w:t>
      </w:r>
      <w:r w:rsidR="003F4713">
        <w:t xml:space="preserve"> or that</w:t>
      </w:r>
      <w:r w:rsidR="003D3FC0">
        <w:t xml:space="preserve"> different</w:t>
      </w:r>
      <w:r w:rsidR="003F4713">
        <w:t xml:space="preserve"> changes</w:t>
      </w:r>
      <w:r w:rsidR="002E77DB">
        <w:t xml:space="preserve"> in characteristics</w:t>
      </w:r>
      <w:r w:rsidR="003D3FC0">
        <w:t xml:space="preserve"> between groups</w:t>
      </w:r>
      <w:r w:rsidR="003F4713">
        <w:t xml:space="preserve"> </w:t>
      </w:r>
      <w:r w:rsidR="002E77DB">
        <w:t>may also</w:t>
      </w:r>
      <w:r w:rsidR="003F4713">
        <w:t xml:space="preserve"> have played a part.</w:t>
      </w:r>
    </w:p>
    <w:p w:rsidR="002624B1" w:rsidRDefault="002624B1" w:rsidP="002E77DB">
      <w:pPr>
        <w:spacing w:line="360" w:lineRule="auto"/>
        <w:ind w:firstLine="720"/>
      </w:pPr>
      <w:r>
        <w:t>The way the average health behaves can be visually inspected. Figure 2 shows the fitted lines of average health throughout the years 1995 to 2006. One assumption of the difference in differences analysis is that the average health of the control and treatment group behave exactly the same</w:t>
      </w:r>
      <w:r w:rsidR="009A57E8">
        <w:t xml:space="preserve">. </w:t>
      </w:r>
      <w:r w:rsidR="003D3FC0">
        <w:t>It is impossible to</w:t>
      </w:r>
      <w:r w:rsidR="009A57E8">
        <w:t xml:space="preserve"> know if it is the case during the treatment period but</w:t>
      </w:r>
      <w:r w:rsidR="003D3FC0">
        <w:t xml:space="preserve"> it </w:t>
      </w:r>
      <w:r w:rsidR="009A57E8">
        <w:t>could</w:t>
      </w:r>
      <w:r w:rsidR="00BF455F">
        <w:t xml:space="preserve"> at least be</w:t>
      </w:r>
      <w:r w:rsidR="009A57E8">
        <w:t xml:space="preserve"> check</w:t>
      </w:r>
      <w:r w:rsidR="003D3FC0">
        <w:t>ed</w:t>
      </w:r>
      <w:r w:rsidR="009A57E8">
        <w:t xml:space="preserve"> if </w:t>
      </w:r>
      <w:r>
        <w:t xml:space="preserve">the lines </w:t>
      </w:r>
      <w:r w:rsidR="009A57E8">
        <w:t>are</w:t>
      </w:r>
      <w:r>
        <w:t xml:space="preserve"> parallel</w:t>
      </w:r>
      <w:r w:rsidR="00395D0F">
        <w:t xml:space="preserve"> in the pretreatment period</w:t>
      </w:r>
      <w:r>
        <w:t xml:space="preserve"> (the parallel lines assumption).</w:t>
      </w:r>
      <w:r w:rsidR="009A57E8">
        <w:t xml:space="preserve"> I</w:t>
      </w:r>
      <w:r w:rsidR="00EC6C70">
        <w:t>f</w:t>
      </w:r>
      <w:r w:rsidR="009A57E8">
        <w:t xml:space="preserve"> this is the case this g</w:t>
      </w:r>
      <w:r w:rsidR="00574A4A">
        <w:t>ives</w:t>
      </w:r>
      <w:r w:rsidR="009A57E8">
        <w:t xml:space="preserve"> some confidence that the assumption is met in the treatment period.</w:t>
      </w:r>
      <w:r>
        <w:t xml:space="preserve"> Otherwise there will be a difference in the differences by simply dividing the observations in different grou</w:t>
      </w:r>
      <w:r w:rsidR="009F4386">
        <w:t xml:space="preserve">ps. In figure 2 it can be seen </w:t>
      </w:r>
      <w:r>
        <w:t>that the lines are not perfectly parallel. They do however act in the same way, they are both descending</w:t>
      </w:r>
      <w:r w:rsidR="009A57E8">
        <w:t xml:space="preserve"> but worryingly the differences are</w:t>
      </w:r>
      <w:r w:rsidR="00395D0F">
        <w:t xml:space="preserve"> slightly</w:t>
      </w:r>
      <w:r w:rsidR="009A57E8">
        <w:t xml:space="preserve"> increasing over time</w:t>
      </w:r>
      <w:r>
        <w:t>. To test the severity of the violation of the assumption, an D</w:t>
      </w:r>
      <w:r w:rsidR="00395D0F">
        <w:t>I</w:t>
      </w:r>
      <w:r>
        <w:t>D analysis with a placebo intervention</w:t>
      </w:r>
      <w:r w:rsidR="00EC6C70">
        <w:t xml:space="preserve"> with 2001 as the pretreatment period and 2006 as the posttreatment period</w:t>
      </w:r>
      <w:r>
        <w:t xml:space="preserve"> is run to see if the</w:t>
      </w:r>
      <w:r w:rsidR="00395D0F">
        <w:t xml:space="preserve"> change of</w:t>
      </w:r>
      <w:r>
        <w:t xml:space="preserve"> health of both groups differ significantly. </w:t>
      </w:r>
    </w:p>
    <w:p w:rsidR="002624B1" w:rsidRDefault="002624B1" w:rsidP="00CB0C55">
      <w:pPr>
        <w:spacing w:line="360" w:lineRule="auto"/>
        <w:jc w:val="both"/>
      </w:pPr>
    </w:p>
    <w:p w:rsidR="002624B1" w:rsidRDefault="002624B1" w:rsidP="00EC6C70">
      <w:pPr>
        <w:keepNext/>
        <w:spacing w:line="360" w:lineRule="auto"/>
        <w:jc w:val="center"/>
      </w:pPr>
      <w:r>
        <w:rPr>
          <w:noProof/>
          <w:lang w:eastAsia="en-US" w:bidi="ar-SA"/>
        </w:rPr>
        <w:drawing>
          <wp:inline distT="0" distB="0" distL="0" distR="0">
            <wp:extent cx="4049553" cy="294513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49553"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rsidR="003F2044">
        <w:fldChar w:fldCharType="begin"/>
      </w:r>
      <w:r>
        <w:instrText>SEQ Figure \* ARABIC</w:instrText>
      </w:r>
      <w:r w:rsidR="003F2044">
        <w:fldChar w:fldCharType="separate"/>
      </w:r>
      <w:r w:rsidR="00200608">
        <w:rPr>
          <w:noProof/>
        </w:rPr>
        <w:t>2</w:t>
      </w:r>
      <w:r w:rsidR="003F2044">
        <w:fldChar w:fldCharType="end"/>
      </w:r>
      <w:r>
        <w:t>: fitted lines through the average health of the control and treatment group</w:t>
      </w:r>
    </w:p>
    <w:p w:rsidR="002624B1" w:rsidRDefault="002624B1" w:rsidP="00CB0C55">
      <w:pPr>
        <w:spacing w:line="360" w:lineRule="auto"/>
        <w:jc w:val="both"/>
      </w:pPr>
    </w:p>
    <w:p w:rsidR="00EC6C70" w:rsidRDefault="00CB0C55" w:rsidP="002624B1">
      <w:pPr>
        <w:spacing w:line="360" w:lineRule="auto"/>
        <w:ind w:firstLine="720"/>
        <w:jc w:val="both"/>
      </w:pPr>
      <w:r>
        <w:tab/>
      </w:r>
      <w:r w:rsidR="002624B1">
        <w:t>The results of the D</w:t>
      </w:r>
      <w:r w:rsidR="00395D0F">
        <w:t>I</w:t>
      </w:r>
      <w:r w:rsidR="002624B1">
        <w:t xml:space="preserve">D analysis with the placebo intervention can be seen in table 9. Here the pretreatment and posttreatment years are respectively 2001 and 2006. The DID coefficient is insignificant which implies that although the lines do not behave in exactly the same way, they do not </w:t>
      </w:r>
      <w:r w:rsidR="00395D0F">
        <w:t xml:space="preserve">change </w:t>
      </w:r>
      <w:r w:rsidR="002624B1">
        <w:t>significant</w:t>
      </w:r>
      <w:r w:rsidR="00395D0F">
        <w:t>ly differently</w:t>
      </w:r>
      <w:r w:rsidR="009F4386">
        <w:t xml:space="preserve">. </w:t>
      </w:r>
      <w:r w:rsidR="002624B1">
        <w:t xml:space="preserve">Therefore, even though the parallel lines assumption is not perfectly met, the results are still useable but not as robust as possible. </w:t>
      </w:r>
    </w:p>
    <w:p w:rsidR="002624B1" w:rsidRDefault="002624B1" w:rsidP="002624B1">
      <w:pPr>
        <w:spacing w:line="360" w:lineRule="auto"/>
        <w:ind w:firstLine="720"/>
        <w:jc w:val="both"/>
      </w:pPr>
    </w:p>
    <w:p w:rsidR="0021637B" w:rsidRDefault="00CB0C55" w:rsidP="00CB0C55">
      <w:pPr>
        <w:pStyle w:val="Caption"/>
        <w:keepNext/>
        <w:spacing w:line="360" w:lineRule="auto"/>
        <w:jc w:val="both"/>
      </w:pPr>
      <w:r>
        <w:lastRenderedPageBreak/>
        <w:t xml:space="preserve">Table </w:t>
      </w:r>
      <w:r w:rsidR="003F2044">
        <w:fldChar w:fldCharType="begin"/>
      </w:r>
      <w:r>
        <w:instrText>SEQ Table \* ARABIC</w:instrText>
      </w:r>
      <w:r w:rsidR="003F2044">
        <w:fldChar w:fldCharType="separate"/>
      </w:r>
      <w:r w:rsidR="00200608">
        <w:rPr>
          <w:noProof/>
        </w:rPr>
        <w:t>11</w:t>
      </w:r>
      <w:r w:rsidR="003F2044">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rsidTr="00EC6C70">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rsidTr="00EC6C70">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rsidTr="00EC6C70">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rsidTr="00EC6C70">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3"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rsidTr="00EC6C70">
        <w:trPr>
          <w:trHeight w:val="255"/>
          <w:jc w:val="center"/>
        </w:trPr>
        <w:tc>
          <w:tcPr>
            <w:tcW w:w="1439" w:type="dxa"/>
            <w:shd w:val="clear" w:color="auto" w:fill="auto"/>
            <w:vAlign w:val="bottom"/>
          </w:tcPr>
          <w:p w:rsidR="00EC6C70" w:rsidRDefault="009F4386"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w:t>
            </w:r>
            <w:r w:rsidR="00EC6C70">
              <w:rPr>
                <w:rFonts w:ascii="Calibri" w:eastAsia="Times New Roman" w:hAnsi="Calibri" w:cs="Times New Roman"/>
                <w:sz w:val="20"/>
                <w:szCs w:val="20"/>
                <w:lang w:eastAsia="en-US" w:bidi="ar-SA"/>
              </w:rPr>
              <w:t>ime</w:t>
            </w: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rsidTr="00EC6C70">
        <w:trPr>
          <w:trHeight w:hRule="exact" w:val="23"/>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rsidTr="00EC6C70">
        <w:trPr>
          <w:trHeight w:val="255"/>
          <w:jc w:val="center"/>
        </w:trPr>
        <w:tc>
          <w:tcPr>
            <w:tcW w:w="1439"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rsidTr="00EC6C70">
        <w:trPr>
          <w:trHeight w:val="255"/>
          <w:jc w:val="center"/>
        </w:trPr>
        <w:tc>
          <w:tcPr>
            <w:tcW w:w="1439" w:type="dxa"/>
            <w:tcBorders>
              <w:top w:val="single" w:sz="4" w:space="0" w:color="000001"/>
              <w:bottom w:val="single" w:sz="4" w:space="0" w:color="000001"/>
            </w:tcBorders>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rsidTr="00EC6C70">
        <w:trPr>
          <w:trHeight w:val="255"/>
          <w:jc w:val="center"/>
        </w:trPr>
        <w:tc>
          <w:tcPr>
            <w:tcW w:w="3212" w:type="dxa"/>
            <w:gridSpan w:val="2"/>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rsidTr="00EC6C70">
        <w:trPr>
          <w:trHeight w:val="255"/>
          <w:jc w:val="center"/>
        </w:trPr>
        <w:tc>
          <w:tcPr>
            <w:tcW w:w="3212" w:type="dxa"/>
            <w:gridSpan w:val="2"/>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rsidTr="00EC6C70">
        <w:trPr>
          <w:trHeight w:val="255"/>
          <w:jc w:val="center"/>
        </w:trPr>
        <w:tc>
          <w:tcPr>
            <w:tcW w:w="3212" w:type="dxa"/>
            <w:gridSpan w:val="2"/>
            <w:shd w:val="clear" w:color="auto" w:fill="auto"/>
            <w:vAlign w:val="bottom"/>
          </w:tcPr>
          <w:p w:rsidR="00EC6C70" w:rsidRDefault="00EC6C70" w:rsidP="00CB0C55">
            <w:pPr>
              <w:spacing w:line="360" w:lineRule="auto"/>
              <w:jc w:val="both"/>
              <w:rPr>
                <w:rFonts w:ascii="Calibri" w:eastAsia="Times New Roman" w:hAnsi="Calibri" w:cs="Times New Roman"/>
                <w:sz w:val="20"/>
                <w:szCs w:val="20"/>
                <w:lang w:eastAsia="en-US" w:bidi="ar-SA"/>
              </w:rPr>
            </w:pPr>
          </w:p>
        </w:tc>
      </w:tr>
    </w:tbl>
    <w:p w:rsidR="0021637B" w:rsidRDefault="003E0A3D" w:rsidP="003E0A3D">
      <w:pPr>
        <w:pStyle w:val="Heading2"/>
      </w:pPr>
      <w:r>
        <w:t>Mechanism tests</w:t>
      </w:r>
    </w:p>
    <w:p w:rsidR="002E77DB" w:rsidRPr="002E77DB" w:rsidRDefault="002E77DB" w:rsidP="002E77DB"/>
    <w:p w:rsidR="002E77DB" w:rsidRDefault="002E77DB" w:rsidP="00CB0C55">
      <w:pPr>
        <w:spacing w:line="360" w:lineRule="auto"/>
        <w:jc w:val="both"/>
      </w:pPr>
      <w:r>
        <w:t>In order to see if the financial crisis only affected wealth in a different way</w:t>
      </w:r>
      <w:r w:rsidR="00395D0F">
        <w:t xml:space="preserve"> and not income</w:t>
      </w:r>
      <w:r>
        <w:t xml:space="preserve"> in the control and treatment group, two mechanism tests were conducted. One on the effect of the treatment on wealth and one on income.</w:t>
      </w:r>
    </w:p>
    <w:p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w:t>
      </w:r>
      <w:r w:rsidR="00A07C78">
        <w:t>12</w:t>
      </w:r>
      <w:r>
        <w:t>. This test test</w:t>
      </w:r>
      <w:r w:rsidR="00BF455F">
        <w:t>ed w</w:t>
      </w:r>
      <w:r>
        <w:t>hether or not the mechanism had the desired effect on the net wealth. This was also done using a D</w:t>
      </w:r>
      <w:r w:rsidR="00395D0F">
        <w:t>I</w:t>
      </w:r>
      <w:r>
        <w:t xml:space="preserve">D analysis but this time with the net worth of a person as the dependent variable. If the </w:t>
      </w:r>
      <w:r w:rsidR="00A07C78">
        <w:t>change in housing prices caused by the financial crisis</w:t>
      </w:r>
      <w:r>
        <w:t xml:space="preserve">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FF06A4" w:rsidRDefault="00E52C23" w:rsidP="00FF06A4">
      <w:pPr>
        <w:spacing w:line="360" w:lineRule="auto"/>
        <w:ind w:firstLine="720"/>
        <w:jc w:val="both"/>
      </w:pPr>
      <w:r>
        <w:t xml:space="preserve">As can been seen in table </w:t>
      </w:r>
      <w:r w:rsidR="00A07C78">
        <w:t>12</w:t>
      </w:r>
      <w:r>
        <w:t>, i</w:t>
      </w:r>
      <w:r w:rsidR="00FF06A4">
        <w:t>n the sample where this study only u</w:t>
      </w:r>
      <w:r w:rsidR="00BF455F">
        <w:t>sed</w:t>
      </w:r>
      <w:r w:rsidR="00FF06A4">
        <w:t xml:space="preserve"> recurring individuals, the DID coefficient is significant in the 2007 – 2013 regression without fixed effects and in both the regressions with fixed effects. Since the fixed effects only increase</w:t>
      </w:r>
      <w:r w:rsidR="00A07C78">
        <w:t>s</w:t>
      </w:r>
      <w:r w:rsidR="00FF06A4">
        <w:t xml:space="preserve"> the accuracy of the estimates, it can be concluded</w:t>
      </w:r>
      <w:r>
        <w:t xml:space="preserve"> that in the </w:t>
      </w:r>
      <w:r w:rsidR="00395D0F">
        <w:t>recurring individuals sample</w:t>
      </w:r>
      <w:r>
        <w:t xml:space="preserve"> </w:t>
      </w:r>
      <w:r w:rsidR="00FF06A4">
        <w:t>the treatment did have the desired effect on the net wealth on home owners and home renters.</w:t>
      </w:r>
      <w:r w:rsidR="00883553">
        <w:t xml:space="preserve"> The fact that the fixed effects regression increases accuracy can be seen </w:t>
      </w:r>
      <w:r w:rsidR="00574A4A">
        <w:t>by</w:t>
      </w:r>
      <w:r w:rsidR="00883553">
        <w:t xml:space="preserve"> the fact that the coefficients remain roughly the same while the standard deviations decrease substantially.</w:t>
      </w:r>
      <w:r>
        <w:t xml:space="preserve"> The significant DID coefficients show that because of </w:t>
      </w:r>
      <w:r>
        <w:lastRenderedPageBreak/>
        <w:t xml:space="preserve">the treatment, the change in housing prices, the net wealth of a person in the treatment group, a home owner, changed more than the net wealth of an individual in the control group, a renter. </w:t>
      </w:r>
      <w:r w:rsidR="00A07C78">
        <w:t>The coefficients also show that, as expected, the wealth of the treatment group decreased more than the wealth of the control group in the 2007 – 2013 regression and increased more in the 2013 -2017 regression. Therefore the treatment works as expected in the recurring individuals sample.</w:t>
      </w:r>
    </w:p>
    <w:p w:rsidR="0021637B" w:rsidRDefault="00E52C23" w:rsidP="00A07C78">
      <w:pPr>
        <w:spacing w:line="360" w:lineRule="auto"/>
        <w:ind w:firstLine="720"/>
        <w:jc w:val="both"/>
      </w:pPr>
      <w:r>
        <w:t>In</w:t>
      </w:r>
      <w:r w:rsidR="00795E83">
        <w:t xml:space="preserve"> the all-observations </w:t>
      </w:r>
      <w:r>
        <w:t>sample</w:t>
      </w:r>
      <w:r w:rsidR="00A07C78">
        <w:t xml:space="preserve"> however</w:t>
      </w:r>
      <w:r w:rsidR="00795E83">
        <w:t xml:space="preserve">, the DID coefficient is not significant in both </w:t>
      </w:r>
      <w:r w:rsidR="00786399">
        <w:t>periods</w:t>
      </w:r>
      <w:r w:rsidR="00574A4A">
        <w:t>. T</w:t>
      </w:r>
      <w:r w:rsidR="00786399">
        <w:t>his implies</w:t>
      </w:r>
      <w:r w:rsidR="00795E83">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w:t>
      </w:r>
      <w:r w:rsidR="00A07C78">
        <w:t xml:space="preserve"> in this sample</w:t>
      </w:r>
      <w:r w:rsidR="00786399">
        <w:t xml:space="preserve">. </w:t>
      </w:r>
      <w:r w:rsidR="006606C2">
        <w:t>The coefficients are however correct in them being respective</w:t>
      </w:r>
      <w:r w:rsidR="00395C91">
        <w:t>ly negative and positive. Since</w:t>
      </w:r>
      <w:r w:rsidR="00795E83">
        <w:t xml:space="preserve"> </w:t>
      </w:r>
      <w:r w:rsidR="006606C2">
        <w:t xml:space="preserve">the </w:t>
      </w:r>
      <w:r w:rsidR="00797AFE">
        <w:t>treatment did not have the desired effect</w:t>
      </w:r>
      <w:r w:rsidR="006606C2">
        <w:t xml:space="preserve">, the results of the all-observations </w:t>
      </w:r>
      <w:r w:rsidR="00A07C78">
        <w:t>sample</w:t>
      </w:r>
      <w:r w:rsidR="006606C2">
        <w:t xml:space="preserve"> </w:t>
      </w:r>
      <w:r w:rsidR="00786399">
        <w:t xml:space="preserve">do not tell us whether wealth does or does not have a significant effect on </w:t>
      </w:r>
      <w:r w:rsidR="00797AFE">
        <w:t>health.</w:t>
      </w:r>
      <w:r>
        <w:t xml:space="preserve"> This could possibly be caused by individuals buying or selling a house during the treatment period and therefore moving between the control and treatment period.</w:t>
      </w:r>
      <w:r w:rsidR="00CB0C55">
        <w:br/>
      </w:r>
      <w:r w:rsidR="00CB0C55">
        <w:br/>
        <w:t xml:space="preserve">Table </w:t>
      </w:r>
      <w:r w:rsidR="003F2044">
        <w:fldChar w:fldCharType="begin"/>
      </w:r>
      <w:r w:rsidR="00CB0C55">
        <w:instrText>SEQ Table \* ARABIC</w:instrText>
      </w:r>
      <w:r w:rsidR="003F2044">
        <w:fldChar w:fldCharType="separate"/>
      </w:r>
      <w:r w:rsidR="00200608">
        <w:rPr>
          <w:noProof/>
        </w:rPr>
        <w:t>12</w:t>
      </w:r>
      <w:r w:rsidR="003F2044">
        <w:fldChar w:fldCharType="end"/>
      </w:r>
      <w:r w:rsidR="00CB0C55">
        <w:t>: mechanism check</w:t>
      </w:r>
    </w:p>
    <w:tbl>
      <w:tblPr>
        <w:tblW w:w="9504" w:type="dxa"/>
        <w:tblInd w:w="93" w:type="dxa"/>
        <w:tblLook w:val="04A0" w:firstRow="1" w:lastRow="0" w:firstColumn="1" w:lastColumn="0" w:noHBand="0" w:noVBand="1"/>
      </w:tblPr>
      <w:tblGrid>
        <w:gridCol w:w="52"/>
        <w:gridCol w:w="1237"/>
        <w:gridCol w:w="313"/>
        <w:gridCol w:w="1203"/>
        <w:gridCol w:w="315"/>
        <w:gridCol w:w="1200"/>
        <w:gridCol w:w="320"/>
        <w:gridCol w:w="1196"/>
        <w:gridCol w:w="241"/>
        <w:gridCol w:w="1183"/>
        <w:gridCol w:w="92"/>
        <w:gridCol w:w="1173"/>
        <w:gridCol w:w="1173"/>
      </w:tblGrid>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3031" w:type="dxa"/>
            <w:gridSpan w:val="4"/>
            <w:tcBorders>
              <w:top w:val="nil"/>
              <w:left w:val="nil"/>
              <w:bottom w:val="nil"/>
              <w:right w:val="single" w:sz="4" w:space="0" w:color="000000"/>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All observations</w:t>
            </w:r>
          </w:p>
        </w:tc>
        <w:tc>
          <w:tcPr>
            <w:tcW w:w="3032" w:type="dxa"/>
            <w:gridSpan w:val="5"/>
            <w:tcBorders>
              <w:top w:val="nil"/>
              <w:left w:val="nil"/>
              <w:bottom w:val="nil"/>
              <w:right w:val="single" w:sz="4" w:space="0" w:color="000000"/>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same persons</w:t>
            </w:r>
          </w:p>
        </w:tc>
        <w:tc>
          <w:tcPr>
            <w:tcW w:w="2185"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Same persons with fixed effects</w:t>
            </w:r>
          </w:p>
        </w:tc>
      </w:tr>
      <w:tr w:rsidR="006135CF"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2007 - 2013</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2013 - 2017</w:t>
            </w:r>
          </w:p>
        </w:tc>
        <w:tc>
          <w:tcPr>
            <w:tcW w:w="1516" w:type="dxa"/>
            <w:gridSpan w:val="2"/>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2007 - 2013</w:t>
            </w:r>
          </w:p>
        </w:tc>
        <w:tc>
          <w:tcPr>
            <w:tcW w:w="1516" w:type="dxa"/>
            <w:gridSpan w:val="3"/>
            <w:tcBorders>
              <w:top w:val="single" w:sz="4" w:space="0" w:color="000000"/>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2013 - 2017</w:t>
            </w:r>
          </w:p>
        </w:tc>
        <w:tc>
          <w:tcPr>
            <w:tcW w:w="1082"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2007-2013</w:t>
            </w:r>
          </w:p>
        </w:tc>
        <w:tc>
          <w:tcPr>
            <w:tcW w:w="1103"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2013-2017</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VARIABLES</w:t>
            </w: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5" w:type="dxa"/>
            <w:gridSpan w:val="2"/>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516" w:type="dxa"/>
            <w:gridSpan w:val="3"/>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082" w:type="dxa"/>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c>
          <w:tcPr>
            <w:tcW w:w="1103" w:type="dxa"/>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proofErr w:type="spellStart"/>
            <w:r>
              <w:rPr>
                <w:rFonts w:ascii="Calibri" w:hAnsi="Calibri"/>
                <w:sz w:val="20"/>
                <w:szCs w:val="20"/>
              </w:rPr>
              <w:t>netWorth</w:t>
            </w:r>
            <w:proofErr w:type="spellEnd"/>
          </w:p>
        </w:tc>
      </w:tr>
      <w:tr w:rsidR="006135CF" w:rsidTr="006135CF">
        <w:trPr>
          <w:trHeight w:val="255"/>
        </w:trPr>
        <w:tc>
          <w:tcPr>
            <w:tcW w:w="1256" w:type="dxa"/>
            <w:gridSpan w:val="2"/>
            <w:tcBorders>
              <w:top w:val="single" w:sz="4" w:space="0" w:color="000000"/>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5" w:type="dxa"/>
            <w:gridSpan w:val="2"/>
            <w:tcBorders>
              <w:top w:val="single" w:sz="4" w:space="0" w:color="000000"/>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6" w:type="dxa"/>
            <w:gridSpan w:val="3"/>
            <w:tcBorders>
              <w:top w:val="single" w:sz="4" w:space="0" w:color="000000"/>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082" w:type="dxa"/>
            <w:tcBorders>
              <w:top w:val="single" w:sz="4" w:space="0" w:color="000000"/>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103"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DID</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-22,284</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3,935</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-43,859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24,568</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-43,859***</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24,568***</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(14,351</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(13,528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(22,173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(20,922</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(16,266)</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(9,173)</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time</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3,534</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2,597</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3,590</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4,134</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3,590</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4,134</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(9,902</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(9,606</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(16,173</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(15,970</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(11,864)</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(7,002)</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treated</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249,872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227,588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270,696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252,833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(9,924</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(10,238</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(15,679</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(14,794</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Constant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25,400 </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28,933 </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24,634 </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30,167 </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168,646***</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177,482***</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(6,743</w:t>
            </w:r>
            <w:r w:rsidR="006135CF">
              <w:rPr>
                <w:rFonts w:ascii="Calibri" w:hAnsi="Calibri"/>
                <w:sz w:val="20"/>
                <w:szCs w:val="20"/>
              </w:rPr>
              <w:t>)</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(7,162</w:t>
            </w:r>
            <w:r w:rsidR="006135CF">
              <w:rPr>
                <w:rFonts w:ascii="Calibri" w:hAnsi="Calibri"/>
                <w:sz w:val="20"/>
                <w:szCs w:val="20"/>
              </w:rPr>
              <w:t>)</w:t>
            </w:r>
          </w:p>
        </w:tc>
        <w:tc>
          <w:tcPr>
            <w:tcW w:w="1516"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(11,436</w:t>
            </w:r>
            <w:r w:rsidR="006135CF">
              <w:rPr>
                <w:rFonts w:ascii="Calibri" w:hAnsi="Calibri"/>
                <w:sz w:val="20"/>
                <w:szCs w:val="20"/>
              </w:rPr>
              <w:t>)</w:t>
            </w:r>
          </w:p>
        </w:tc>
        <w:tc>
          <w:tcPr>
            <w:tcW w:w="1516" w:type="dxa"/>
            <w:gridSpan w:val="3"/>
            <w:tcBorders>
              <w:top w:val="nil"/>
              <w:left w:val="nil"/>
              <w:bottom w:val="nil"/>
              <w:right w:val="single" w:sz="4" w:space="0" w:color="auto"/>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(11,293</w:t>
            </w:r>
            <w:r w:rsidR="006135CF">
              <w:rPr>
                <w:rFonts w:ascii="Calibri" w:hAnsi="Calibri"/>
                <w:sz w:val="20"/>
                <w:szCs w:val="20"/>
              </w:rPr>
              <w:t>)</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(5,739)</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(3,199)</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5" w:type="dxa"/>
            <w:gridSpan w:val="2"/>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6" w:type="dxa"/>
            <w:gridSpan w:val="3"/>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Observations</w:t>
            </w: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3,458</w:t>
            </w:r>
          </w:p>
        </w:tc>
        <w:tc>
          <w:tcPr>
            <w:tcW w:w="1515" w:type="dxa"/>
            <w:gridSpan w:val="2"/>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3,864</w:t>
            </w: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1,406</w:t>
            </w:r>
          </w:p>
        </w:tc>
        <w:tc>
          <w:tcPr>
            <w:tcW w:w="1516" w:type="dxa"/>
            <w:gridSpan w:val="3"/>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1,730</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1,406</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1,730</w:t>
            </w:r>
          </w:p>
        </w:tc>
      </w:tr>
      <w:tr w:rsidR="006135CF" w:rsidTr="006135CF">
        <w:trPr>
          <w:trHeight w:val="255"/>
        </w:trPr>
        <w:tc>
          <w:tcPr>
            <w:tcW w:w="125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persons</w:t>
            </w:r>
          </w:p>
        </w:tc>
        <w:tc>
          <w:tcPr>
            <w:tcW w:w="1516"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5"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6" w:type="dxa"/>
            <w:gridSpan w:val="2"/>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0.2670</w:t>
            </w:r>
          </w:p>
        </w:tc>
        <w:tc>
          <w:tcPr>
            <w:tcW w:w="1516" w:type="dxa"/>
            <w:gridSpan w:val="3"/>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0.2726</w:t>
            </w:r>
          </w:p>
        </w:tc>
        <w:tc>
          <w:tcPr>
            <w:tcW w:w="1082" w:type="dxa"/>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703</w:t>
            </w:r>
          </w:p>
        </w:tc>
        <w:tc>
          <w:tcPr>
            <w:tcW w:w="1103"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865</w:t>
            </w:r>
          </w:p>
        </w:tc>
      </w:tr>
      <w:tr w:rsidR="006135CF" w:rsidTr="006135CF">
        <w:trPr>
          <w:trHeight w:val="255"/>
        </w:trPr>
        <w:tc>
          <w:tcPr>
            <w:tcW w:w="1256" w:type="dxa"/>
            <w:gridSpan w:val="2"/>
            <w:tcBorders>
              <w:top w:val="nil"/>
              <w:left w:val="nil"/>
              <w:bottom w:val="single" w:sz="4" w:space="0" w:color="000000"/>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R-squared</w:t>
            </w:r>
          </w:p>
        </w:tc>
        <w:tc>
          <w:tcPr>
            <w:tcW w:w="1516" w:type="dxa"/>
            <w:gridSpan w:val="2"/>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0.2442</w:t>
            </w:r>
          </w:p>
        </w:tc>
        <w:tc>
          <w:tcPr>
            <w:tcW w:w="1515" w:type="dxa"/>
            <w:gridSpan w:val="2"/>
            <w:tcBorders>
              <w:top w:val="nil"/>
              <w:left w:val="nil"/>
              <w:bottom w:val="single" w:sz="4" w:space="0" w:color="000000"/>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0.2346</w:t>
            </w:r>
          </w:p>
        </w:tc>
        <w:tc>
          <w:tcPr>
            <w:tcW w:w="1516" w:type="dxa"/>
            <w:gridSpan w:val="2"/>
            <w:tcBorders>
              <w:top w:val="nil"/>
              <w:left w:val="nil"/>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0.2619</w:t>
            </w:r>
          </w:p>
        </w:tc>
        <w:tc>
          <w:tcPr>
            <w:tcW w:w="1516" w:type="dxa"/>
            <w:gridSpan w:val="3"/>
            <w:tcBorders>
              <w:top w:val="nil"/>
              <w:left w:val="nil"/>
              <w:bottom w:val="single" w:sz="4" w:space="0" w:color="auto"/>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0.2628</w:t>
            </w:r>
          </w:p>
        </w:tc>
        <w:tc>
          <w:tcPr>
            <w:tcW w:w="1082" w:type="dxa"/>
            <w:tcBorders>
              <w:top w:val="nil"/>
              <w:left w:val="single" w:sz="4" w:space="0" w:color="auto"/>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0.0185</w:t>
            </w:r>
          </w:p>
        </w:tc>
        <w:tc>
          <w:tcPr>
            <w:tcW w:w="1103" w:type="dxa"/>
            <w:tcBorders>
              <w:top w:val="nil"/>
              <w:left w:val="nil"/>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0.0268</w:t>
            </w:r>
          </w:p>
        </w:tc>
      </w:tr>
      <w:tr w:rsidR="006135CF" w:rsidTr="006135CF">
        <w:trPr>
          <w:trHeight w:val="255"/>
        </w:trPr>
        <w:tc>
          <w:tcPr>
            <w:tcW w:w="4287" w:type="dxa"/>
            <w:gridSpan w:val="6"/>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Standard errors in parentheses</w:t>
            </w:r>
          </w:p>
        </w:tc>
        <w:tc>
          <w:tcPr>
            <w:tcW w:w="151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r>
      <w:tr w:rsidR="006135CF" w:rsidTr="006135CF">
        <w:trPr>
          <w:trHeight w:val="255"/>
        </w:trPr>
        <w:tc>
          <w:tcPr>
            <w:tcW w:w="2772" w:type="dxa"/>
            <w:gridSpan w:val="4"/>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 p&lt;0.01, ** p&lt;0.05, * p&lt;0.1</w:t>
            </w:r>
          </w:p>
        </w:tc>
        <w:tc>
          <w:tcPr>
            <w:tcW w:w="1515"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6" w:type="dxa"/>
            <w:gridSpan w:val="3"/>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082"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103"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r>
      <w:tr w:rsidR="006135CF" w:rsidTr="006135CF">
        <w:trPr>
          <w:gridBefore w:val="1"/>
          <w:gridAfter w:val="3"/>
          <w:wBefore w:w="51" w:type="dxa"/>
          <w:wAfter w:w="2277" w:type="dxa"/>
          <w:trHeight w:val="255"/>
        </w:trPr>
        <w:tc>
          <w:tcPr>
            <w:tcW w:w="1518"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8"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20"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437"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183"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r>
    </w:tbl>
    <w:p w:rsidR="003E0A3D" w:rsidRDefault="003E0A3D" w:rsidP="00CB0C55">
      <w:pPr>
        <w:spacing w:line="360" w:lineRule="auto"/>
        <w:jc w:val="both"/>
        <w:rPr>
          <w:b/>
          <w:sz w:val="28"/>
          <w:szCs w:val="28"/>
        </w:rPr>
      </w:pPr>
    </w:p>
    <w:p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treatment and control group did not change significantly</w:t>
      </w:r>
      <w:r w:rsidR="00B4576D">
        <w:t>. This implies that the treatment did not have an undesired effect on income which could have influenced</w:t>
      </w:r>
      <w:r w:rsidR="00395D0F">
        <w:t xml:space="preserve"> the change in</w:t>
      </w:r>
      <w:r w:rsidR="00B4576D">
        <w:t xml:space="preserve"> health</w:t>
      </w:r>
      <w:r w:rsidR="00395D0F">
        <w:t xml:space="preserve"> differently</w:t>
      </w:r>
      <w:r w:rsidR="00B4576D">
        <w:t xml:space="preserve"> through the income channel.</w:t>
      </w:r>
      <w:r w:rsidR="00A07C78">
        <w:t xml:space="preserve"> This is extra evidence that the treatment works as expec</w:t>
      </w:r>
      <w:r w:rsidR="00CE4340">
        <w:t xml:space="preserve">ted. This also shows that even though the net income was highly significant in the all observations sample </w:t>
      </w:r>
      <w:r w:rsidR="00CE4340">
        <w:lastRenderedPageBreak/>
        <w:t>difference in differences regression (table &lt;&gt;&lt;!!@#!@#4&lt;&gt;&lt;&gt;&lt;), net income does not cause a different change in health between the control and treatment group.</w:t>
      </w:r>
      <w:r w:rsidR="00B4576D">
        <w:t xml:space="preserve"> </w:t>
      </w:r>
    </w:p>
    <w:p w:rsidR="003E0A3D" w:rsidRDefault="003E0A3D" w:rsidP="003E0A3D">
      <w:pPr>
        <w:pStyle w:val="Caption"/>
        <w:keepNext/>
      </w:pPr>
      <w:r>
        <w:t xml:space="preserve">Table </w:t>
      </w:r>
      <w:r w:rsidR="003F2044">
        <w:rPr>
          <w:noProof/>
        </w:rPr>
        <w:fldChar w:fldCharType="begin"/>
      </w:r>
      <w:r w:rsidR="00DF29E2">
        <w:rPr>
          <w:noProof/>
        </w:rPr>
        <w:instrText xml:space="preserve"> SEQ Table \* ARABIC </w:instrText>
      </w:r>
      <w:r w:rsidR="003F2044">
        <w:rPr>
          <w:noProof/>
        </w:rPr>
        <w:fldChar w:fldCharType="separate"/>
      </w:r>
      <w:r w:rsidR="00200608">
        <w:rPr>
          <w:noProof/>
        </w:rPr>
        <w:t>13</w:t>
      </w:r>
      <w:r w:rsidR="003F2044">
        <w:rPr>
          <w:noProof/>
        </w:rPr>
        <w:fldChar w:fldCharType="end"/>
      </w:r>
      <w:r>
        <w:t>:mechanism test income</w:t>
      </w:r>
    </w:p>
    <w:tbl>
      <w:tblPr>
        <w:tblW w:w="9761" w:type="dxa"/>
        <w:tblInd w:w="93" w:type="dxa"/>
        <w:tblLook w:val="04A0" w:firstRow="1" w:lastRow="0" w:firstColumn="1" w:lastColumn="0" w:noHBand="0" w:noVBand="1"/>
      </w:tblPr>
      <w:tblGrid>
        <w:gridCol w:w="1424"/>
        <w:gridCol w:w="1510"/>
        <w:gridCol w:w="1510"/>
        <w:gridCol w:w="1147"/>
        <w:gridCol w:w="216"/>
        <w:gridCol w:w="934"/>
        <w:gridCol w:w="411"/>
        <w:gridCol w:w="1099"/>
        <w:gridCol w:w="1510"/>
      </w:tblGrid>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3020"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same observations</w:t>
            </w:r>
          </w:p>
        </w:tc>
        <w:tc>
          <w:tcPr>
            <w:tcW w:w="2297" w:type="dxa"/>
            <w:gridSpan w:val="3"/>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recurring individuals</w:t>
            </w:r>
          </w:p>
        </w:tc>
        <w:tc>
          <w:tcPr>
            <w:tcW w:w="3020" w:type="dxa"/>
            <w:gridSpan w:val="3"/>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recurring individuals fixed effects</w:t>
            </w:r>
          </w:p>
        </w:tc>
      </w:tr>
      <w:tr w:rsidR="006135CF" w:rsidTr="006135CF">
        <w:trPr>
          <w:trHeight w:val="255"/>
        </w:trPr>
        <w:tc>
          <w:tcPr>
            <w:tcW w:w="1424" w:type="dxa"/>
            <w:tcBorders>
              <w:top w:val="single" w:sz="4" w:space="0" w:color="000000"/>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2007 - 2013</w:t>
            </w:r>
          </w:p>
        </w:tc>
        <w:tc>
          <w:tcPr>
            <w:tcW w:w="1510" w:type="dxa"/>
            <w:tcBorders>
              <w:top w:val="single" w:sz="4" w:space="0" w:color="000000"/>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2013 - 2017</w:t>
            </w:r>
          </w:p>
        </w:tc>
        <w:tc>
          <w:tcPr>
            <w:tcW w:w="1147"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2007 - 2013</w:t>
            </w:r>
          </w:p>
        </w:tc>
        <w:tc>
          <w:tcPr>
            <w:tcW w:w="1150" w:type="dxa"/>
            <w:gridSpan w:val="2"/>
            <w:tcBorders>
              <w:top w:val="single" w:sz="4" w:space="0" w:color="000000"/>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xml:space="preserve">2013 </w:t>
            </w:r>
            <w:r w:rsidR="00395C91">
              <w:rPr>
                <w:rFonts w:ascii="Calibri" w:hAnsi="Calibri"/>
                <w:sz w:val="20"/>
                <w:szCs w:val="20"/>
              </w:rPr>
              <w:t>–</w:t>
            </w:r>
            <w:r>
              <w:rPr>
                <w:rFonts w:ascii="Calibri" w:hAnsi="Calibri"/>
                <w:sz w:val="20"/>
                <w:szCs w:val="20"/>
              </w:rPr>
              <w:t xml:space="preserve"> 2017</w:t>
            </w:r>
          </w:p>
        </w:tc>
        <w:tc>
          <w:tcPr>
            <w:tcW w:w="1510" w:type="dxa"/>
            <w:gridSpan w:val="2"/>
            <w:tcBorders>
              <w:top w:val="single" w:sz="4" w:space="0" w:color="auto"/>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2007-2013</w:t>
            </w:r>
          </w:p>
        </w:tc>
        <w:tc>
          <w:tcPr>
            <w:tcW w:w="1510" w:type="dxa"/>
            <w:tcBorders>
              <w:top w:val="single" w:sz="4" w:space="0" w:color="auto"/>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2013-2017</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VARIABLES</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c>
          <w:tcPr>
            <w:tcW w:w="1510" w:type="dxa"/>
            <w:gridSpan w:val="2"/>
            <w:tcBorders>
              <w:top w:val="nil"/>
              <w:left w:val="nil"/>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c>
          <w:tcPr>
            <w:tcW w:w="1510" w:type="dxa"/>
            <w:tcBorders>
              <w:top w:val="nil"/>
              <w:left w:val="nil"/>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net income</w:t>
            </w:r>
          </w:p>
        </w:tc>
      </w:tr>
      <w:tr w:rsidR="006135CF" w:rsidTr="006135CF">
        <w:trPr>
          <w:trHeight w:val="255"/>
        </w:trPr>
        <w:tc>
          <w:tcPr>
            <w:tcW w:w="1424" w:type="dxa"/>
            <w:tcBorders>
              <w:top w:val="single" w:sz="4" w:space="0" w:color="000000"/>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0" w:type="dxa"/>
            <w:tcBorders>
              <w:top w:val="single" w:sz="4" w:space="0" w:color="000000"/>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147" w:type="dxa"/>
            <w:tcBorders>
              <w:top w:val="single" w:sz="4" w:space="0" w:color="000000"/>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150" w:type="dxa"/>
            <w:gridSpan w:val="2"/>
            <w:tcBorders>
              <w:top w:val="single" w:sz="4" w:space="0" w:color="000000"/>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DID</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-1,028</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1,432</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-941</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-472</w:t>
            </w:r>
          </w:p>
        </w:tc>
        <w:tc>
          <w:tcPr>
            <w:tcW w:w="1510"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-941</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-472</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(1,065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(1,193</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(1,779)</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(1,938)</w:t>
            </w:r>
          </w:p>
        </w:tc>
        <w:tc>
          <w:tcPr>
            <w:tcW w:w="1510"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(1,191</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(1,448</w:t>
            </w:r>
            <w:r w:rsidR="006135CF">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time</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2,964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-31</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1,499</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1,972</w:t>
            </w:r>
          </w:p>
        </w:tc>
        <w:tc>
          <w:tcPr>
            <w:tcW w:w="1510"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1,499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1,972 </w:t>
            </w:r>
            <w:r w:rsidR="006135CF">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(753</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(872</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(1,346)</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(1,541)</w:t>
            </w:r>
          </w:p>
        </w:tc>
        <w:tc>
          <w:tcPr>
            <w:tcW w:w="1510" w:type="dxa"/>
            <w:gridSpan w:val="2"/>
            <w:tcBorders>
              <w:top w:val="nil"/>
              <w:left w:val="nil"/>
              <w:bottom w:val="nil"/>
              <w:right w:val="nil"/>
            </w:tcBorders>
            <w:shd w:val="clear" w:color="auto" w:fill="auto"/>
            <w:noWrap/>
            <w:vAlign w:val="bottom"/>
            <w:hideMark/>
          </w:tcPr>
          <w:p w:rsidR="006135CF" w:rsidRDefault="006135CF" w:rsidP="00A07C78">
            <w:pPr>
              <w:jc w:val="center"/>
              <w:rPr>
                <w:rFonts w:ascii="Calibri" w:hAnsi="Calibri"/>
                <w:sz w:val="20"/>
                <w:szCs w:val="20"/>
              </w:rPr>
            </w:pPr>
            <w:r>
              <w:rPr>
                <w:rFonts w:ascii="Calibri" w:hAnsi="Calibri"/>
                <w:sz w:val="20"/>
                <w:szCs w:val="20"/>
              </w:rPr>
              <w:t>(901.)</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(1,151</w:t>
            </w:r>
            <w:r w:rsidR="006135CF">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treated</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14,765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13,736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16,481***</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15,152***</w:t>
            </w:r>
          </w:p>
        </w:tc>
        <w:tc>
          <w:tcPr>
            <w:tcW w:w="1510"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(722</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(886</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(1,258)</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(1,370)</w:t>
            </w:r>
          </w:p>
        </w:tc>
        <w:tc>
          <w:tcPr>
            <w:tcW w:w="1510"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Constant</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13,641 </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16,605 </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14,081***</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16,259***</w:t>
            </w:r>
          </w:p>
        </w:tc>
        <w:tc>
          <w:tcPr>
            <w:tcW w:w="1510"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23,514 </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 xml:space="preserve">25,837 </w:t>
            </w:r>
            <w:r w:rsidR="006135CF">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(505</w:t>
            </w:r>
            <w:r w:rsidR="006135CF">
              <w:rPr>
                <w:rFonts w:ascii="Calibri" w:hAnsi="Calibri"/>
                <w:sz w:val="20"/>
                <w:szCs w:val="20"/>
              </w:rPr>
              <w:t>)</w:t>
            </w:r>
          </w:p>
        </w:tc>
        <w:tc>
          <w:tcPr>
            <w:tcW w:w="1510" w:type="dxa"/>
            <w:tcBorders>
              <w:top w:val="nil"/>
              <w:left w:val="nil"/>
              <w:bottom w:val="nil"/>
              <w:right w:val="single" w:sz="4" w:space="0" w:color="000000"/>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(631</w:t>
            </w:r>
            <w:r w:rsidR="006135CF">
              <w:rPr>
                <w:rFonts w:ascii="Calibri" w:hAnsi="Calibri"/>
                <w:sz w:val="20"/>
                <w:szCs w:val="20"/>
              </w:rPr>
              <w:t>)</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(952)</w:t>
            </w: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(1,089)</w:t>
            </w:r>
          </w:p>
        </w:tc>
        <w:tc>
          <w:tcPr>
            <w:tcW w:w="1510" w:type="dxa"/>
            <w:gridSpan w:val="2"/>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(417</w:t>
            </w:r>
            <w:r w:rsidR="006135CF">
              <w:rPr>
                <w:rFonts w:ascii="Calibri" w:hAnsi="Calibri"/>
                <w:sz w:val="20"/>
                <w:szCs w:val="20"/>
              </w:rPr>
              <w:t>)</w:t>
            </w:r>
          </w:p>
        </w:tc>
        <w:tc>
          <w:tcPr>
            <w:tcW w:w="1510" w:type="dxa"/>
            <w:tcBorders>
              <w:top w:val="nil"/>
              <w:left w:val="nil"/>
              <w:bottom w:val="nil"/>
              <w:right w:val="nil"/>
            </w:tcBorders>
            <w:shd w:val="clear" w:color="auto" w:fill="auto"/>
            <w:noWrap/>
            <w:vAlign w:val="bottom"/>
            <w:hideMark/>
          </w:tcPr>
          <w:p w:rsidR="006135CF" w:rsidRDefault="00A07C78" w:rsidP="00A07C78">
            <w:pPr>
              <w:jc w:val="center"/>
              <w:rPr>
                <w:rFonts w:ascii="Calibri" w:hAnsi="Calibri"/>
                <w:sz w:val="20"/>
                <w:szCs w:val="20"/>
              </w:rPr>
            </w:pPr>
            <w:r>
              <w:rPr>
                <w:rFonts w:ascii="Calibri" w:hAnsi="Calibri"/>
                <w:sz w:val="20"/>
                <w:szCs w:val="20"/>
              </w:rPr>
              <w:t>(494</w:t>
            </w:r>
            <w:r w:rsidR="006135CF">
              <w:rPr>
                <w:rFonts w:ascii="Calibri" w:hAnsi="Calibri"/>
                <w:sz w:val="20"/>
                <w:szCs w:val="20"/>
              </w:rPr>
              <w:t>)</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150" w:type="dxa"/>
            <w:gridSpan w:val="2"/>
            <w:tcBorders>
              <w:top w:val="nil"/>
              <w:left w:val="nil"/>
              <w:bottom w:val="nil"/>
              <w:right w:val="single" w:sz="4" w:space="0" w:color="auto"/>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510"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persons</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0" w:type="dxa"/>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 </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150"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p>
        </w:tc>
        <w:tc>
          <w:tcPr>
            <w:tcW w:w="1510" w:type="dxa"/>
            <w:gridSpan w:val="2"/>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477</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541</w:t>
            </w:r>
          </w:p>
        </w:tc>
      </w:tr>
      <w:tr w:rsidR="006135CF" w:rsidTr="006135CF">
        <w:trPr>
          <w:trHeight w:val="255"/>
        </w:trPr>
        <w:tc>
          <w:tcPr>
            <w:tcW w:w="1424" w:type="dxa"/>
            <w:tcBorders>
              <w:top w:val="nil"/>
              <w:left w:val="nil"/>
              <w:bottom w:val="nil"/>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Observations</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2,586</w:t>
            </w:r>
          </w:p>
        </w:tc>
        <w:tc>
          <w:tcPr>
            <w:tcW w:w="1510" w:type="dxa"/>
            <w:tcBorders>
              <w:top w:val="nil"/>
              <w:left w:val="nil"/>
              <w:bottom w:val="nil"/>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2,671</w:t>
            </w:r>
          </w:p>
        </w:tc>
        <w:tc>
          <w:tcPr>
            <w:tcW w:w="1147"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954</w:t>
            </w:r>
          </w:p>
        </w:tc>
        <w:tc>
          <w:tcPr>
            <w:tcW w:w="1150" w:type="dxa"/>
            <w:gridSpan w:val="2"/>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1,082</w:t>
            </w:r>
          </w:p>
        </w:tc>
        <w:tc>
          <w:tcPr>
            <w:tcW w:w="1510" w:type="dxa"/>
            <w:gridSpan w:val="2"/>
            <w:tcBorders>
              <w:top w:val="nil"/>
              <w:left w:val="single" w:sz="4" w:space="0" w:color="auto"/>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954</w:t>
            </w:r>
          </w:p>
        </w:tc>
        <w:tc>
          <w:tcPr>
            <w:tcW w:w="1510" w:type="dxa"/>
            <w:tcBorders>
              <w:top w:val="nil"/>
              <w:left w:val="nil"/>
              <w:bottom w:val="nil"/>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1,082</w:t>
            </w:r>
          </w:p>
        </w:tc>
      </w:tr>
      <w:tr w:rsidR="006135CF" w:rsidTr="006135CF">
        <w:trPr>
          <w:trHeight w:val="255"/>
        </w:trPr>
        <w:tc>
          <w:tcPr>
            <w:tcW w:w="1424" w:type="dxa"/>
            <w:tcBorders>
              <w:top w:val="nil"/>
              <w:left w:val="nil"/>
              <w:bottom w:val="single" w:sz="4" w:space="0" w:color="000000"/>
              <w:right w:val="nil"/>
            </w:tcBorders>
            <w:shd w:val="clear" w:color="auto" w:fill="auto"/>
            <w:noWrap/>
            <w:vAlign w:val="bottom"/>
            <w:hideMark/>
          </w:tcPr>
          <w:p w:rsidR="006135CF" w:rsidRDefault="006135CF">
            <w:pPr>
              <w:rPr>
                <w:rFonts w:ascii="Calibri" w:hAnsi="Calibri"/>
                <w:sz w:val="20"/>
                <w:szCs w:val="20"/>
              </w:rPr>
            </w:pPr>
            <w:r>
              <w:rPr>
                <w:rFonts w:ascii="Calibri" w:hAnsi="Calibri"/>
                <w:sz w:val="20"/>
                <w:szCs w:val="20"/>
              </w:rPr>
              <w:t>R-squared</w:t>
            </w:r>
          </w:p>
        </w:tc>
        <w:tc>
          <w:tcPr>
            <w:tcW w:w="1510" w:type="dxa"/>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0.2255</w:t>
            </w:r>
          </w:p>
        </w:tc>
        <w:tc>
          <w:tcPr>
            <w:tcW w:w="1510" w:type="dxa"/>
            <w:tcBorders>
              <w:top w:val="nil"/>
              <w:left w:val="nil"/>
              <w:bottom w:val="single" w:sz="4" w:space="0" w:color="000000"/>
              <w:right w:val="single" w:sz="4" w:space="0" w:color="000000"/>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0.1855</w:t>
            </w:r>
          </w:p>
        </w:tc>
        <w:tc>
          <w:tcPr>
            <w:tcW w:w="1147" w:type="dxa"/>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0.2552</w:t>
            </w:r>
          </w:p>
        </w:tc>
        <w:tc>
          <w:tcPr>
            <w:tcW w:w="1150" w:type="dxa"/>
            <w:gridSpan w:val="2"/>
            <w:tcBorders>
              <w:top w:val="nil"/>
              <w:left w:val="nil"/>
              <w:bottom w:val="single" w:sz="4" w:space="0" w:color="000000"/>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0.1823</w:t>
            </w:r>
          </w:p>
        </w:tc>
        <w:tc>
          <w:tcPr>
            <w:tcW w:w="1510" w:type="dxa"/>
            <w:gridSpan w:val="2"/>
            <w:tcBorders>
              <w:top w:val="nil"/>
              <w:left w:val="single" w:sz="4" w:space="0" w:color="auto"/>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0.0069</w:t>
            </w:r>
          </w:p>
        </w:tc>
        <w:tc>
          <w:tcPr>
            <w:tcW w:w="1510" w:type="dxa"/>
            <w:tcBorders>
              <w:top w:val="nil"/>
              <w:left w:val="nil"/>
              <w:bottom w:val="single" w:sz="4" w:space="0" w:color="auto"/>
              <w:right w:val="nil"/>
            </w:tcBorders>
            <w:shd w:val="clear" w:color="auto" w:fill="auto"/>
            <w:noWrap/>
            <w:vAlign w:val="bottom"/>
            <w:hideMark/>
          </w:tcPr>
          <w:p w:rsidR="006135CF" w:rsidRDefault="006135CF">
            <w:pPr>
              <w:jc w:val="center"/>
              <w:rPr>
                <w:rFonts w:ascii="Calibri" w:hAnsi="Calibri"/>
                <w:sz w:val="20"/>
                <w:szCs w:val="20"/>
              </w:rPr>
            </w:pPr>
            <w:r>
              <w:rPr>
                <w:rFonts w:ascii="Calibri" w:hAnsi="Calibri"/>
                <w:sz w:val="20"/>
                <w:szCs w:val="20"/>
              </w:rPr>
              <w:t>0.0107</w:t>
            </w:r>
          </w:p>
        </w:tc>
      </w:tr>
      <w:tr w:rsidR="003E0A3D" w:rsidRPr="003E0A3D" w:rsidTr="006135CF">
        <w:tblPrEx>
          <w:jc w:val="center"/>
        </w:tblPrEx>
        <w:trPr>
          <w:gridAfter w:val="2"/>
          <w:wAfter w:w="2609" w:type="dxa"/>
          <w:trHeight w:val="255"/>
          <w:jc w:val="center"/>
        </w:trPr>
        <w:tc>
          <w:tcPr>
            <w:tcW w:w="2934" w:type="dxa"/>
            <w:gridSpan w:val="2"/>
            <w:tcBorders>
              <w:top w:val="nil"/>
              <w:left w:val="nil"/>
              <w:bottom w:val="nil"/>
              <w:right w:val="nil"/>
            </w:tcBorders>
            <w:shd w:val="clear" w:color="auto" w:fill="auto"/>
            <w:noWrap/>
            <w:vAlign w:val="bottom"/>
            <w:hideMark/>
          </w:tcPr>
          <w:p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510" w:type="dxa"/>
            <w:tcBorders>
              <w:top w:val="nil"/>
              <w:left w:val="nil"/>
              <w:bottom w:val="nil"/>
              <w:right w:val="nil"/>
            </w:tcBorders>
            <w:shd w:val="clear" w:color="auto" w:fill="auto"/>
            <w:noWrap/>
            <w:vAlign w:val="bottom"/>
            <w:hideMark/>
          </w:tcPr>
          <w:p w:rsidR="003E0A3D" w:rsidRPr="003E0A3D" w:rsidRDefault="003E0A3D" w:rsidP="003E0A3D">
            <w:pPr>
              <w:rPr>
                <w:rFonts w:ascii="Calibri" w:eastAsia="Times New Roman" w:hAnsi="Calibri" w:cs="Times New Roman"/>
                <w:color w:val="auto"/>
                <w:sz w:val="20"/>
                <w:szCs w:val="20"/>
                <w:lang w:eastAsia="en-US" w:bidi="ar-SA"/>
              </w:rPr>
            </w:pPr>
          </w:p>
        </w:tc>
        <w:tc>
          <w:tcPr>
            <w:tcW w:w="1363" w:type="dxa"/>
            <w:gridSpan w:val="2"/>
            <w:tcBorders>
              <w:top w:val="nil"/>
              <w:left w:val="nil"/>
              <w:bottom w:val="nil"/>
              <w:right w:val="nil"/>
            </w:tcBorders>
            <w:shd w:val="clear" w:color="auto" w:fill="auto"/>
            <w:noWrap/>
            <w:vAlign w:val="bottom"/>
            <w:hideMark/>
          </w:tcPr>
          <w:p w:rsidR="003E0A3D" w:rsidRPr="003E0A3D" w:rsidRDefault="003E0A3D" w:rsidP="003E0A3D">
            <w:pPr>
              <w:rPr>
                <w:rFonts w:ascii="Calibri" w:eastAsia="Times New Roman" w:hAnsi="Calibri" w:cs="Times New Roman"/>
                <w:color w:val="auto"/>
                <w:sz w:val="20"/>
                <w:szCs w:val="20"/>
                <w:lang w:eastAsia="en-US" w:bidi="ar-SA"/>
              </w:rPr>
            </w:pPr>
          </w:p>
        </w:tc>
        <w:tc>
          <w:tcPr>
            <w:tcW w:w="1345" w:type="dxa"/>
            <w:gridSpan w:val="2"/>
            <w:tcBorders>
              <w:top w:val="nil"/>
              <w:left w:val="nil"/>
              <w:bottom w:val="nil"/>
              <w:right w:val="nil"/>
            </w:tcBorders>
            <w:shd w:val="clear" w:color="auto" w:fill="auto"/>
            <w:noWrap/>
            <w:vAlign w:val="bottom"/>
            <w:hideMark/>
          </w:tcPr>
          <w:p w:rsidR="003E0A3D" w:rsidRPr="003E0A3D" w:rsidRDefault="003E0A3D" w:rsidP="003E0A3D">
            <w:pPr>
              <w:rPr>
                <w:rFonts w:ascii="Calibri" w:eastAsia="Times New Roman" w:hAnsi="Calibri" w:cs="Times New Roman"/>
                <w:color w:val="auto"/>
                <w:sz w:val="20"/>
                <w:szCs w:val="20"/>
                <w:lang w:eastAsia="en-US" w:bidi="ar-SA"/>
              </w:rPr>
            </w:pPr>
          </w:p>
        </w:tc>
      </w:tr>
    </w:tbl>
    <w:p w:rsidR="003E0A3D" w:rsidRPr="003E0A3D" w:rsidRDefault="003E0A3D" w:rsidP="00CB0C55">
      <w:pPr>
        <w:spacing w:line="360" w:lineRule="auto"/>
        <w:jc w:val="both"/>
        <w:rPr>
          <w:b/>
        </w:rPr>
      </w:pPr>
    </w:p>
    <w:p w:rsidR="003E0A3D" w:rsidRPr="003E0A3D" w:rsidRDefault="003E0A3D" w:rsidP="003E0A3D">
      <w:pPr>
        <w:pStyle w:val="Heading2"/>
      </w:pPr>
      <w:r>
        <w:t>Characteristics</w:t>
      </w:r>
    </w:p>
    <w:p w:rsidR="0021637B" w:rsidRDefault="00CB0C55" w:rsidP="00CB0C55">
      <w:pPr>
        <w:spacing w:line="360" w:lineRule="auto"/>
        <w:jc w:val="both"/>
      </w:pPr>
      <w:r>
        <w:t>The results of the tests testing whether the char</w:t>
      </w:r>
      <w:r w:rsidR="00395D0F">
        <w:t>acteristics have changed differently between the control and treatment group in the all observations sample</w:t>
      </w:r>
      <w:r>
        <w:t xml:space="preserve"> can be seen in table </w:t>
      </w:r>
      <w:r w:rsidR="00395D0F">
        <w:t>!@#</w:t>
      </w:r>
      <w:r>
        <w:t>11</w:t>
      </w:r>
      <w:r w:rsidR="00395D0F">
        <w:t>!@#</w:t>
      </w:r>
      <w:r w:rsidR="00165674">
        <w:t>.</w:t>
      </w:r>
      <w:r>
        <w:t xml:space="preserve"> </w:t>
      </w:r>
      <w:r w:rsidR="00165674">
        <w:t>Table</w:t>
      </w:r>
      <w:r>
        <w:t xml:space="preserve"> </w:t>
      </w:r>
      <w:r w:rsidR="00395D0F">
        <w:t>!@#</w:t>
      </w:r>
      <w:r>
        <w:t>11</w:t>
      </w:r>
      <w:r w:rsidR="00395D0F">
        <w:t>!@#</w:t>
      </w:r>
      <w:r w:rsidR="00165674">
        <w:t xml:space="preserve"> </w:t>
      </w:r>
      <w:r>
        <w:t>show</w:t>
      </w:r>
      <w:r w:rsidR="00165674">
        <w:t>s</w:t>
      </w:r>
      <w:r>
        <w:t xml:space="preserve"> respectively t</w:t>
      </w:r>
      <w:r w:rsidR="00395D0F">
        <w:t xml:space="preserve">he changes in gender, education, </w:t>
      </w:r>
      <w:r>
        <w:t>net income</w:t>
      </w:r>
      <w:r w:rsidR="00395D0F">
        <w:t xml:space="preserve"> and unemployment</w:t>
      </w:r>
      <w:r>
        <w:t xml:space="preserve">. </w:t>
      </w:r>
      <w:r w:rsidR="00395D0F">
        <w:t xml:space="preserve">If the </w:t>
      </w:r>
      <w:r w:rsidR="00BF455F">
        <w:t>characteristics</w:t>
      </w:r>
      <w:r w:rsidR="00395D0F">
        <w:t xml:space="preserve"> changed differently between the control and treatment group in the treatment period, these changes in characteristics could explain a different change in health between the two groups. This would make the results not robust </w:t>
      </w:r>
      <w:r w:rsidR="00BF455F">
        <w:t>because</w:t>
      </w:r>
      <w:r w:rsidR="00395D0F">
        <w:t xml:space="preserve"> </w:t>
      </w:r>
      <w:r w:rsidR="00BF455F">
        <w:t>it would be</w:t>
      </w:r>
      <w:r w:rsidR="00395D0F">
        <w:t xml:space="preserve"> impossible to know if the treatment of the different change in characteristics caused different changes in health. This is tested by conducting several DID analyses on the different characteristics. The results of which can be seen in table !</w:t>
      </w:r>
      <w:r w:rsidR="00395C91">
        <w:t xml:space="preserve">@#11!@#. This is not a problem </w:t>
      </w:r>
      <w:r w:rsidR="00395D0F">
        <w:t xml:space="preserve">in the recurring individuals sample as most characteristics are quite time invariant. </w:t>
      </w:r>
    </w:p>
    <w:p w:rsidR="0021637B" w:rsidRDefault="00CB0C55" w:rsidP="00CB0C55">
      <w:pPr>
        <w:spacing w:line="360" w:lineRule="auto"/>
        <w:jc w:val="both"/>
      </w:pPr>
      <w:r>
        <w:tab/>
        <w:t xml:space="preserve">Table </w:t>
      </w:r>
      <w:r w:rsidR="00395D0F">
        <w:t>!@#</w:t>
      </w:r>
      <w:r>
        <w:t>11</w:t>
      </w:r>
      <w:r w:rsidR="00395D0F">
        <w:t>!@#</w:t>
      </w:r>
      <w:r>
        <w:t xml:space="preserve">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w:t>
      </w:r>
      <w:r w:rsidR="00395D0F">
        <w:t xml:space="preserve"> in the all observations sample</w:t>
      </w:r>
      <w:r>
        <w:t xml:space="preserve">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xml:space="preserve">, did not significantly change. So the only characteristic that changed significantly is gender in the period of 2013 – 2017. Therefore, some of the </w:t>
      </w:r>
      <w:r w:rsidR="00395D0F">
        <w:t>difference</w:t>
      </w:r>
      <w:r w:rsidR="00911593">
        <w:t xml:space="preserve"> of the </w:t>
      </w:r>
      <w:r w:rsidR="00395D0F">
        <w:t>changes</w:t>
      </w:r>
      <w:r w:rsidR="00911593">
        <w:t xml:space="preserve"> in health in the period 2013</w:t>
      </w:r>
      <w:r>
        <w:t xml:space="preserve"> </w:t>
      </w:r>
      <w:r w:rsidR="00911593">
        <w:t>– 2017</w:t>
      </w:r>
      <w:r w:rsidR="00395D0F">
        <w:t xml:space="preserve"> in the all </w:t>
      </w:r>
      <w:r w:rsidR="00395D0F">
        <w:lastRenderedPageBreak/>
        <w:t>observations sample</w:t>
      </w:r>
      <w:r w:rsidR="00911593">
        <w:t xml:space="preserve"> between the control group and treatment group might be explained by the change in the male to female ratio.</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3F2044">
        <w:fldChar w:fldCharType="begin"/>
      </w:r>
      <w:r>
        <w:instrText>SEQ Table \* ARABIC</w:instrText>
      </w:r>
      <w:r w:rsidR="003F2044">
        <w:fldChar w:fldCharType="separate"/>
      </w:r>
      <w:r w:rsidR="00200608">
        <w:rPr>
          <w:noProof/>
        </w:rPr>
        <w:t>14</w:t>
      </w:r>
      <w:r w:rsidR="003F2044">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2013- 2017</w:t>
            </w:r>
          </w:p>
        </w:tc>
      </w:tr>
      <w:tr w:rsidR="00165674"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13,736***</w:t>
            </w:r>
          </w:p>
        </w:tc>
      </w:tr>
      <w:tr w:rsidR="003F7E90"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(-885)</w:t>
            </w:r>
          </w:p>
        </w:tc>
      </w:tr>
      <w:tr w:rsidR="00165674"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3F7E90">
        <w:tblPrEx>
          <w:jc w:val="center"/>
        </w:tblPrEx>
        <w:trPr>
          <w:gridAfter w:val="6"/>
          <w:wAfter w:w="6403" w:type="dxa"/>
          <w:trHeight w:hRule="exact" w:val="23"/>
          <w:jc w:val="center"/>
        </w:trPr>
        <w:tc>
          <w:tcPr>
            <w:tcW w:w="1062"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5A60F0" w:rsidRDefault="005A60F0" w:rsidP="00CB0C55">
      <w:pPr>
        <w:spacing w:line="360" w:lineRule="auto"/>
        <w:jc w:val="both"/>
        <w:rPr>
          <w:b/>
        </w:rPr>
      </w:pPr>
    </w:p>
    <w:p w:rsidR="005A60F0" w:rsidRDefault="005A60F0" w:rsidP="005A60F0">
      <w:pPr>
        <w:pStyle w:val="Caption"/>
        <w:keepNext/>
      </w:pPr>
      <w:r>
        <w:t xml:space="preserve">Table </w:t>
      </w:r>
      <w:r w:rsidR="003F2044">
        <w:rPr>
          <w:noProof/>
        </w:rPr>
        <w:fldChar w:fldCharType="begin"/>
      </w:r>
      <w:r w:rsidR="00DF29E2">
        <w:rPr>
          <w:noProof/>
        </w:rPr>
        <w:instrText xml:space="preserve"> SEQ Table \* ARABIC </w:instrText>
      </w:r>
      <w:r w:rsidR="003F2044">
        <w:rPr>
          <w:noProof/>
        </w:rPr>
        <w:fldChar w:fldCharType="separate"/>
      </w:r>
      <w:r w:rsidR="00200608">
        <w:rPr>
          <w:noProof/>
        </w:rPr>
        <w:t>15</w:t>
      </w:r>
      <w:r w:rsidR="003F2044">
        <w:rPr>
          <w:noProof/>
        </w:rPr>
        <w:fldChar w:fldCharType="end"/>
      </w:r>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rsidTr="005A60F0">
        <w:trPr>
          <w:trHeight w:val="255"/>
        </w:trPr>
        <w:tc>
          <w:tcPr>
            <w:tcW w:w="1440" w:type="dxa"/>
            <w:tcBorders>
              <w:top w:val="single" w:sz="4" w:space="0" w:color="000000"/>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rsidTr="005A60F0">
        <w:trPr>
          <w:trHeight w:val="255"/>
        </w:trPr>
        <w:tc>
          <w:tcPr>
            <w:tcW w:w="1440" w:type="dxa"/>
            <w:tcBorders>
              <w:top w:val="single" w:sz="4" w:space="0" w:color="000000"/>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rsidTr="005A60F0">
        <w:trPr>
          <w:trHeight w:val="255"/>
        </w:trPr>
        <w:tc>
          <w:tcPr>
            <w:tcW w:w="1440"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rsidTr="005A60F0">
        <w:trPr>
          <w:trHeight w:val="255"/>
        </w:trPr>
        <w:tc>
          <w:tcPr>
            <w:tcW w:w="1440" w:type="dxa"/>
            <w:tcBorders>
              <w:top w:val="nil"/>
              <w:left w:val="nil"/>
              <w:bottom w:val="single" w:sz="4" w:space="0" w:color="000000"/>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rsidTr="005A60F0">
        <w:trPr>
          <w:trHeight w:val="255"/>
        </w:trPr>
        <w:tc>
          <w:tcPr>
            <w:tcW w:w="3914" w:type="dxa"/>
            <w:gridSpan w:val="3"/>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rsidTr="005A60F0">
        <w:trPr>
          <w:trHeight w:val="255"/>
        </w:trPr>
        <w:tc>
          <w:tcPr>
            <w:tcW w:w="2677" w:type="dxa"/>
            <w:gridSpan w:val="2"/>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rsidR="005A60F0" w:rsidRPr="005A60F0" w:rsidRDefault="005A60F0" w:rsidP="005A60F0">
            <w:pPr>
              <w:rPr>
                <w:rFonts w:ascii="Calibri" w:eastAsia="Times New Roman" w:hAnsi="Calibri" w:cs="Times New Roman"/>
                <w:color w:val="auto"/>
                <w:sz w:val="20"/>
                <w:szCs w:val="20"/>
                <w:lang w:eastAsia="en-US" w:bidi="ar-SA"/>
              </w:rPr>
            </w:pPr>
          </w:p>
        </w:tc>
      </w:tr>
    </w:tbl>
    <w:p w:rsidR="005A60F0" w:rsidRDefault="005A60F0" w:rsidP="00CB0C55">
      <w:pPr>
        <w:spacing w:line="360" w:lineRule="auto"/>
        <w:jc w:val="both"/>
        <w:rPr>
          <w:b/>
        </w:rPr>
      </w:pPr>
    </w:p>
    <w:p w:rsidR="005A60F0" w:rsidRDefault="005A60F0" w:rsidP="00CB0C55">
      <w:pPr>
        <w:spacing w:line="360" w:lineRule="auto"/>
        <w:jc w:val="both"/>
        <w:rPr>
          <w:b/>
        </w:rPr>
      </w:pPr>
    </w:p>
    <w:p w:rsidR="005A60F0" w:rsidRDefault="005A60F0" w:rsidP="00CB0C55">
      <w:pPr>
        <w:spacing w:line="360" w:lineRule="auto"/>
        <w:jc w:val="both"/>
        <w:rPr>
          <w:b/>
        </w:rPr>
      </w:pPr>
    </w:p>
    <w:p w:rsidR="005A60F0" w:rsidRDefault="005A60F0" w:rsidP="00CB0C55">
      <w:pPr>
        <w:spacing w:line="360" w:lineRule="auto"/>
        <w:jc w:val="both"/>
        <w:rPr>
          <w:b/>
        </w:rPr>
      </w:pPr>
    </w:p>
    <w:p w:rsidR="005A60F0" w:rsidRDefault="005A60F0" w:rsidP="00CB0C55">
      <w:pPr>
        <w:spacing w:line="360" w:lineRule="auto"/>
        <w:jc w:val="both"/>
        <w:rPr>
          <w:b/>
        </w:rPr>
      </w:pPr>
    </w:p>
    <w:p w:rsidR="005A60F0" w:rsidRDefault="005A60F0" w:rsidP="00CB0C55">
      <w:pPr>
        <w:spacing w:line="360" w:lineRule="auto"/>
        <w:jc w:val="both"/>
        <w:rPr>
          <w:b/>
        </w:rPr>
      </w:pPr>
    </w:p>
    <w:p w:rsidR="0021637B" w:rsidRDefault="003F7E90" w:rsidP="00FA0EFA">
      <w:pPr>
        <w:pStyle w:val="Heading1"/>
      </w:pPr>
      <w:r>
        <w:t>Conclusion</w:t>
      </w:r>
    </w:p>
    <w:p w:rsidR="00C01559" w:rsidRDefault="00574A4A" w:rsidP="00CC1856">
      <w:pPr>
        <w:spacing w:line="360" w:lineRule="auto"/>
      </w:pPr>
      <w:r>
        <w:t xml:space="preserve">In this paper a difference in differences analysis </w:t>
      </w:r>
      <w:r w:rsidR="00BF455F">
        <w:t>was</w:t>
      </w:r>
      <w:r>
        <w:t xml:space="preserve"> used as well as an</w:t>
      </w:r>
      <w:r w:rsidR="00AC49BF">
        <w:t xml:space="preserve"> analysis on health transitions</w:t>
      </w:r>
      <w:r w:rsidR="003F7E90">
        <w:t xml:space="preserve"> </w:t>
      </w:r>
      <w:r>
        <w:t>in order</w:t>
      </w:r>
      <w:r w:rsidR="00BF455F">
        <w:t xml:space="preserve"> to</w:t>
      </w:r>
      <w:r w:rsidR="003F7E90">
        <w:t xml:space="preserve"> try and find a causal relationship from wealth to health in the Netherlands. The treatment</w:t>
      </w:r>
      <w:r w:rsidR="00AC49BF">
        <w:t xml:space="preserve"> in the difference in differences analysis</w:t>
      </w:r>
      <w:r w:rsidR="003F7E90">
        <w:t xml:space="preserve"> was the change in housing prices caused by the financial crisis and the subsequent bounce back of the housing prices. </w:t>
      </w:r>
      <w:r w:rsidR="00AC49BF">
        <w:t>The DID analysis</w:t>
      </w:r>
      <w:r w:rsidR="003F7E90">
        <w:t xml:space="preserve"> </w:t>
      </w:r>
      <w:r w:rsidR="00AC49BF">
        <w:t>was</w:t>
      </w:r>
      <w:r w:rsidR="003F7E90">
        <w:t xml:space="preserve"> done on two </w:t>
      </w:r>
      <w:r w:rsidR="00AC49BF">
        <w:t>samples</w:t>
      </w:r>
      <w:r w:rsidR="003F7E90">
        <w:t>, one with all observations available and one that only consisted of repeated observed individuals</w:t>
      </w:r>
      <w:r w:rsidR="00C01559">
        <w:t xml:space="preserve">. </w:t>
      </w:r>
      <w:r w:rsidR="00AC49BF">
        <w:t xml:space="preserve">The transitions this study used were negative transitions where a person transitioned from a higher to a lower health scale. </w:t>
      </w:r>
      <w:r>
        <w:t>In the context of this paper, w</w:t>
      </w:r>
      <w:r w:rsidR="00AC49BF">
        <w:t>ealth is defined as the net worth of a person.</w:t>
      </w:r>
    </w:p>
    <w:p w:rsidR="00AC49BF" w:rsidRDefault="00AC49BF" w:rsidP="00CC1856">
      <w:pPr>
        <w:spacing w:line="360" w:lineRule="auto"/>
      </w:pPr>
      <w:r>
        <w:tab/>
        <w:t xml:space="preserve">The DID analysis showed no causal effect from wealth on health in the recurring observations sample. The results from the all observations sample are not robust as the mechanism in this sample did not have the desired effect. The analysis on health transitions rather than health status also showed no causal effect from wealth on health which corresponds to the findings of the DID analysis. </w:t>
      </w:r>
    </w:p>
    <w:p w:rsidR="00AC49BF" w:rsidRDefault="00AC49BF" w:rsidP="00CC1856">
      <w:pPr>
        <w:spacing w:line="360" w:lineRule="auto"/>
      </w:pPr>
      <w:r>
        <w:tab/>
        <w:t>Therefore it can be concluded that there is no evidence of a causal effect which runs from wealth to health in the Netherlands</w:t>
      </w:r>
      <w:r w:rsidR="00344E52">
        <w:t xml:space="preserve"> in the short term</w:t>
      </w:r>
      <w:r>
        <w:t>.</w:t>
      </w:r>
    </w:p>
    <w:p w:rsidR="00153755" w:rsidRDefault="00153755" w:rsidP="00CC1856">
      <w:pPr>
        <w:spacing w:line="360" w:lineRule="auto"/>
      </w:pPr>
      <w:r>
        <w:tab/>
      </w:r>
    </w:p>
    <w:p w:rsidR="00D52D0A" w:rsidRDefault="00C01559" w:rsidP="00CC1856">
      <w:pPr>
        <w:spacing w:line="360" w:lineRule="auto"/>
      </w:pPr>
      <w:r>
        <w:t>`</w:t>
      </w:r>
      <w:r>
        <w:tab/>
      </w:r>
    </w:p>
    <w:p w:rsidR="00D52D0A" w:rsidRDefault="00D52D0A" w:rsidP="00FA0EFA">
      <w:pPr>
        <w:pStyle w:val="Heading1"/>
      </w:pPr>
      <w:r>
        <w:t>Discussion</w:t>
      </w:r>
    </w:p>
    <w:p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affect health and wealth in the same direction. As </w:t>
      </w:r>
      <w:r w:rsidR="00574A4A">
        <w:t>mentioned</w:t>
      </w:r>
      <w:r>
        <w:t xml:space="preserve"> in the constitutional section, the effect from health to wealth is not likely to hold in the Netherlands. Since this paper found evidence that the effect from wealth to health is also insignificant, the third option, another factor that affects health and wealth in the same way</w:t>
      </w:r>
      <w:r w:rsidR="00BF455F">
        <w:t xml:space="preserve">, seems </w:t>
      </w:r>
      <w:r>
        <w:t>most likely</w:t>
      </w:r>
      <w:r w:rsidR="00BF455F">
        <w:t xml:space="preserve"> the case</w:t>
      </w:r>
      <w:r>
        <w:t xml:space="preserve"> in the Netherlands. Research should be done to confirm if this is the case.</w:t>
      </w:r>
    </w:p>
    <w:p w:rsidR="00D52D0A" w:rsidRDefault="00D52D0A" w:rsidP="001311BA">
      <w:pPr>
        <w:spacing w:line="360" w:lineRule="auto"/>
        <w:ind w:firstLine="720"/>
      </w:pPr>
      <w:r>
        <w:t>There are some factors that might have influence on the results of this paper that were out</w:t>
      </w:r>
      <w:r w:rsidR="00BF455F">
        <w:t xml:space="preserve">side </w:t>
      </w:r>
      <w:r>
        <w:t>the scope of the paper to control for</w:t>
      </w:r>
      <w:r w:rsidR="00BF455F">
        <w:t>. Firstly, the</w:t>
      </w:r>
      <w:r>
        <w:t xml:space="preserve"> sample used was rather small, especially in t</w:t>
      </w:r>
      <w:r w:rsidR="00AC49BF">
        <w:t>he same persons sample in the DID analysis and the sample for the health transitions</w:t>
      </w:r>
      <w:r>
        <w:t xml:space="preserve">. This might </w:t>
      </w:r>
      <w:r>
        <w:lastRenderedPageBreak/>
        <w:t>have increased the error and made the estimates less accurate. Research</w:t>
      </w:r>
      <w:r w:rsidR="00AC49BF">
        <w:t xml:space="preserve"> that uses</w:t>
      </w:r>
      <w:r>
        <w:t xml:space="preserve"> a bigger sample might find different results.</w:t>
      </w:r>
    </w:p>
    <w:p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w:t>
      </w:r>
      <w:r w:rsidR="00BF455F">
        <w:t>Something</w:t>
      </w:r>
      <w:r w:rsidR="00C331BC">
        <w:t xml:space="preserve"> t</w:t>
      </w:r>
      <w:r w:rsidR="00BF455F">
        <w:t>hat might have had this effect could be</w:t>
      </w:r>
      <w:r w:rsidR="00C331BC">
        <w:t xml:space="preserve">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395C91">
        <w:t xml:space="preserve">. This may have </w:t>
      </w:r>
      <w:r w:rsidR="00C331BC">
        <w:t>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w:t>
      </w:r>
      <w:r w:rsidR="00AC49BF">
        <w:t xml:space="preserve"> since they received a lower deduction from the income tax they had to pay</w:t>
      </w:r>
      <w:r w:rsidR="00395D0F">
        <w:t xml:space="preserve"> than befor</w:t>
      </w:r>
      <w:r w:rsidR="00BF455F">
        <w:t>e the lowering of the deduction</w:t>
      </w:r>
      <w:r w:rsidR="00C331BC">
        <w:t xml:space="preserve">. </w:t>
      </w:r>
      <w:r w:rsidR="00AC49BF">
        <w:t>The lower income</w:t>
      </w:r>
      <w:r w:rsidR="00C331BC">
        <w:t xml:space="preserve"> could have caused a wors</w:t>
      </w:r>
      <w:r w:rsidR="00C44F7E">
        <w:t xml:space="preserve">e health, therefore reducing the estimated effect of wealth on health in the 2013 – 2017 analysis. </w:t>
      </w:r>
      <w:r w:rsidR="00AC49BF">
        <w:t xml:space="preserve">However, as can be seen in </w:t>
      </w:r>
      <w:r w:rsidR="00E83FD3">
        <w:t>table &lt;&gt;&lt;&gt;!@#!@DE INCOME MECHANISM CHECK&lt;&gt;&lt;!@#!@ we found no evidence that income between the control and treatment group changed in a significant different way between the two groups.</w:t>
      </w:r>
    </w:p>
    <w:p w:rsidR="00344E52" w:rsidRDefault="00344E52" w:rsidP="00CC1856">
      <w:pPr>
        <w:spacing w:line="360" w:lineRule="auto"/>
      </w:pPr>
      <w:r>
        <w:tab/>
        <w:t xml:space="preserve">Another reason why this study might not have found any significant results is </w:t>
      </w:r>
      <w:r w:rsidR="00BF455F">
        <w:t>because</w:t>
      </w:r>
      <w:r>
        <w:t xml:space="preserve"> the average health found in the sample is nearly perfect. This means that improvements in health are very hard to accomplish. This implies that especially in the DID analysis of 2013 – 2017, w</w:t>
      </w:r>
      <w:r w:rsidR="00BF455F">
        <w:t>h</w:t>
      </w:r>
      <w:r>
        <w:t>ere an increase in health was expected since the housing prices rose, it is very hard to find significant improvements in health. It would be interesting to see if different results are found if the DID method used in this paper was conducted in a country with a lower average health.</w:t>
      </w:r>
    </w:p>
    <w:p w:rsidR="00BF455F" w:rsidRDefault="00BF455F" w:rsidP="00CC1856">
      <w:pPr>
        <w:spacing w:line="360" w:lineRule="auto"/>
      </w:pPr>
    </w:p>
    <w:p w:rsidR="00153755" w:rsidRDefault="00153755" w:rsidP="00CC1856">
      <w:pPr>
        <w:spacing w:line="360" w:lineRule="auto"/>
      </w:pPr>
      <w:r>
        <w:tab/>
      </w:r>
      <w:r w:rsidR="00E83FD3">
        <w:t>This paper contributed to the current literature in showing that there is no evidence of a causal effect of wealth on health in the Netherlands. This also means that public policy to increase the average health of the Netherlands should not focus on increasing the wealth of individuals.</w:t>
      </w:r>
      <w:r>
        <w:t xml:space="preserve"> </w:t>
      </w:r>
    </w:p>
    <w:p w:rsidR="00153755" w:rsidRPr="00D52D0A" w:rsidRDefault="00153755" w:rsidP="00C01559"/>
    <w:p w:rsidR="0021637B" w:rsidRPr="00140FF4" w:rsidRDefault="00CB0C55" w:rsidP="002F456C">
      <w:pPr>
        <w:pStyle w:val="Heading1"/>
        <w:rPr>
          <w:lang w:val="nl-NL"/>
        </w:rPr>
      </w:pPr>
      <w:r w:rsidRPr="00140FF4">
        <w:rPr>
          <w:lang w:val="nl-NL"/>
        </w:rPr>
        <w:t>Literatuur</w:t>
      </w:r>
      <w:bookmarkStart w:id="9" w:name="_GoBack"/>
      <w:bookmarkEnd w:id="9"/>
    </w:p>
    <w:p w:rsidR="0021637B" w:rsidRPr="00140FF4" w:rsidRDefault="0021637B" w:rsidP="00CB0C55">
      <w:pPr>
        <w:spacing w:line="360" w:lineRule="auto"/>
        <w:jc w:val="both"/>
        <w:rPr>
          <w:b/>
          <w:bCs/>
          <w:lang w:val="nl-NL"/>
        </w:rPr>
      </w:pPr>
    </w:p>
    <w:p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Pr="00DF1722" w:rsidRDefault="00CB0C55" w:rsidP="00CB0C55">
      <w:pPr>
        <w:spacing w:line="360" w:lineRule="auto"/>
        <w:jc w:val="both"/>
        <w:rPr>
          <w:lang w:val="nl-NL"/>
        </w:rPr>
      </w:pPr>
      <w:r>
        <w:lastRenderedPageBreak/>
        <w:t xml:space="preserve">Au, N., &amp; Johnston, D. (2015). Too Much of a Good Thing? Exploring the Impact of Wealth on Weight. </w:t>
      </w:r>
      <w:r w:rsidRPr="00DF1722">
        <w:rPr>
          <w:lang w:val="nl-NL"/>
        </w:rPr>
        <w:t xml:space="preserve">Health </w:t>
      </w:r>
      <w:proofErr w:type="spellStart"/>
      <w:r w:rsidRPr="00DF1722">
        <w:rPr>
          <w:lang w:val="nl-NL"/>
        </w:rPr>
        <w:t>Economics</w:t>
      </w:r>
      <w:proofErr w:type="spellEnd"/>
      <w:r w:rsidRPr="00DF1722">
        <w:rPr>
          <w:lang w:val="nl-NL"/>
        </w:rPr>
        <w:t>, 24(11), 1403-1421.</w:t>
      </w:r>
    </w:p>
    <w:p w:rsidR="00216444" w:rsidRPr="00DF1722" w:rsidRDefault="00216444" w:rsidP="00CB0C55">
      <w:pPr>
        <w:spacing w:line="360" w:lineRule="auto"/>
        <w:jc w:val="both"/>
        <w:rPr>
          <w:lang w:val="nl-NL"/>
        </w:rPr>
      </w:pPr>
      <w:r w:rsidRPr="00216444">
        <w:rPr>
          <w:lang w:val="nl-NL"/>
        </w:rPr>
        <w:t xml:space="preserve">Belastingdienst. (2018, December 06). Hoogte van mijn inkomen. </w:t>
      </w:r>
      <w:proofErr w:type="spellStart"/>
      <w:r w:rsidRPr="00DF1722">
        <w:rPr>
          <w:lang w:val="nl-NL"/>
        </w:rPr>
        <w:t>Retrieved</w:t>
      </w:r>
      <w:proofErr w:type="spellEnd"/>
      <w:r w:rsidRPr="00DF1722">
        <w:rPr>
          <w:lang w:val="nl-NL"/>
        </w:rPr>
        <w:t xml:space="preserve"> </w:t>
      </w:r>
      <w:proofErr w:type="spellStart"/>
      <w:r w:rsidRPr="00DF1722">
        <w:rPr>
          <w:lang w:val="nl-NL"/>
        </w:rPr>
        <w:t>January</w:t>
      </w:r>
      <w:proofErr w:type="spellEnd"/>
      <w:r w:rsidRPr="00DF1722">
        <w:rPr>
          <w:lang w:val="nl-NL"/>
        </w:rPr>
        <w:t xml:space="preserve"> 29, 2019, </w:t>
      </w:r>
      <w:proofErr w:type="spellStart"/>
      <w:r w:rsidRPr="00DF1722">
        <w:rPr>
          <w:lang w:val="nl-NL"/>
        </w:rPr>
        <w:t>from</w:t>
      </w:r>
      <w:proofErr w:type="spellEnd"/>
      <w:r w:rsidRPr="00DF1722">
        <w:rPr>
          <w:lang w:val="nl-NL"/>
        </w:rPr>
        <w:t xml:space="preserve"> https://www.belastingdienst.nl/wps/wcm/connect/bldcontentnl/belastingdienst/prive/toeslagen/zorgtoeslag/voorwaarden/inkomen/</w:t>
      </w:r>
    </w:p>
    <w:p w:rsidR="0021637B" w:rsidRPr="00DF1722" w:rsidRDefault="0021637B" w:rsidP="00CB0C55">
      <w:pPr>
        <w:spacing w:line="360" w:lineRule="auto"/>
        <w:jc w:val="both"/>
        <w:rPr>
          <w:lang w:val="nl-NL"/>
        </w:rPr>
      </w:pPr>
    </w:p>
    <w:p w:rsidR="0021637B" w:rsidRPr="00140FF4" w:rsidRDefault="00CB0C55" w:rsidP="00CB0C55">
      <w:pPr>
        <w:spacing w:line="360" w:lineRule="auto"/>
        <w:jc w:val="both"/>
        <w:rPr>
          <w:lang w:val="nl-NL"/>
        </w:rPr>
      </w:pPr>
      <w:r>
        <w:t xml:space="preserve">Cai,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rsidR="00E029DD" w:rsidRPr="00140FF4" w:rsidRDefault="00E029DD" w:rsidP="00CB0C55">
      <w:pPr>
        <w:spacing w:line="360" w:lineRule="auto"/>
        <w:jc w:val="both"/>
        <w:rPr>
          <w:lang w:val="nl-NL"/>
        </w:rPr>
      </w:pPr>
    </w:p>
    <w:p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rsidR="0021637B" w:rsidRPr="00E029DD" w:rsidRDefault="0021637B" w:rsidP="00CB0C55">
      <w:pPr>
        <w:spacing w:line="360" w:lineRule="auto"/>
        <w:jc w:val="both"/>
        <w:rPr>
          <w:lang w:val="nl-NL"/>
        </w:rPr>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xml:space="preserve">. (n.d.). DHS data access | CentERdata.nl. Retrieved January 2, 2019, from </w:t>
      </w:r>
      <w:hyperlink r:id="rId10">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10" w:name="__DdeLink__3171_1315779075"/>
      <w:r>
        <w:rPr>
          <w:lang w:val="nl-NL"/>
        </w:rPr>
        <w:t>Het Juridisch Loket. (</w:t>
      </w:r>
      <w:proofErr w:type="spellStart"/>
      <w:r>
        <w:rPr>
          <w:lang w:val="nl-NL"/>
        </w:rPr>
        <w:t>n.d</w:t>
      </w:r>
      <w:proofErr w:type="spellEnd"/>
      <w:r>
        <w:rPr>
          <w:lang w:val="nl-NL"/>
        </w:rPr>
        <w:t>.).</w:t>
      </w:r>
      <w:bookmarkEnd w:id="10"/>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1" w:anchor="Ik-heb-een-tijdelijk-contract" w:history="1">
        <w:r w:rsidR="00C331BC" w:rsidRPr="00206AA8">
          <w:rPr>
            <w:rStyle w:val="Hyperlink"/>
          </w:rPr>
          <w:t>https://www.juridischloket.nl/werk-en-inkomen/ziekte-en-zwangerschap/loondoorbetaling-bij-ziekte/#Ik-heb-een-tijdelijk-contract</w:t>
        </w:r>
      </w:hyperlink>
    </w:p>
    <w:p w:rsidR="00C331BC" w:rsidRDefault="00C331BC" w:rsidP="00CB0C55">
      <w:pPr>
        <w:spacing w:line="360" w:lineRule="auto"/>
        <w:jc w:val="both"/>
      </w:pPr>
    </w:p>
    <w:p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2" w:history="1">
        <w:r w:rsidRPr="00206AA8">
          <w:rPr>
            <w:rStyle w:val="Hyperlink"/>
          </w:rPr>
          <w:t>https://www.homefinance.nl/nieuws-blog/blogberichten/9318/verdere-beperking-hypotheekrenteaftrek/</w:t>
        </w:r>
      </w:hyperlink>
    </w:p>
    <w:p w:rsidR="00C331BC" w:rsidRDefault="00426849" w:rsidP="00CB0C55">
      <w:pPr>
        <w:spacing w:line="360" w:lineRule="auto"/>
        <w:jc w:val="both"/>
      </w:pPr>
      <w:r w:rsidRPr="00426849">
        <w:t>Hurd, M., &amp; Kapteyn, A. (2005). Health, wealth, and the role of institutions. In </w:t>
      </w:r>
      <w:r w:rsidRPr="00426849">
        <w:rPr>
          <w:i/>
          <w:iCs/>
        </w:rPr>
        <w:t>Multidisciplinary Economics</w:t>
      </w:r>
      <w:r w:rsidRPr="00426849">
        <w:t> (pp. 307-332). Springer, Boston, MA.</w:t>
      </w:r>
    </w:p>
    <w:p w:rsidR="00426849" w:rsidRDefault="00426849" w:rsidP="00CB0C55">
      <w:pPr>
        <w:spacing w:line="360" w:lineRule="auto"/>
        <w:jc w:val="both"/>
      </w:pPr>
    </w:p>
    <w:p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lastRenderedPageBreak/>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ma Hissink Muller" w:date="2019-01-30T21:44:00Z" w:initials="EHM">
    <w:p w:rsidR="00C90CEA" w:rsidRPr="001C3F79" w:rsidRDefault="00C90CEA">
      <w:pPr>
        <w:pStyle w:val="CommentText"/>
        <w:rPr>
          <w:lang w:val="nl-NL"/>
        </w:rPr>
      </w:pPr>
      <w:r>
        <w:rPr>
          <w:rStyle w:val="CommentReference"/>
        </w:rPr>
        <w:annotationRef/>
      </w:r>
      <w:r w:rsidRPr="001C3F79">
        <w:rPr>
          <w:lang w:val="nl-NL"/>
        </w:rPr>
        <w:t xml:space="preserve">Je gaat nog wel een titelpagina maken toch? </w:t>
      </w:r>
      <w:r>
        <w:rPr>
          <w:lang w:val="nl-NL"/>
        </w:rPr>
        <w:t xml:space="preserve">Met titel,, ondertitel, docent </w:t>
      </w:r>
      <w:proofErr w:type="spellStart"/>
      <w:r>
        <w:rPr>
          <w:lang w:val="nl-NL"/>
        </w:rPr>
        <w:t>etc</w:t>
      </w:r>
      <w:proofErr w:type="spellEnd"/>
    </w:p>
  </w:comment>
  <w:comment w:id="1" w:author="Emma Hissink Muller" w:date="2019-01-30T21:55:00Z" w:initials="EHM">
    <w:p w:rsidR="00C90CEA" w:rsidRPr="00336848" w:rsidRDefault="00C90CEA">
      <w:pPr>
        <w:pStyle w:val="CommentText"/>
        <w:rPr>
          <w:lang w:val="nl-NL"/>
        </w:rPr>
      </w:pPr>
      <w:r>
        <w:rPr>
          <w:rStyle w:val="CommentReference"/>
        </w:rPr>
        <w:annotationRef/>
      </w:r>
      <w:r w:rsidRPr="00336848">
        <w:rPr>
          <w:lang w:val="nl-NL"/>
        </w:rPr>
        <w:t>Paginanummering toevoegen! (niet op titelpagina)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77FB2" w15:done="0"/>
  <w15:commentEx w15:paraId="3B37DFEF" w15:done="0"/>
  <w15:commentEx w15:paraId="0BC66937" w15:done="0"/>
  <w15:commentEx w15:paraId="622E2801" w15:done="0"/>
  <w15:commentEx w15:paraId="4D23C7B2" w15:done="0"/>
  <w15:commentEx w15:paraId="5966E09F" w15:done="0"/>
  <w15:commentEx w15:paraId="69829BF5" w15:done="0"/>
  <w15:commentEx w15:paraId="67B1C95D" w15:done="0"/>
  <w15:commentEx w15:paraId="40284F95" w15:done="0"/>
  <w15:commentEx w15:paraId="3D06A1F7" w15:done="0"/>
  <w15:commentEx w15:paraId="60E3BDE0" w15:done="0"/>
  <w15:commentEx w15:paraId="2FA85E35" w15:done="0"/>
  <w15:commentEx w15:paraId="0EB6CEEB" w15:done="0"/>
  <w15:commentEx w15:paraId="5ACE8AAA" w15:done="0"/>
  <w15:commentEx w15:paraId="6B667088" w15:done="0"/>
  <w15:commentEx w15:paraId="4A2200AF" w15:done="0"/>
  <w15:commentEx w15:paraId="77BB3B8F" w15:done="0"/>
  <w15:commentEx w15:paraId="13A7B27C" w15:done="0"/>
  <w15:commentEx w15:paraId="7521A880" w15:done="0"/>
  <w15:commentEx w15:paraId="49709AF0" w15:done="0"/>
  <w15:commentEx w15:paraId="3B28BAD6" w15:done="0"/>
  <w15:commentEx w15:paraId="7D121825" w15:done="0"/>
  <w15:commentEx w15:paraId="4DF7F92C" w15:done="0"/>
  <w15:commentEx w15:paraId="4FD12DDB" w15:done="0"/>
  <w15:commentEx w15:paraId="4F965A69" w15:done="0"/>
  <w15:commentEx w15:paraId="32ACF517" w15:done="0"/>
  <w15:commentEx w15:paraId="50734866" w15:done="0"/>
  <w15:commentEx w15:paraId="1C1CEAA0" w15:done="0"/>
  <w15:commentEx w15:paraId="51372496" w15:done="0"/>
  <w15:commentEx w15:paraId="042DA546" w15:done="0"/>
  <w15:commentEx w15:paraId="411275B2" w15:done="0"/>
  <w15:commentEx w15:paraId="46BCD4E3" w15:done="0"/>
  <w15:commentEx w15:paraId="727F6770" w15:done="0"/>
  <w15:commentEx w15:paraId="7A831CEF" w15:done="0"/>
  <w15:commentEx w15:paraId="2108A7FE" w15:done="0"/>
  <w15:commentEx w15:paraId="32120F10" w15:done="0"/>
  <w15:commentEx w15:paraId="71650759" w15:done="0"/>
  <w15:commentEx w15:paraId="186026B9" w15:done="0"/>
  <w15:commentEx w15:paraId="1F0BB463" w15:done="0"/>
  <w15:commentEx w15:paraId="52D497B5" w15:done="0"/>
  <w15:commentEx w15:paraId="1C14C042" w15:done="0"/>
  <w15:commentEx w15:paraId="124DD5A5" w15:done="0"/>
  <w15:commentEx w15:paraId="2D8263EA" w15:done="0"/>
  <w15:commentEx w15:paraId="2ECEE9C9" w15:done="0"/>
  <w15:commentEx w15:paraId="04F3D417" w15:done="0"/>
  <w15:commentEx w15:paraId="15848275" w15:done="0"/>
  <w15:commentEx w15:paraId="38A0E0B9" w15:done="0"/>
  <w15:commentEx w15:paraId="384EA754" w15:done="0"/>
  <w15:commentEx w15:paraId="03F713BC" w15:done="0"/>
  <w15:commentEx w15:paraId="629E8E8D" w15:done="0"/>
  <w15:commentEx w15:paraId="08C5D202" w15:done="0"/>
  <w15:commentEx w15:paraId="2015AACB" w15:done="0"/>
  <w15:commentEx w15:paraId="14182A0E" w15:done="0"/>
  <w15:commentEx w15:paraId="0B896A80" w15:done="0"/>
  <w15:commentEx w15:paraId="1842180D" w15:done="0"/>
  <w15:commentEx w15:paraId="44608735" w15:done="0"/>
  <w15:commentEx w15:paraId="254BAF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77FB2" w16cid:durableId="1FFC32A9"/>
  <w16cid:commentId w16cid:paraId="3B37DFEF" w16cid:durableId="1FFC3370"/>
  <w16cid:commentId w16cid:paraId="0BC66937" w16cid:durableId="1FFC33A6"/>
  <w16cid:commentId w16cid:paraId="622E2801" w16cid:durableId="1FFC340F"/>
  <w16cid:commentId w16cid:paraId="4D23C7B2" w16cid:durableId="1FFC34BA"/>
  <w16cid:commentId w16cid:paraId="5966E09F" w16cid:durableId="1FFC3222"/>
  <w16cid:commentId w16cid:paraId="69829BF5" w16cid:durableId="1FFC34A7"/>
  <w16cid:commentId w16cid:paraId="67B1C95D" w16cid:durableId="1FFC3527"/>
  <w16cid:commentId w16cid:paraId="40284F95" w16cid:durableId="1FFC3513"/>
  <w16cid:commentId w16cid:paraId="3D06A1F7" w16cid:durableId="1FFC360D"/>
  <w16cid:commentId w16cid:paraId="60E3BDE0" w16cid:durableId="1FFC3804"/>
  <w16cid:commentId w16cid:paraId="2FA85E35" w16cid:durableId="1FFC3782"/>
  <w16cid:commentId w16cid:paraId="0EB6CEEB" w16cid:durableId="1FFC3857"/>
  <w16cid:commentId w16cid:paraId="5ACE8AAA" w16cid:durableId="1FFC38C5"/>
  <w16cid:commentId w16cid:paraId="6B667088" w16cid:durableId="1FFC3977"/>
  <w16cid:commentId w16cid:paraId="4A2200AF" w16cid:durableId="1FFC395C"/>
  <w16cid:commentId w16cid:paraId="77BB3B8F" w16cid:durableId="1FFC3998"/>
  <w16cid:commentId w16cid:paraId="13A7B27C" w16cid:durableId="1FFC3A08"/>
  <w16cid:commentId w16cid:paraId="7521A880" w16cid:durableId="1FFC39E9"/>
  <w16cid:commentId w16cid:paraId="49709AF0" w16cid:durableId="1FFC3A53"/>
  <w16cid:commentId w16cid:paraId="3B28BAD6" w16cid:durableId="1FFC3AFF"/>
  <w16cid:commentId w16cid:paraId="7D121825" w16cid:durableId="1FFC3B43"/>
  <w16cid:commentId w16cid:paraId="4DF7F92C" w16cid:durableId="1FFC3B65"/>
  <w16cid:commentId w16cid:paraId="4FD12DDB" w16cid:durableId="1FFC3BE5"/>
  <w16cid:commentId w16cid:paraId="4F965A69" w16cid:durableId="1FFC3BF3"/>
  <w16cid:commentId w16cid:paraId="32ACF517" w16cid:durableId="1FFC3C7E"/>
  <w16cid:commentId w16cid:paraId="50734866" w16cid:durableId="1FFC3D1C"/>
  <w16cid:commentId w16cid:paraId="1C1CEAA0" w16cid:durableId="1FFC3D28"/>
  <w16cid:commentId w16cid:paraId="51372496" w16cid:durableId="1FFC3D54"/>
  <w16cid:commentId w16cid:paraId="042DA546" w16cid:durableId="1FFC3DE4"/>
  <w16cid:commentId w16cid:paraId="411275B2" w16cid:durableId="1FFC3E05"/>
  <w16cid:commentId w16cid:paraId="46BCD4E3" w16cid:durableId="1FFC3E84"/>
  <w16cid:commentId w16cid:paraId="727F6770" w16cid:durableId="1FFC3EB9"/>
  <w16cid:commentId w16cid:paraId="7A831CEF" w16cid:durableId="1FFC3EE9"/>
  <w16cid:commentId w16cid:paraId="2108A7FE" w16cid:durableId="1FFC3F46"/>
  <w16cid:commentId w16cid:paraId="32120F10" w16cid:durableId="1FFC3F8C"/>
  <w16cid:commentId w16cid:paraId="71650759" w16cid:durableId="1FFC3FC0"/>
  <w16cid:commentId w16cid:paraId="186026B9" w16cid:durableId="1FFC400B"/>
  <w16cid:commentId w16cid:paraId="1F0BB463" w16cid:durableId="1FFC407F"/>
  <w16cid:commentId w16cid:paraId="52D497B5" w16cid:durableId="1FFC408D"/>
  <w16cid:commentId w16cid:paraId="1C14C042" w16cid:durableId="1FFC40C3"/>
  <w16cid:commentId w16cid:paraId="124DD5A5" w16cid:durableId="1FFC40F4"/>
  <w16cid:commentId w16cid:paraId="2D8263EA" w16cid:durableId="1FFC4165"/>
  <w16cid:commentId w16cid:paraId="2ECEE9C9" w16cid:durableId="1FFC4202"/>
  <w16cid:commentId w16cid:paraId="04F3D417" w16cid:durableId="1FFC4229"/>
  <w16cid:commentId w16cid:paraId="15848275" w16cid:durableId="1FFC4256"/>
  <w16cid:commentId w16cid:paraId="38A0E0B9" w16cid:durableId="1FFC42F7"/>
  <w16cid:commentId w16cid:paraId="384EA754" w16cid:durableId="1FFC4386"/>
  <w16cid:commentId w16cid:paraId="03F713BC" w16cid:durableId="1FFC43CC"/>
  <w16cid:commentId w16cid:paraId="629E8E8D" w16cid:durableId="1FFC43F4"/>
  <w16cid:commentId w16cid:paraId="08C5D202" w16cid:durableId="1FFC4439"/>
  <w16cid:commentId w16cid:paraId="2015AACB" w16cid:durableId="1FFC448A"/>
  <w16cid:commentId w16cid:paraId="14182A0E" w16cid:durableId="1FFC4586"/>
  <w16cid:commentId w16cid:paraId="0B896A80" w16cid:durableId="1FFC45C0"/>
  <w16cid:commentId w16cid:paraId="1842180D" w16cid:durableId="1FFC46B6"/>
  <w16cid:commentId w16cid:paraId="44608735" w16cid:durableId="1FFC4667"/>
  <w16cid:commentId w16cid:paraId="254BAF95" w16cid:durableId="1FFC47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Hissink Muller">
    <w15:presenceInfo w15:providerId="Windows Live" w15:userId="710f06bd5143f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22BAA"/>
    <w:rsid w:val="00063905"/>
    <w:rsid w:val="000812B9"/>
    <w:rsid w:val="000D5146"/>
    <w:rsid w:val="000E14CB"/>
    <w:rsid w:val="000F20AB"/>
    <w:rsid w:val="000F3B0C"/>
    <w:rsid w:val="000F6B2B"/>
    <w:rsid w:val="001039B8"/>
    <w:rsid w:val="0012486A"/>
    <w:rsid w:val="001311BA"/>
    <w:rsid w:val="00136A2D"/>
    <w:rsid w:val="00140FF4"/>
    <w:rsid w:val="00153755"/>
    <w:rsid w:val="00165674"/>
    <w:rsid w:val="001B7DE6"/>
    <w:rsid w:val="001C3F79"/>
    <w:rsid w:val="001F27DF"/>
    <w:rsid w:val="00200608"/>
    <w:rsid w:val="002064F3"/>
    <w:rsid w:val="0021637B"/>
    <w:rsid w:val="00216444"/>
    <w:rsid w:val="002200E1"/>
    <w:rsid w:val="002425CE"/>
    <w:rsid w:val="00256CE5"/>
    <w:rsid w:val="00260FB3"/>
    <w:rsid w:val="002624B1"/>
    <w:rsid w:val="00264397"/>
    <w:rsid w:val="002807CE"/>
    <w:rsid w:val="00281BBD"/>
    <w:rsid w:val="002A4CCE"/>
    <w:rsid w:val="002B78F1"/>
    <w:rsid w:val="002C68B2"/>
    <w:rsid w:val="002E55E8"/>
    <w:rsid w:val="002E77DB"/>
    <w:rsid w:val="002F456C"/>
    <w:rsid w:val="00322CEC"/>
    <w:rsid w:val="003333BD"/>
    <w:rsid w:val="00336848"/>
    <w:rsid w:val="00344E52"/>
    <w:rsid w:val="003473BC"/>
    <w:rsid w:val="003549BC"/>
    <w:rsid w:val="00356794"/>
    <w:rsid w:val="00362E40"/>
    <w:rsid w:val="0036756A"/>
    <w:rsid w:val="003708D8"/>
    <w:rsid w:val="003752A6"/>
    <w:rsid w:val="00395C91"/>
    <w:rsid w:val="00395D0F"/>
    <w:rsid w:val="003A680B"/>
    <w:rsid w:val="003D3FC0"/>
    <w:rsid w:val="003E0A3D"/>
    <w:rsid w:val="003E3243"/>
    <w:rsid w:val="003F2044"/>
    <w:rsid w:val="003F2F6E"/>
    <w:rsid w:val="003F4713"/>
    <w:rsid w:val="003F55B6"/>
    <w:rsid w:val="003F7E90"/>
    <w:rsid w:val="0041732A"/>
    <w:rsid w:val="00426849"/>
    <w:rsid w:val="00477FF3"/>
    <w:rsid w:val="00482FF7"/>
    <w:rsid w:val="004F0E9D"/>
    <w:rsid w:val="004F5C7E"/>
    <w:rsid w:val="00505577"/>
    <w:rsid w:val="00537927"/>
    <w:rsid w:val="00572B95"/>
    <w:rsid w:val="0057467B"/>
    <w:rsid w:val="00574A4A"/>
    <w:rsid w:val="005871E0"/>
    <w:rsid w:val="00597F36"/>
    <w:rsid w:val="005A60F0"/>
    <w:rsid w:val="005D354D"/>
    <w:rsid w:val="005F1CA0"/>
    <w:rsid w:val="005F26FB"/>
    <w:rsid w:val="005F3328"/>
    <w:rsid w:val="00600E5B"/>
    <w:rsid w:val="006135CF"/>
    <w:rsid w:val="00633FCB"/>
    <w:rsid w:val="00641BD1"/>
    <w:rsid w:val="00643C16"/>
    <w:rsid w:val="00644472"/>
    <w:rsid w:val="006606C2"/>
    <w:rsid w:val="00666727"/>
    <w:rsid w:val="006838F8"/>
    <w:rsid w:val="006A6958"/>
    <w:rsid w:val="006B2DB8"/>
    <w:rsid w:val="006B7292"/>
    <w:rsid w:val="00714BF8"/>
    <w:rsid w:val="00717CCE"/>
    <w:rsid w:val="00721249"/>
    <w:rsid w:val="007264EE"/>
    <w:rsid w:val="007401BC"/>
    <w:rsid w:val="00752990"/>
    <w:rsid w:val="00781B23"/>
    <w:rsid w:val="00786390"/>
    <w:rsid w:val="00786399"/>
    <w:rsid w:val="00795E83"/>
    <w:rsid w:val="00797AFE"/>
    <w:rsid w:val="007C3A87"/>
    <w:rsid w:val="007C4DC3"/>
    <w:rsid w:val="007D1CC9"/>
    <w:rsid w:val="00833754"/>
    <w:rsid w:val="008405BE"/>
    <w:rsid w:val="008532AF"/>
    <w:rsid w:val="00856F7C"/>
    <w:rsid w:val="00883553"/>
    <w:rsid w:val="00886E37"/>
    <w:rsid w:val="008901F4"/>
    <w:rsid w:val="008C08D5"/>
    <w:rsid w:val="008C6126"/>
    <w:rsid w:val="008D077D"/>
    <w:rsid w:val="008D3151"/>
    <w:rsid w:val="00902F80"/>
    <w:rsid w:val="00911593"/>
    <w:rsid w:val="00914D99"/>
    <w:rsid w:val="009205E0"/>
    <w:rsid w:val="00926E14"/>
    <w:rsid w:val="00933464"/>
    <w:rsid w:val="00933FA2"/>
    <w:rsid w:val="00981634"/>
    <w:rsid w:val="009A57E8"/>
    <w:rsid w:val="009A5E32"/>
    <w:rsid w:val="009A6E52"/>
    <w:rsid w:val="009F4386"/>
    <w:rsid w:val="009F6C9A"/>
    <w:rsid w:val="00A07C78"/>
    <w:rsid w:val="00A20A58"/>
    <w:rsid w:val="00A41EAF"/>
    <w:rsid w:val="00A52A25"/>
    <w:rsid w:val="00AC0AFA"/>
    <w:rsid w:val="00AC49BF"/>
    <w:rsid w:val="00AC63DF"/>
    <w:rsid w:val="00AD4CC2"/>
    <w:rsid w:val="00AD5283"/>
    <w:rsid w:val="00AF3927"/>
    <w:rsid w:val="00B019A6"/>
    <w:rsid w:val="00B12788"/>
    <w:rsid w:val="00B17EAE"/>
    <w:rsid w:val="00B3704A"/>
    <w:rsid w:val="00B4560D"/>
    <w:rsid w:val="00B4576D"/>
    <w:rsid w:val="00B71467"/>
    <w:rsid w:val="00BD4BDB"/>
    <w:rsid w:val="00BD6F98"/>
    <w:rsid w:val="00BF04DE"/>
    <w:rsid w:val="00BF455F"/>
    <w:rsid w:val="00C01559"/>
    <w:rsid w:val="00C331BC"/>
    <w:rsid w:val="00C44F7E"/>
    <w:rsid w:val="00C54219"/>
    <w:rsid w:val="00C63542"/>
    <w:rsid w:val="00C82F63"/>
    <w:rsid w:val="00C90CEA"/>
    <w:rsid w:val="00CA1A84"/>
    <w:rsid w:val="00CA4A47"/>
    <w:rsid w:val="00CB0C55"/>
    <w:rsid w:val="00CB1607"/>
    <w:rsid w:val="00CC1856"/>
    <w:rsid w:val="00CD1C7C"/>
    <w:rsid w:val="00CD67CA"/>
    <w:rsid w:val="00CE4340"/>
    <w:rsid w:val="00D00111"/>
    <w:rsid w:val="00D10A65"/>
    <w:rsid w:val="00D10B02"/>
    <w:rsid w:val="00D22FB1"/>
    <w:rsid w:val="00D41ABF"/>
    <w:rsid w:val="00D52D0A"/>
    <w:rsid w:val="00D645B1"/>
    <w:rsid w:val="00D67CD3"/>
    <w:rsid w:val="00DA32DB"/>
    <w:rsid w:val="00DB219C"/>
    <w:rsid w:val="00DD2BC6"/>
    <w:rsid w:val="00DE0519"/>
    <w:rsid w:val="00DF1722"/>
    <w:rsid w:val="00DF29E2"/>
    <w:rsid w:val="00E029DD"/>
    <w:rsid w:val="00E062BA"/>
    <w:rsid w:val="00E52C23"/>
    <w:rsid w:val="00E760DC"/>
    <w:rsid w:val="00E832F4"/>
    <w:rsid w:val="00E83FD3"/>
    <w:rsid w:val="00E909A8"/>
    <w:rsid w:val="00EB11A9"/>
    <w:rsid w:val="00EC6C70"/>
    <w:rsid w:val="00EF0AEE"/>
    <w:rsid w:val="00F063A6"/>
    <w:rsid w:val="00F17AC2"/>
    <w:rsid w:val="00F224CC"/>
    <w:rsid w:val="00F26246"/>
    <w:rsid w:val="00F408DB"/>
    <w:rsid w:val="00F50F3F"/>
    <w:rsid w:val="00F621FB"/>
    <w:rsid w:val="00F666B2"/>
    <w:rsid w:val="00F7238F"/>
    <w:rsid w:val="00FA0EFA"/>
    <w:rsid w:val="00FA3D41"/>
    <w:rsid w:val="00FB513B"/>
    <w:rsid w:val="00FD150D"/>
    <w:rsid w:val="00FD5121"/>
    <w:rsid w:val="00FF0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FA0EF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FA0EFA"/>
    <w:rPr>
      <w:rFonts w:asciiTheme="majorHAnsi" w:eastAsiaTheme="majorEastAsia" w:hAnsiTheme="majorHAnsi" w:cs="Mangal"/>
      <w:b/>
      <w:bCs/>
      <w:i/>
      <w:i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3527">
      <w:bodyDiv w:val="1"/>
      <w:marLeft w:val="0"/>
      <w:marRight w:val="0"/>
      <w:marTop w:val="0"/>
      <w:marBottom w:val="0"/>
      <w:divBdr>
        <w:top w:val="none" w:sz="0" w:space="0" w:color="auto"/>
        <w:left w:val="none" w:sz="0" w:space="0" w:color="auto"/>
        <w:bottom w:val="none" w:sz="0" w:space="0" w:color="auto"/>
        <w:right w:val="none" w:sz="0" w:space="0" w:color="auto"/>
      </w:divBdr>
    </w:div>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55749478">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405736050">
      <w:bodyDiv w:val="1"/>
      <w:marLeft w:val="0"/>
      <w:marRight w:val="0"/>
      <w:marTop w:val="0"/>
      <w:marBottom w:val="0"/>
      <w:divBdr>
        <w:top w:val="none" w:sz="0" w:space="0" w:color="auto"/>
        <w:left w:val="none" w:sz="0" w:space="0" w:color="auto"/>
        <w:bottom w:val="none" w:sz="0" w:space="0" w:color="auto"/>
        <w:right w:val="none" w:sz="0" w:space="0" w:color="auto"/>
      </w:divBdr>
    </w:div>
    <w:div w:id="582647333">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04844691">
      <w:bodyDiv w:val="1"/>
      <w:marLeft w:val="0"/>
      <w:marRight w:val="0"/>
      <w:marTop w:val="0"/>
      <w:marBottom w:val="0"/>
      <w:divBdr>
        <w:top w:val="none" w:sz="0" w:space="0" w:color="auto"/>
        <w:left w:val="none" w:sz="0" w:space="0" w:color="auto"/>
        <w:bottom w:val="none" w:sz="0" w:space="0" w:color="auto"/>
        <w:right w:val="none" w:sz="0" w:space="0" w:color="auto"/>
      </w:divBdr>
    </w:div>
    <w:div w:id="1307664722">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 w:id="1742100973">
      <w:bodyDiv w:val="1"/>
      <w:marLeft w:val="0"/>
      <w:marRight w:val="0"/>
      <w:marTop w:val="0"/>
      <w:marBottom w:val="0"/>
      <w:divBdr>
        <w:top w:val="none" w:sz="0" w:space="0" w:color="auto"/>
        <w:left w:val="none" w:sz="0" w:space="0" w:color="auto"/>
        <w:bottom w:val="none" w:sz="0" w:space="0" w:color="auto"/>
        <w:right w:val="none" w:sz="0" w:space="0" w:color="auto"/>
      </w:divBdr>
    </w:div>
    <w:div w:id="179622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omefinance.nl/nieuws-blog/blogberichten/9318/verdere-beperking-hypotheekrenteaftrek/"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uridischloket.nl/werk-en-inkomen/ziekte-en-zwangerschap/loondoorbetaling-bij-ziekte/"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475C0-ADBA-40F6-A722-7BD99454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10038</Words>
  <Characters>57219</Characters>
  <Application>Microsoft Office Word</Application>
  <DocSecurity>0</DocSecurity>
  <Lines>476</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cp:lastPrinted>2019-01-30T09:57:00Z</cp:lastPrinted>
  <dcterms:created xsi:type="dcterms:W3CDTF">2019-01-31T09:50:00Z</dcterms:created>
  <dcterms:modified xsi:type="dcterms:W3CDTF">2019-01-31T09:50:00Z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