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63" w:rsidRDefault="00062155">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DF1E63" w:rsidRDefault="00DF1E63">
      <w:pPr>
        <w:rPr>
          <w:b/>
          <w:bCs/>
          <w:color w:val="000000"/>
          <w:highlight w:val="white"/>
        </w:rPr>
      </w:pPr>
    </w:p>
    <w:p w:rsidR="00DF1E63" w:rsidRDefault="00DF1E63">
      <w:pPr>
        <w:rPr>
          <w:b/>
          <w:bCs/>
          <w:color w:val="000000"/>
          <w:highlight w:val="white"/>
        </w:rPr>
      </w:pPr>
    </w:p>
    <w:p w:rsidR="00DF1E63" w:rsidRDefault="00062155">
      <w:r w:rsidRPr="00C033D5">
        <w:rPr>
          <w:b/>
          <w:bCs/>
          <w:color w:val="000000"/>
          <w:sz w:val="28"/>
          <w:highlight w:val="white"/>
        </w:rPr>
        <w:t>Introduction</w:t>
      </w:r>
      <w:r>
        <w:rPr>
          <w:b/>
          <w:bCs/>
          <w:color w:val="000000"/>
          <w:highlight w:val="white"/>
        </w:rPr>
        <w:t>:</w:t>
      </w:r>
    </w:p>
    <w:p w:rsidR="00DF1E63" w:rsidRDefault="00062155">
      <w:r>
        <w:t>The positive correlation between health and wealth has been shown many times. Pollack et al. (2007)⁠ for example found 29 studies testing for the correlation between health and wealth. But as they note in the discussion of their paper,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DF1E63" w:rsidRDefault="00062155">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“Wealth in particular is not directly affected by changes in </w:t>
      </w:r>
      <w:proofErr w:type="spellStart"/>
      <w:r>
        <w:t>labour</w:t>
      </w:r>
      <w:proofErr w:type="spellEnd"/>
      <w:r>
        <w:t xml:space="preserve"> market participation that may radically alter the current income level”. This is important “…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xml:space="preserve">, 2010, p. 1025)⁠. They find that wealth is highly relevant in explaining health. </w:t>
      </w:r>
    </w:p>
    <w:p w:rsidR="00DF1E63" w:rsidRDefault="00062155">
      <w: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home-renters alike. The wealth of a person will be defined as the net worth of a person, i.e. all their assets minus their liabilities. Each person will be placed into one of two categories, i.e. healthy (1) or not healthy (0), based on their </w:t>
      </w:r>
      <w:proofErr w:type="spellStart"/>
      <w:r>
        <w:t>self rated</w:t>
      </w:r>
      <w:proofErr w:type="spellEnd"/>
      <w:r>
        <w:t xml:space="preserve"> health.</w:t>
      </w:r>
    </w:p>
    <w:p w:rsidR="00DF1E63" w:rsidRDefault="00062155">
      <w:r>
        <w:tab/>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DF1E63" w:rsidRDefault="00062155">
      <w:r>
        <w:rPr>
          <w:color w:val="000000"/>
          <w:highlight w:val="white"/>
        </w:rPr>
        <w:tab/>
        <w:t xml:space="preserve">The paper will be structured as follows. Chapter 2 will discuss relevant literature on the subject of causality between health and wealth. Chapter 3 will describe the data used and of what the variables consists of. Chapter 4 will describe the statistical methods used. Firstly there will be explained how there will be showed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C033D5">
      <w:pPr>
        <w:rPr>
          <w:b/>
          <w:bCs/>
          <w:color w:val="000000"/>
          <w:sz w:val="28"/>
          <w:highlight w:val="white"/>
        </w:rPr>
      </w:pPr>
      <w:r w:rsidRPr="00C033D5">
        <w:rPr>
          <w:b/>
          <w:bCs/>
          <w:color w:val="000000"/>
          <w:sz w:val="28"/>
          <w:highlight w:val="white"/>
        </w:rPr>
        <w:t>Related literat</w:t>
      </w:r>
      <w:r w:rsidR="00062155" w:rsidRPr="00C033D5">
        <w:rPr>
          <w:b/>
          <w:bCs/>
          <w:color w:val="000000"/>
          <w:sz w:val="28"/>
          <w:highlight w:val="white"/>
        </w:rPr>
        <w:t>ur</w:t>
      </w:r>
      <w:r w:rsidRPr="00C033D5">
        <w:rPr>
          <w:b/>
          <w:bCs/>
          <w:color w:val="000000"/>
          <w:sz w:val="28"/>
          <w:highlight w:val="white"/>
        </w:rPr>
        <w:t>e</w:t>
      </w:r>
      <w:r w:rsidR="00062155" w:rsidRPr="00C033D5">
        <w:rPr>
          <w:b/>
          <w:bCs/>
          <w:color w:val="000000"/>
          <w:sz w:val="28"/>
          <w:highlight w:val="white"/>
        </w:rPr>
        <w:t>:</w:t>
      </w:r>
    </w:p>
    <w:p w:rsidR="00DF1E63" w:rsidRDefault="00062155">
      <w:r>
        <w:rPr>
          <w:color w:val="000000"/>
          <w:highlight w:val="white"/>
        </w:rPr>
        <w:t xml:space="preserve">In their article </w:t>
      </w:r>
      <w:r>
        <w:rPr>
          <w:i/>
          <w:iCs/>
          <w:color w:val="000000"/>
          <w:highlight w:val="white"/>
        </w:rPr>
        <w:t>Should Health Studies Measure Wealth</w:t>
      </w:r>
      <w:r>
        <w:rPr>
          <w:color w:val="000000"/>
          <w:highlight w:val="white"/>
        </w:rPr>
        <w:t xml:space="preserve">,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w:t>
      </w:r>
      <w:proofErr w:type="spellStart"/>
      <w:r>
        <w:rPr>
          <w:color w:val="000000"/>
          <w:highlight w:val="white"/>
        </w:rPr>
        <w:t>healh</w:t>
      </w:r>
      <w:proofErr w:type="spellEnd"/>
      <w:r>
        <w:rPr>
          <w:color w:val="000000"/>
          <w:highlight w:val="white"/>
        </w:rPr>
        <w:t xml:space="preserve"> and wealth. Especially when the wealth variables were constructed from detailed questions instead of simpler questions (for example just a single question). It should however be noted that they only check for correlation and do not address causality.</w:t>
      </w:r>
    </w:p>
    <w:p w:rsidR="00DF1E63" w:rsidRDefault="00062155">
      <w:r>
        <w:rPr>
          <w:color w:val="000000"/>
          <w:highlight w:val="white"/>
        </w:rPr>
        <w:tab/>
        <w:t xml:space="preserve">There are however some studies that do address causality in the health wealth connection and they mostly find negative results.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w:t>
      </w:r>
    </w:p>
    <w:p w:rsidR="00DF1E63" w:rsidRDefault="00062155">
      <w:pPr>
        <w:rPr>
          <w:color w:val="000000"/>
          <w:highlight w:val="white"/>
        </w:rPr>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DF1E63" w:rsidRDefault="00062155">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DF1E63" w:rsidRDefault="00062155">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the paper.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062155">
      <w:pPr>
        <w:rPr>
          <w:b/>
          <w:bCs/>
          <w:color w:val="000000"/>
          <w:sz w:val="28"/>
          <w:highlight w:val="white"/>
        </w:rPr>
      </w:pPr>
      <w:r w:rsidRPr="00C033D5">
        <w:rPr>
          <w:b/>
          <w:bCs/>
          <w:color w:val="000000"/>
          <w:sz w:val="28"/>
          <w:highlight w:val="white"/>
        </w:rPr>
        <w:t>Data</w:t>
      </w:r>
    </w:p>
    <w:p w:rsidR="00DF1E63" w:rsidRDefault="00062155">
      <w:pPr>
        <w:rPr>
          <w:color w:val="000000"/>
          <w:highlight w:val="white"/>
        </w:rPr>
      </w:pPr>
      <w:r>
        <w:rPr>
          <w:color w:val="000000"/>
          <w:highlight w:val="white"/>
        </w:rPr>
        <w:t xml:space="preserve">The data consists of different (yearly) waves from the DHS. The data is collected every year by the </w:t>
      </w:r>
      <w:proofErr w:type="spellStart"/>
      <w:r>
        <w:rPr>
          <w:color w:val="000000"/>
          <w:highlight w:val="white"/>
        </w:rPr>
        <w:t>CentERdata</w:t>
      </w:r>
      <w:proofErr w:type="spellEnd"/>
      <w:r>
        <w:rPr>
          <w:color w:val="000000"/>
          <w:highlight w:val="white"/>
        </w:rPr>
        <w:t>. The DHS consists of six questionnaires:</w:t>
      </w:r>
    </w:p>
    <w:p w:rsidR="00DF1E63" w:rsidRDefault="00062155">
      <w:r>
        <w:rPr>
          <w:color w:val="000000"/>
          <w:spacing w:val="15"/>
          <w:highlight w:val="white"/>
        </w:rPr>
        <w:t>1. General Information on the Household</w:t>
      </w:r>
      <w:r>
        <w:rPr>
          <w:color w:val="000000"/>
          <w:highlight w:val="white"/>
        </w:rPr>
        <w:br/>
      </w:r>
      <w:r>
        <w:rPr>
          <w:color w:val="000000"/>
          <w:spacing w:val="15"/>
          <w:highlight w:val="white"/>
        </w:rPr>
        <w:t>2. Household and Work</w:t>
      </w:r>
      <w:r>
        <w:rPr>
          <w:color w:val="000000"/>
          <w:highlight w:val="white"/>
        </w:rPr>
        <w:br/>
      </w:r>
      <w:r>
        <w:rPr>
          <w:color w:val="000000"/>
          <w:spacing w:val="15"/>
          <w:highlight w:val="white"/>
        </w:rPr>
        <w:t>3. Accommodation and Mortgages</w:t>
      </w:r>
      <w:r>
        <w:rPr>
          <w:color w:val="000000"/>
          <w:highlight w:val="white"/>
        </w:rPr>
        <w:br/>
      </w:r>
      <w:r>
        <w:rPr>
          <w:color w:val="000000"/>
          <w:spacing w:val="15"/>
          <w:highlight w:val="white"/>
        </w:rPr>
        <w:t>4. Health and Income</w:t>
      </w:r>
      <w:r>
        <w:rPr>
          <w:color w:val="000000"/>
          <w:highlight w:val="white"/>
        </w:rPr>
        <w:br/>
      </w:r>
      <w:r>
        <w:rPr>
          <w:color w:val="000000"/>
          <w:spacing w:val="15"/>
          <w:highlight w:val="white"/>
        </w:rPr>
        <w:t>5. Assets and Liabilities</w:t>
      </w:r>
      <w:r>
        <w:rPr>
          <w:color w:val="000000"/>
          <w:highlight w:val="white"/>
        </w:rPr>
        <w:br/>
      </w:r>
      <w:r>
        <w:rPr>
          <w:color w:val="000000"/>
          <w:spacing w:val="15"/>
          <w:highlight w:val="white"/>
        </w:rPr>
        <w:t>6. Economic and Psychological Concepts </w:t>
      </w:r>
    </w:p>
    <w:p w:rsidR="00DF1E63" w:rsidRDefault="00062155">
      <w:pPr>
        <w:rPr>
          <w:color w:val="000000"/>
          <w:spacing w:val="15"/>
          <w:highlight w:val="white"/>
        </w:rPr>
      </w:pPr>
      <w:r>
        <w:rPr>
          <w:color w:val="000000"/>
          <w:spacing w:val="15"/>
          <w:highlight w:val="white"/>
        </w:rPr>
        <w:t xml:space="preserve">(“DHS data access | CentERdata.nl,” </w:t>
      </w:r>
      <w:proofErr w:type="spellStart"/>
      <w:r>
        <w:rPr>
          <w:color w:val="000000"/>
          <w:spacing w:val="15"/>
          <w:highlight w:val="white"/>
        </w:rPr>
        <w:t>n.d.</w:t>
      </w:r>
      <w:proofErr w:type="spellEnd"/>
      <w:r>
        <w:rPr>
          <w:color w:val="000000"/>
          <w:spacing w:val="15"/>
          <w:highlight w:val="white"/>
        </w:rPr>
        <w:t xml:space="preserve">)⁠ </w:t>
      </w:r>
    </w:p>
    <w:p w:rsidR="00DF1E63" w:rsidRDefault="00062155">
      <w:r>
        <w:rPr>
          <w:color w:val="000000"/>
          <w:spacing w:val="15"/>
          <w:highlight w:val="white"/>
        </w:rPr>
        <w:t xml:space="preserve">Besides the questionnaire data, the </w:t>
      </w:r>
      <w:proofErr w:type="spellStart"/>
      <w:r>
        <w:rPr>
          <w:color w:val="000000"/>
          <w:spacing w:val="15"/>
          <w:highlight w:val="white"/>
        </w:rPr>
        <w:t>CentERdata</w:t>
      </w:r>
      <w:proofErr w:type="spellEnd"/>
      <w:r>
        <w:rPr>
          <w:color w:val="000000"/>
          <w:spacing w:val="15"/>
          <w:highlight w:val="white"/>
        </w:rPr>
        <w:t xml:space="preserve"> also provides two aggregated data files, the aggregated income data and the aggregated wealth data. This paper will only use the </w:t>
      </w:r>
      <w:proofErr w:type="spellStart"/>
      <w:r>
        <w:rPr>
          <w:color w:val="000000"/>
          <w:spacing w:val="15"/>
          <w:highlight w:val="white"/>
        </w:rPr>
        <w:t>Healh</w:t>
      </w:r>
      <w:proofErr w:type="spellEnd"/>
      <w:r>
        <w:rPr>
          <w:color w:val="000000"/>
          <w:spacing w:val="15"/>
          <w:highlight w:val="white"/>
        </w:rPr>
        <w:t xml:space="preserve"> and Income questionnaire which includes the self-rated health variable and the aggregated wealth data. The aggregated wealth data is made up from different questionnaires and consists of all the assets and liabilities someone might have.</w:t>
      </w:r>
    </w:p>
    <w:p w:rsidR="00DF1E63" w:rsidRDefault="00062155">
      <w:r>
        <w:rPr>
          <w:color w:val="000000"/>
          <w:spacing w:val="15"/>
          <w:highlight w:val="white"/>
        </w:rPr>
        <w:tab/>
        <w:t xml:space="preserve">The health variable will be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will be places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w:t>
      </w:r>
      <w:proofErr w:type="spellStart"/>
      <w:r>
        <w:rPr>
          <w:color w:val="000000"/>
          <w:spacing w:val="15"/>
          <w:highlight w:val="white"/>
        </w:rPr>
        <w:t>Self rated</w:t>
      </w:r>
      <w:proofErr w:type="spellEnd"/>
      <w:r>
        <w:rPr>
          <w:color w:val="000000"/>
          <w:spacing w:val="15"/>
          <w:highlight w:val="white"/>
        </w:rPr>
        <w:t xml:space="preserve"> health is a good predictor for mortality (Idler &amp; </w:t>
      </w:r>
      <w:proofErr w:type="spellStart"/>
      <w:r>
        <w:rPr>
          <w:color w:val="000000"/>
          <w:spacing w:val="15"/>
          <w:highlight w:val="white"/>
        </w:rPr>
        <w:t>Benyamini</w:t>
      </w:r>
      <w:proofErr w:type="spellEnd"/>
      <w:r>
        <w:rPr>
          <w:color w:val="000000"/>
          <w:spacing w:val="15"/>
          <w:highlight w:val="white"/>
        </w:rPr>
        <w:t>, 1997)⁠ which is a good indicator for health.</w:t>
      </w:r>
    </w:p>
    <w:p w:rsidR="00DF1E63" w:rsidRDefault="00062155">
      <w:r>
        <w:rPr>
          <w:color w:val="000000"/>
          <w:spacing w:val="15"/>
          <w:highlight w:val="white"/>
        </w:rPr>
        <w:tab/>
        <w:t>To check if there is a correlation between wealth and health, a wealth variable needs to be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rsidR="00DF1E63" w:rsidRDefault="00062155">
      <w:r>
        <w:rPr>
          <w:color w:val="000000"/>
          <w:spacing w:val="15"/>
          <w:highlight w:val="white"/>
        </w:rPr>
        <w:tab/>
        <w:t xml:space="preserve">The assets that could be found in the aggregated wealth data were: </w:t>
      </w:r>
    </w:p>
    <w:p w:rsidR="00DF1E63" w:rsidRDefault="00DF1E63">
      <w:pPr>
        <w:rPr>
          <w:color w:val="000000"/>
          <w:spacing w:val="15"/>
          <w:highlight w:val="white"/>
        </w:rPr>
      </w:pPr>
    </w:p>
    <w:p w:rsidR="00DF1E63" w:rsidRDefault="00062155">
      <w:pPr>
        <w:numPr>
          <w:ilvl w:val="0"/>
          <w:numId w:val="1"/>
        </w:numPr>
        <w:rPr>
          <w:color w:val="000000"/>
          <w:spacing w:val="15"/>
          <w:highlight w:val="white"/>
        </w:rPr>
      </w:pPr>
      <w:r>
        <w:rPr>
          <w:color w:val="000000"/>
          <w:spacing w:val="15"/>
          <w:highlight w:val="white"/>
        </w:rPr>
        <w:t>checking accounts</w:t>
      </w:r>
    </w:p>
    <w:p w:rsidR="00DF1E63" w:rsidRDefault="00062155">
      <w:pPr>
        <w:numPr>
          <w:ilvl w:val="0"/>
          <w:numId w:val="1"/>
        </w:numPr>
        <w:rPr>
          <w:color w:val="000000"/>
          <w:spacing w:val="15"/>
          <w:highlight w:val="white"/>
        </w:rPr>
      </w:pPr>
      <w:r>
        <w:rPr>
          <w:color w:val="000000"/>
          <w:spacing w:val="15"/>
          <w:highlight w:val="white"/>
        </w:rPr>
        <w:t>employer-sponsored savings plans</w:t>
      </w:r>
    </w:p>
    <w:p w:rsidR="00DF1E63" w:rsidRDefault="00062155">
      <w:pPr>
        <w:numPr>
          <w:ilvl w:val="0"/>
          <w:numId w:val="1"/>
        </w:numPr>
        <w:rPr>
          <w:color w:val="000000"/>
          <w:spacing w:val="15"/>
          <w:highlight w:val="white"/>
        </w:rPr>
      </w:pPr>
      <w:r>
        <w:rPr>
          <w:color w:val="000000"/>
          <w:spacing w:val="15"/>
          <w:highlight w:val="white"/>
        </w:rPr>
        <w:t>savings or deposit accounts</w:t>
      </w:r>
    </w:p>
    <w:p w:rsidR="00DF1E63" w:rsidRDefault="00062155">
      <w:pPr>
        <w:numPr>
          <w:ilvl w:val="0"/>
          <w:numId w:val="1"/>
        </w:numPr>
        <w:rPr>
          <w:color w:val="000000"/>
          <w:spacing w:val="15"/>
          <w:highlight w:val="white"/>
        </w:rPr>
      </w:pPr>
      <w:r>
        <w:rPr>
          <w:color w:val="000000"/>
          <w:spacing w:val="15"/>
          <w:highlight w:val="white"/>
        </w:rPr>
        <w:t>deposit books</w:t>
      </w:r>
    </w:p>
    <w:p w:rsidR="00DF1E63" w:rsidRDefault="00062155">
      <w:pPr>
        <w:numPr>
          <w:ilvl w:val="0"/>
          <w:numId w:val="1"/>
        </w:numPr>
        <w:rPr>
          <w:color w:val="000000"/>
          <w:spacing w:val="15"/>
          <w:highlight w:val="white"/>
        </w:rPr>
      </w:pPr>
      <w:r>
        <w:rPr>
          <w:color w:val="000000"/>
          <w:spacing w:val="15"/>
          <w:highlight w:val="white"/>
        </w:rPr>
        <w:t>savings certificates</w:t>
      </w:r>
    </w:p>
    <w:p w:rsidR="00DF1E63" w:rsidRDefault="00062155">
      <w:pPr>
        <w:numPr>
          <w:ilvl w:val="0"/>
          <w:numId w:val="1"/>
        </w:numPr>
        <w:rPr>
          <w:color w:val="000000"/>
          <w:spacing w:val="15"/>
          <w:highlight w:val="white"/>
        </w:rPr>
      </w:pPr>
      <w:r>
        <w:rPr>
          <w:color w:val="000000"/>
          <w:spacing w:val="15"/>
          <w:highlight w:val="white"/>
        </w:rPr>
        <w:t>single-premium annuity insurance policies</w:t>
      </w:r>
    </w:p>
    <w:p w:rsidR="00DF1E63" w:rsidRDefault="00062155">
      <w:pPr>
        <w:numPr>
          <w:ilvl w:val="0"/>
          <w:numId w:val="1"/>
        </w:numPr>
        <w:rPr>
          <w:color w:val="000000"/>
          <w:spacing w:val="15"/>
          <w:highlight w:val="white"/>
        </w:rPr>
      </w:pPr>
      <w:r>
        <w:rPr>
          <w:color w:val="000000"/>
          <w:spacing w:val="15"/>
          <w:highlight w:val="white"/>
        </w:rPr>
        <w:t>savings or endowment insurance policies</w:t>
      </w:r>
    </w:p>
    <w:p w:rsidR="00DF1E63" w:rsidRDefault="00062155">
      <w:pPr>
        <w:numPr>
          <w:ilvl w:val="0"/>
          <w:numId w:val="1"/>
        </w:numPr>
        <w:rPr>
          <w:color w:val="000000"/>
          <w:spacing w:val="15"/>
          <w:highlight w:val="white"/>
        </w:rPr>
      </w:pPr>
      <w:r>
        <w:rPr>
          <w:color w:val="000000"/>
          <w:spacing w:val="15"/>
          <w:highlight w:val="white"/>
        </w:rPr>
        <w:t>growth funds</w:t>
      </w:r>
    </w:p>
    <w:p w:rsidR="00DF1E63" w:rsidRDefault="00062155">
      <w:pPr>
        <w:numPr>
          <w:ilvl w:val="0"/>
          <w:numId w:val="1"/>
        </w:numPr>
        <w:rPr>
          <w:color w:val="000000"/>
          <w:spacing w:val="15"/>
          <w:highlight w:val="white"/>
        </w:rPr>
      </w:pPr>
      <w:r>
        <w:rPr>
          <w:color w:val="000000"/>
          <w:spacing w:val="15"/>
          <w:highlight w:val="white"/>
        </w:rPr>
        <w:t>mutual funds and/or mutual fund accounts</w:t>
      </w:r>
    </w:p>
    <w:p w:rsidR="00DF1E63" w:rsidRDefault="00062155">
      <w:pPr>
        <w:numPr>
          <w:ilvl w:val="0"/>
          <w:numId w:val="1"/>
        </w:numPr>
        <w:rPr>
          <w:color w:val="000000"/>
          <w:spacing w:val="15"/>
          <w:highlight w:val="white"/>
        </w:rPr>
      </w:pPr>
      <w:r>
        <w:rPr>
          <w:color w:val="000000"/>
          <w:spacing w:val="15"/>
          <w:highlight w:val="white"/>
        </w:rPr>
        <w:t>bonds and/or mortgage bonds</w:t>
      </w:r>
    </w:p>
    <w:p w:rsidR="00DF1E63" w:rsidRDefault="00062155">
      <w:pPr>
        <w:numPr>
          <w:ilvl w:val="0"/>
          <w:numId w:val="1"/>
        </w:numPr>
        <w:rPr>
          <w:color w:val="000000"/>
          <w:spacing w:val="15"/>
          <w:highlight w:val="white"/>
        </w:rPr>
      </w:pPr>
      <w:r>
        <w:rPr>
          <w:color w:val="000000"/>
          <w:spacing w:val="15"/>
          <w:highlight w:val="white"/>
        </w:rPr>
        <w:t>stocks and shares</w:t>
      </w:r>
    </w:p>
    <w:p w:rsidR="00DF1E63" w:rsidRDefault="00062155">
      <w:pPr>
        <w:numPr>
          <w:ilvl w:val="0"/>
          <w:numId w:val="1"/>
        </w:numPr>
        <w:rPr>
          <w:color w:val="000000"/>
          <w:spacing w:val="15"/>
          <w:highlight w:val="white"/>
        </w:rPr>
      </w:pPr>
      <w:r>
        <w:rPr>
          <w:color w:val="000000"/>
          <w:spacing w:val="15"/>
          <w:highlight w:val="white"/>
        </w:rPr>
        <w:t>put options bought</w:t>
      </w:r>
    </w:p>
    <w:p w:rsidR="00DF1E63" w:rsidRDefault="00062155">
      <w:pPr>
        <w:numPr>
          <w:ilvl w:val="0"/>
          <w:numId w:val="1"/>
        </w:numPr>
        <w:rPr>
          <w:color w:val="000000"/>
          <w:spacing w:val="15"/>
          <w:highlight w:val="white"/>
        </w:rPr>
      </w:pPr>
      <w:r>
        <w:rPr>
          <w:color w:val="000000"/>
          <w:spacing w:val="15"/>
          <w:highlight w:val="white"/>
        </w:rPr>
        <w:t>put options written</w:t>
      </w:r>
    </w:p>
    <w:p w:rsidR="00DF1E63" w:rsidRDefault="00062155">
      <w:pPr>
        <w:numPr>
          <w:ilvl w:val="0"/>
          <w:numId w:val="1"/>
        </w:numPr>
        <w:rPr>
          <w:color w:val="000000"/>
          <w:spacing w:val="15"/>
          <w:highlight w:val="white"/>
        </w:rPr>
      </w:pPr>
      <w:r>
        <w:rPr>
          <w:color w:val="000000"/>
          <w:spacing w:val="15"/>
          <w:highlight w:val="white"/>
        </w:rPr>
        <w:t>call options bought</w:t>
      </w:r>
    </w:p>
    <w:p w:rsidR="00DF1E63" w:rsidRDefault="00062155">
      <w:pPr>
        <w:numPr>
          <w:ilvl w:val="0"/>
          <w:numId w:val="1"/>
        </w:numPr>
        <w:rPr>
          <w:color w:val="000000"/>
          <w:spacing w:val="15"/>
          <w:highlight w:val="white"/>
        </w:rPr>
      </w:pPr>
      <w:r>
        <w:rPr>
          <w:color w:val="000000"/>
          <w:spacing w:val="15"/>
          <w:highlight w:val="white"/>
        </w:rPr>
        <w:t>call options written</w:t>
      </w:r>
    </w:p>
    <w:p w:rsidR="00DF1E63" w:rsidRDefault="00062155">
      <w:pPr>
        <w:numPr>
          <w:ilvl w:val="0"/>
          <w:numId w:val="1"/>
        </w:numPr>
        <w:rPr>
          <w:color w:val="000000"/>
          <w:spacing w:val="15"/>
          <w:highlight w:val="white"/>
        </w:rPr>
      </w:pPr>
      <w:r>
        <w:rPr>
          <w:color w:val="000000"/>
          <w:spacing w:val="15"/>
          <w:highlight w:val="white"/>
        </w:rPr>
        <w:t>pieces of real estate, not being used for own accommodation</w:t>
      </w:r>
    </w:p>
    <w:p w:rsidR="00DF1E63" w:rsidRDefault="00062155">
      <w:pPr>
        <w:numPr>
          <w:ilvl w:val="0"/>
          <w:numId w:val="1"/>
        </w:numPr>
        <w:rPr>
          <w:color w:val="000000"/>
          <w:spacing w:val="15"/>
          <w:highlight w:val="white"/>
        </w:rPr>
      </w:pPr>
      <w:r>
        <w:rPr>
          <w:color w:val="000000"/>
          <w:spacing w:val="15"/>
          <w:highlight w:val="white"/>
        </w:rPr>
        <w:lastRenderedPageBreak/>
        <w:t>value of life insurance mortgage real estate</w:t>
      </w:r>
    </w:p>
    <w:p w:rsidR="00DF1E63" w:rsidRDefault="00062155">
      <w:pPr>
        <w:numPr>
          <w:ilvl w:val="0"/>
          <w:numId w:val="1"/>
        </w:numPr>
        <w:rPr>
          <w:color w:val="000000"/>
          <w:spacing w:val="15"/>
          <w:highlight w:val="white"/>
        </w:rPr>
      </w:pPr>
      <w:r>
        <w:rPr>
          <w:color w:val="000000"/>
          <w:spacing w:val="15"/>
          <w:highlight w:val="white"/>
        </w:rPr>
        <w:t>cars</w:t>
      </w:r>
    </w:p>
    <w:p w:rsidR="00DF1E63" w:rsidRDefault="00062155">
      <w:pPr>
        <w:numPr>
          <w:ilvl w:val="0"/>
          <w:numId w:val="1"/>
        </w:numPr>
        <w:rPr>
          <w:color w:val="000000"/>
          <w:spacing w:val="15"/>
          <w:highlight w:val="white"/>
        </w:rPr>
      </w:pPr>
      <w:r>
        <w:rPr>
          <w:color w:val="000000"/>
          <w:spacing w:val="15"/>
          <w:highlight w:val="white"/>
        </w:rPr>
        <w:t>motorbikes</w:t>
      </w:r>
    </w:p>
    <w:p w:rsidR="00DF1E63" w:rsidRDefault="00062155">
      <w:pPr>
        <w:numPr>
          <w:ilvl w:val="0"/>
          <w:numId w:val="1"/>
        </w:numPr>
        <w:rPr>
          <w:color w:val="000000"/>
          <w:spacing w:val="15"/>
          <w:highlight w:val="white"/>
        </w:rPr>
      </w:pPr>
      <w:r>
        <w:rPr>
          <w:color w:val="000000"/>
          <w:spacing w:val="15"/>
          <w:highlight w:val="white"/>
        </w:rPr>
        <w:t>boats</w:t>
      </w:r>
    </w:p>
    <w:p w:rsidR="00DF1E63" w:rsidRDefault="00062155">
      <w:pPr>
        <w:numPr>
          <w:ilvl w:val="0"/>
          <w:numId w:val="1"/>
        </w:numPr>
        <w:rPr>
          <w:color w:val="000000"/>
          <w:spacing w:val="15"/>
          <w:highlight w:val="white"/>
        </w:rPr>
      </w:pPr>
      <w:r>
        <w:rPr>
          <w:color w:val="000000"/>
          <w:spacing w:val="15"/>
          <w:highlight w:val="white"/>
        </w:rPr>
        <w:t>(site-)caravans/trailers</w:t>
      </w:r>
    </w:p>
    <w:p w:rsidR="00DF1E63" w:rsidRDefault="00062155">
      <w:pPr>
        <w:numPr>
          <w:ilvl w:val="0"/>
          <w:numId w:val="1"/>
        </w:numPr>
        <w:rPr>
          <w:color w:val="000000"/>
          <w:spacing w:val="15"/>
          <w:highlight w:val="white"/>
        </w:rPr>
      </w:pPr>
      <w:r>
        <w:rPr>
          <w:color w:val="000000"/>
          <w:spacing w:val="15"/>
          <w:highlight w:val="white"/>
        </w:rPr>
        <w:t>money lent out to family or friends</w:t>
      </w:r>
    </w:p>
    <w:p w:rsidR="00DF1E63" w:rsidRDefault="00062155">
      <w:pPr>
        <w:numPr>
          <w:ilvl w:val="0"/>
          <w:numId w:val="1"/>
        </w:numPr>
        <w:rPr>
          <w:color w:val="000000"/>
          <w:spacing w:val="15"/>
          <w:highlight w:val="white"/>
        </w:rPr>
      </w:pPr>
      <w:r>
        <w:rPr>
          <w:color w:val="000000"/>
          <w:spacing w:val="15"/>
          <w:highlight w:val="white"/>
        </w:rPr>
        <w:t>savings or investments not mentioned before</w:t>
      </w:r>
    </w:p>
    <w:p w:rsidR="00DF1E63" w:rsidRDefault="00062155">
      <w:pPr>
        <w:numPr>
          <w:ilvl w:val="0"/>
          <w:numId w:val="1"/>
        </w:numPr>
        <w:rPr>
          <w:color w:val="000000"/>
          <w:spacing w:val="15"/>
          <w:highlight w:val="white"/>
        </w:rPr>
      </w:pPr>
      <w:r>
        <w:rPr>
          <w:color w:val="000000"/>
          <w:spacing w:val="15"/>
          <w:highlight w:val="white"/>
        </w:rPr>
        <w:t>stocks from substantial holding</w:t>
      </w:r>
    </w:p>
    <w:p w:rsidR="00DF1E63" w:rsidRDefault="00062155">
      <w:pPr>
        <w:numPr>
          <w:ilvl w:val="0"/>
          <w:numId w:val="1"/>
        </w:numPr>
        <w:rPr>
          <w:color w:val="000000"/>
          <w:spacing w:val="15"/>
          <w:highlight w:val="white"/>
        </w:rPr>
      </w:pPr>
      <w:r>
        <w:rPr>
          <w:color w:val="000000"/>
          <w:spacing w:val="15"/>
          <w:highlight w:val="white"/>
        </w:rPr>
        <w:t>business equity (professions)</w:t>
      </w:r>
    </w:p>
    <w:p w:rsidR="00DF1E63" w:rsidRDefault="00062155">
      <w:pPr>
        <w:numPr>
          <w:ilvl w:val="0"/>
          <w:numId w:val="1"/>
        </w:numPr>
      </w:pPr>
      <w:r>
        <w:rPr>
          <w:color w:val="000000"/>
          <w:spacing w:val="15"/>
          <w:highlight w:val="white"/>
        </w:rPr>
        <w:t>business equity self-employed</w:t>
      </w:r>
    </w:p>
    <w:p w:rsidR="00DF1E63" w:rsidRDefault="00DF1E63">
      <w:pPr>
        <w:ind w:left="720"/>
        <w:rPr>
          <w:color w:val="000000"/>
          <w:spacing w:val="15"/>
          <w:highlight w:val="white"/>
        </w:rPr>
      </w:pPr>
    </w:p>
    <w:p w:rsidR="00DF1E63" w:rsidRDefault="00062155">
      <w:r>
        <w:rPr>
          <w:color w:val="000000"/>
          <w:spacing w:val="15"/>
          <w:highlight w:val="white"/>
        </w:rPr>
        <w:t>The liabilities consist of:</w:t>
      </w:r>
    </w:p>
    <w:p w:rsidR="00DF1E63" w:rsidRDefault="00DF1E63">
      <w:pPr>
        <w:rPr>
          <w:color w:val="000000"/>
          <w:spacing w:val="15"/>
          <w:highlight w:val="white"/>
        </w:rPr>
      </w:pPr>
    </w:p>
    <w:p w:rsidR="00DF1E63" w:rsidRDefault="00062155">
      <w:pPr>
        <w:numPr>
          <w:ilvl w:val="0"/>
          <w:numId w:val="2"/>
        </w:numPr>
        <w:rPr>
          <w:color w:val="000000"/>
          <w:spacing w:val="15"/>
          <w:highlight w:val="white"/>
        </w:rPr>
      </w:pPr>
      <w:r>
        <w:rPr>
          <w:color w:val="000000"/>
          <w:spacing w:val="15"/>
          <w:highlight w:val="white"/>
        </w:rPr>
        <w:t>private loans</w:t>
      </w:r>
    </w:p>
    <w:p w:rsidR="00DF1E63" w:rsidRDefault="00062155">
      <w:pPr>
        <w:numPr>
          <w:ilvl w:val="0"/>
          <w:numId w:val="2"/>
        </w:numPr>
        <w:rPr>
          <w:color w:val="000000"/>
          <w:spacing w:val="15"/>
          <w:highlight w:val="white"/>
        </w:rPr>
      </w:pPr>
      <w:r>
        <w:rPr>
          <w:color w:val="000000"/>
          <w:spacing w:val="15"/>
          <w:highlight w:val="white"/>
        </w:rPr>
        <w:t>extended lines of credit</w:t>
      </w:r>
    </w:p>
    <w:p w:rsidR="00DF1E63" w:rsidRDefault="00062155">
      <w:pPr>
        <w:numPr>
          <w:ilvl w:val="0"/>
          <w:numId w:val="2"/>
        </w:numPr>
        <w:rPr>
          <w:color w:val="000000"/>
          <w:spacing w:val="15"/>
          <w:highlight w:val="white"/>
        </w:rPr>
      </w:pPr>
      <w:r>
        <w:rPr>
          <w:color w:val="000000"/>
          <w:spacing w:val="15"/>
          <w:highlight w:val="white"/>
        </w:rPr>
        <w:t>outstanding debts not mentioned earlier</w:t>
      </w:r>
    </w:p>
    <w:p w:rsidR="00DF1E63" w:rsidRDefault="00062155">
      <w:pPr>
        <w:numPr>
          <w:ilvl w:val="0"/>
          <w:numId w:val="2"/>
        </w:numPr>
        <w:rPr>
          <w:color w:val="000000"/>
          <w:spacing w:val="15"/>
          <w:highlight w:val="white"/>
        </w:rPr>
      </w:pPr>
      <w:r>
        <w:rPr>
          <w:color w:val="000000"/>
          <w:spacing w:val="15"/>
          <w:highlight w:val="white"/>
        </w:rPr>
        <w:t>finance debts</w:t>
      </w:r>
    </w:p>
    <w:p w:rsidR="00DF1E63" w:rsidRDefault="00062155">
      <w:pPr>
        <w:numPr>
          <w:ilvl w:val="0"/>
          <w:numId w:val="2"/>
        </w:numPr>
        <w:rPr>
          <w:color w:val="000000"/>
          <w:spacing w:val="15"/>
          <w:highlight w:val="white"/>
        </w:rPr>
      </w:pPr>
      <w:r>
        <w:rPr>
          <w:color w:val="000000"/>
          <w:spacing w:val="15"/>
          <w:highlight w:val="white"/>
        </w:rPr>
        <w:t>loans from family or friends</w:t>
      </w:r>
    </w:p>
    <w:p w:rsidR="00DF1E63" w:rsidRDefault="00062155">
      <w:pPr>
        <w:numPr>
          <w:ilvl w:val="0"/>
          <w:numId w:val="2"/>
        </w:numPr>
        <w:rPr>
          <w:color w:val="000000"/>
          <w:spacing w:val="15"/>
          <w:highlight w:val="white"/>
        </w:rPr>
      </w:pPr>
      <w:r>
        <w:rPr>
          <w:color w:val="000000"/>
          <w:spacing w:val="15"/>
          <w:highlight w:val="white"/>
        </w:rPr>
        <w:t>study loans</w:t>
      </w:r>
    </w:p>
    <w:p w:rsidR="00DF1E63" w:rsidRDefault="00062155">
      <w:pPr>
        <w:numPr>
          <w:ilvl w:val="0"/>
          <w:numId w:val="2"/>
        </w:numPr>
        <w:rPr>
          <w:color w:val="000000"/>
          <w:spacing w:val="15"/>
          <w:highlight w:val="white"/>
        </w:rPr>
      </w:pPr>
      <w:r>
        <w:rPr>
          <w:color w:val="000000"/>
          <w:spacing w:val="15"/>
          <w:highlight w:val="white"/>
        </w:rPr>
        <w:t>credit card debts</w:t>
      </w:r>
    </w:p>
    <w:p w:rsidR="00DF1E63" w:rsidRDefault="00062155">
      <w:pPr>
        <w:numPr>
          <w:ilvl w:val="0"/>
          <w:numId w:val="2"/>
        </w:numPr>
        <w:rPr>
          <w:color w:val="000000"/>
          <w:spacing w:val="15"/>
          <w:highlight w:val="white"/>
        </w:rPr>
      </w:pPr>
      <w:r>
        <w:rPr>
          <w:color w:val="000000"/>
          <w:spacing w:val="15"/>
          <w:highlight w:val="white"/>
        </w:rPr>
        <w:t>loans not mentioned before</w:t>
      </w:r>
    </w:p>
    <w:p w:rsidR="00DF1E63" w:rsidRDefault="00062155">
      <w:pPr>
        <w:numPr>
          <w:ilvl w:val="0"/>
          <w:numId w:val="2"/>
        </w:numPr>
        <w:rPr>
          <w:color w:val="000000"/>
          <w:spacing w:val="15"/>
          <w:highlight w:val="white"/>
        </w:rPr>
      </w:pPr>
      <w:r>
        <w:rPr>
          <w:color w:val="000000"/>
          <w:spacing w:val="15"/>
          <w:highlight w:val="white"/>
        </w:rPr>
        <w:t>checking accounts with negative balance</w:t>
      </w:r>
    </w:p>
    <w:p w:rsidR="00DF1E63" w:rsidRDefault="00DF1E63">
      <w:pPr>
        <w:rPr>
          <w:color w:val="000000"/>
          <w:spacing w:val="15"/>
          <w:highlight w:val="white"/>
        </w:rPr>
      </w:pPr>
    </w:p>
    <w:p w:rsidR="00644187" w:rsidRDefault="00644187" w:rsidP="00644187">
      <w:pPr>
        <w:keepNext/>
        <w:jc w:val="right"/>
      </w:pPr>
      <w:r>
        <w:rPr>
          <w:noProof/>
          <w:lang w:eastAsia="en-US" w:bidi="ar-SA"/>
        </w:rPr>
        <w:lastRenderedPageBreak/>
        <w:drawing>
          <wp:inline distT="0" distB="0" distL="0" distR="0" wp14:anchorId="6084EA83" wp14:editId="662582E6">
            <wp:extent cx="4972050" cy="48863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4972050" cy="4886325"/>
                    </a:xfrm>
                    <a:prstGeom prst="rect">
                      <a:avLst/>
                    </a:prstGeom>
                  </pic:spPr>
                </pic:pic>
              </a:graphicData>
            </a:graphic>
          </wp:inline>
        </w:drawing>
      </w:r>
    </w:p>
    <w:p w:rsidR="00644187" w:rsidRDefault="00644187" w:rsidP="00644187">
      <w:pPr>
        <w:pStyle w:val="Caption"/>
        <w:jc w:val="right"/>
      </w:pPr>
      <w:r>
        <w:t xml:space="preserve">Figure </w:t>
      </w:r>
      <w:r w:rsidR="00167C3A">
        <w:fldChar w:fldCharType="begin"/>
      </w:r>
      <w:r w:rsidR="00167C3A">
        <w:instrText xml:space="preserve"> SEQ Figure \* ARABIC </w:instrText>
      </w:r>
      <w:r w:rsidR="00167C3A">
        <w:fldChar w:fldCharType="separate"/>
      </w:r>
      <w:r>
        <w:rPr>
          <w:noProof/>
        </w:rPr>
        <w:t>1</w:t>
      </w:r>
      <w:r w:rsidR="00167C3A">
        <w:rPr>
          <w:noProof/>
        </w:rPr>
        <w:fldChar w:fldCharType="end"/>
      </w:r>
      <w:r>
        <w:t xml:space="preserve"> Housing Prices in the Netherlands</w:t>
      </w:r>
    </w:p>
    <w:p w:rsidR="00DF1E63" w:rsidRDefault="00062155" w:rsidP="00644187">
      <w:pPr>
        <w:jc w:val="right"/>
        <w:rPr>
          <w:color w:val="000000"/>
          <w:spacing w:val="15"/>
          <w:highlight w:val="white"/>
        </w:rPr>
      </w:pPr>
      <w:r>
        <w:rPr>
          <w:color w:val="000000"/>
          <w:spacing w:val="15"/>
          <w:highlight w:val="white"/>
        </w:rPr>
        <w:tab/>
      </w: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062155">
      <w:r>
        <w:rPr>
          <w:color w:val="000000"/>
          <w:spacing w:val="15"/>
          <w:highlight w:val="white"/>
        </w:rPr>
        <w:t>This paper will use the waves from 2007, 2013 and 2017. As is clearly visible in figure 1, the housing prices peaked somewhere in 2008. Because it is not clear when the data is collected it makes sense to take 2007 as the pretreatment year.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w:t>
      </w:r>
    </w:p>
    <w:p w:rsidR="00DF1E63" w:rsidRDefault="00DF1E63">
      <w:pPr>
        <w:rPr>
          <w:color w:val="000000"/>
          <w:spacing w:val="15"/>
          <w:highlight w:val="white"/>
        </w:rPr>
      </w:pPr>
    </w:p>
    <w:p w:rsidR="00DF1E63" w:rsidRDefault="00DF1E63">
      <w:pPr>
        <w:rPr>
          <w:b/>
          <w:bCs/>
          <w:color w:val="000000"/>
          <w:spacing w:val="15"/>
          <w:highlight w:val="white"/>
        </w:rPr>
      </w:pPr>
    </w:p>
    <w:p w:rsidR="00DF1E63" w:rsidRDefault="00DF1E63">
      <w:pPr>
        <w:rPr>
          <w:b/>
          <w:bCs/>
          <w:color w:val="000000"/>
          <w:spacing w:val="15"/>
          <w:highlight w:val="white"/>
        </w:rPr>
      </w:pPr>
    </w:p>
    <w:p w:rsidR="00DF1E63" w:rsidRDefault="00DF1E63">
      <w:pPr>
        <w:rPr>
          <w:b/>
          <w:bCs/>
          <w:color w:val="000000"/>
          <w:spacing w:val="15"/>
          <w:highlight w:val="white"/>
        </w:rPr>
      </w:pPr>
    </w:p>
    <w:p w:rsidR="00DF1E63" w:rsidRPr="00C033D5" w:rsidRDefault="00062155">
      <w:pPr>
        <w:rPr>
          <w:sz w:val="28"/>
        </w:rPr>
      </w:pPr>
      <w:r w:rsidRPr="00C033D5">
        <w:rPr>
          <w:b/>
          <w:bCs/>
          <w:color w:val="000000"/>
          <w:spacing w:val="15"/>
          <w:sz w:val="28"/>
          <w:highlight w:val="white"/>
        </w:rPr>
        <w:t>Methods</w:t>
      </w:r>
    </w:p>
    <w:p w:rsidR="00DF1E63" w:rsidRDefault="00062155">
      <w:r>
        <w:t xml:space="preserve">First this paper will use a simple </w:t>
      </w:r>
      <w:r w:rsidR="00C033D5">
        <w:t>ordinary least squares (OLS)</w:t>
      </w:r>
      <w:r>
        <w:t xml:space="preserve">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DF1E63" w:rsidRDefault="00062155">
      <w:r>
        <w:tab/>
        <w:t>Secondly, this paper uses a difference in difference (DD) analysis to look for a causal effect from wealth to health.</w:t>
      </w:r>
      <w:r w:rsidR="00071F0B">
        <w:t xml:space="preserve"> Health is defined in the same way as in the OLS regression.</w:t>
      </w:r>
      <w:r>
        <w:t xml:space="preserve">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DF1E63" w:rsidRDefault="00062155">
      <w: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rsidR="00DF1E63" w:rsidRDefault="00062155">
      <w:r>
        <w:tab/>
      </w:r>
    </w:p>
    <w:p w:rsidR="00DF1E63" w:rsidRDefault="00062155">
      <w:r>
        <w:t>The following regression model will be used:</w:t>
      </w:r>
    </w:p>
    <w:p w:rsidR="00DF1E63" w:rsidRDefault="00062155">
      <w:pPr>
        <w:jc w:val="center"/>
      </w:pPr>
      <w:r>
        <w:tab/>
      </w:r>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*Diff+</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*Time*Diff+ε</m:t>
        </m:r>
      </m:oMath>
    </w:p>
    <w:p w:rsidR="00DF1E63" w:rsidRDefault="00062155">
      <w:r>
        <w:t>Where Time is the time trend in the control group, Diff is the difference between the two groups pre-intervention and Time * Diff is the difference in change over time.</w:t>
      </w:r>
    </w:p>
    <w:p w:rsidR="00DF1E63" w:rsidRDefault="00062155">
      <w:r>
        <w:tab/>
        <w:t>Therefore the hypotheses are:</w:t>
      </w:r>
    </w:p>
    <w:p w:rsidR="00DF1E63" w:rsidRDefault="00062155">
      <w:pPr>
        <w:jc w:val="center"/>
      </w:pPr>
      <w:r>
        <w:tab/>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w:p>
    <w:p w:rsidR="00DF1E63" w:rsidRDefault="00062155">
      <w:pPr>
        <w:jc w:val="center"/>
      </w:pPr>
      <w:r>
        <w:tab/>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w:p>
    <w:p w:rsidR="00DF1E63" w:rsidRDefault="00DF1E63"/>
    <w:p w:rsidR="00DF1E63" w:rsidRDefault="00DF1E63"/>
    <w:p w:rsidR="00DF1E63" w:rsidRDefault="00DF1E63"/>
    <w:p w:rsidR="00C033D5" w:rsidRDefault="00C033D5">
      <w:pPr>
        <w:rPr>
          <w:b/>
          <w:sz w:val="28"/>
          <w:szCs w:val="28"/>
        </w:rPr>
      </w:pPr>
    </w:p>
    <w:p w:rsidR="00644187" w:rsidRDefault="00644187">
      <w:pPr>
        <w:rPr>
          <w:b/>
        </w:rPr>
      </w:pPr>
      <w:r w:rsidRPr="00C033D5">
        <w:rPr>
          <w:b/>
          <w:sz w:val="28"/>
          <w:szCs w:val="28"/>
        </w:rPr>
        <w:lastRenderedPageBreak/>
        <w:t>Results</w:t>
      </w:r>
      <w:r>
        <w:rPr>
          <w:b/>
        </w:rPr>
        <w:t>:</w:t>
      </w:r>
    </w:p>
    <w:p w:rsidR="00C033D5" w:rsidRDefault="00C033D5">
      <w:pPr>
        <w:rPr>
          <w:b/>
        </w:rPr>
      </w:pPr>
    </w:p>
    <w:p w:rsidR="00C033D5" w:rsidRDefault="00C033D5">
      <w:pPr>
        <w:rPr>
          <w:b/>
        </w:rPr>
      </w:pPr>
      <w:r>
        <w:rPr>
          <w:b/>
        </w:rPr>
        <w:t>Basic OLS results</w:t>
      </w:r>
    </w:p>
    <w:p w:rsidR="00C033D5" w:rsidRPr="00C033D5" w:rsidRDefault="00C033D5">
      <w:r>
        <w:t>A simple OLS regression was first conducted to check whether or not there exists a correlation between health  and health in this dataset.  The results of this regression can be seen in figure 2. A significant (</w:t>
      </w:r>
      <w:r w:rsidR="00071F0B">
        <w:t xml:space="preserve">p &lt; 5%) positive  correlation between health and wealth was found as expected. Because health was defined as either healthy of unhealthy the regression tells us something about the chance of being healthy. According to the results a </w:t>
      </w:r>
      <w:r w:rsidR="00071F0B">
        <w:rPr>
          <w:rFonts w:ascii="Times New Roman" w:hAnsi="Times New Roman" w:cs="Times New Roman"/>
        </w:rPr>
        <w:t>€</w:t>
      </w:r>
      <w:r w:rsidR="00071F0B">
        <w:t>1000 increase in net wealth corresponds with an increase of 2,81</w:t>
      </w:r>
      <m:oMath>
        <m:sSup>
          <m:sSupPr>
            <m:ctrlPr>
              <w:rPr>
                <w:rFonts w:ascii="Cambria Math" w:hAnsi="Cambria Math"/>
                <w:i/>
              </w:rPr>
            </m:ctrlPr>
          </m:sSupPr>
          <m:e>
            <m:r>
              <w:rPr>
                <w:rFonts w:ascii="Cambria Math" w:hAnsi="Cambria Math"/>
              </w:rPr>
              <m:t>e</m:t>
            </m:r>
          </m:e>
          <m:sup>
            <m:r>
              <w:rPr>
                <w:rFonts w:ascii="Cambria Math" w:hAnsi="Cambria Math"/>
              </w:rPr>
              <m:t>-3</m:t>
            </m:r>
          </m:sup>
        </m:sSup>
      </m:oMath>
      <w:r w:rsidR="00071F0B">
        <w:t xml:space="preserve">% to the chance of being healthy. Note that this correlation does not say anything about the possible causal effect. </w:t>
      </w:r>
    </w:p>
    <w:p w:rsidR="00644187" w:rsidRDefault="00644187">
      <w:pPr>
        <w:rPr>
          <w:b/>
        </w:rPr>
      </w:pPr>
    </w:p>
    <w:p w:rsidR="00644187" w:rsidRDefault="00644187">
      <w:pPr>
        <w:rPr>
          <w:b/>
        </w:rPr>
      </w:pPr>
    </w:p>
    <w:p w:rsidR="00644187" w:rsidRDefault="00644187">
      <w:pPr>
        <w:rPr>
          <w:b/>
        </w:rPr>
      </w:pPr>
    </w:p>
    <w:p w:rsidR="00644187" w:rsidRDefault="00644187">
      <w:pPr>
        <w:rPr>
          <w:b/>
        </w:rPr>
      </w:pPr>
    </w:p>
    <w:p w:rsidR="00644187" w:rsidRDefault="00644187" w:rsidP="00644187">
      <w:pPr>
        <w:keepNext/>
      </w:pPr>
      <w:r>
        <w:rPr>
          <w:b/>
          <w:noProof/>
          <w:lang w:eastAsia="en-US" w:bidi="ar-SA"/>
        </w:rPr>
        <w:drawing>
          <wp:inline distT="0" distB="0" distL="0" distR="0" wp14:anchorId="6B6E9F06" wp14:editId="0DD7AB7C">
            <wp:extent cx="6120130" cy="2298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e.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298065"/>
                    </a:xfrm>
                    <a:prstGeom prst="rect">
                      <a:avLst/>
                    </a:prstGeom>
                  </pic:spPr>
                </pic:pic>
              </a:graphicData>
            </a:graphic>
          </wp:inline>
        </w:drawing>
      </w:r>
    </w:p>
    <w:p w:rsidR="00071F0B" w:rsidRDefault="00644187" w:rsidP="00644187">
      <w:pPr>
        <w:pStyle w:val="Caption"/>
      </w:pPr>
      <w:r>
        <w:t xml:space="preserve">Figure </w:t>
      </w:r>
      <w:r w:rsidR="00167C3A">
        <w:fldChar w:fldCharType="begin"/>
      </w:r>
      <w:r w:rsidR="00167C3A">
        <w:instrText xml:space="preserve"> SEQ Figure \* ARABIC </w:instrText>
      </w:r>
      <w:r w:rsidR="00167C3A">
        <w:fldChar w:fldCharType="separate"/>
      </w:r>
      <w:r>
        <w:rPr>
          <w:noProof/>
        </w:rPr>
        <w:t>2</w:t>
      </w:r>
      <w:r w:rsidR="00167C3A">
        <w:rPr>
          <w:noProof/>
        </w:rPr>
        <w:fldChar w:fldCharType="end"/>
      </w:r>
      <w:r>
        <w:t xml:space="preserve"> Results OLS Health ~ Wealth</w:t>
      </w:r>
    </w:p>
    <w:p w:rsidR="00644187" w:rsidRDefault="00644187" w:rsidP="00644187">
      <w:pPr>
        <w:pStyle w:val="Caption"/>
      </w:pPr>
    </w:p>
    <w:p w:rsidR="00167C3A" w:rsidRDefault="00167C3A" w:rsidP="00644187">
      <w:pPr>
        <w:pStyle w:val="Caption"/>
        <w:rPr>
          <w:b/>
          <w:i w:val="0"/>
        </w:rPr>
      </w:pPr>
      <w:r>
        <w:rPr>
          <w:b/>
          <w:i w:val="0"/>
        </w:rPr>
        <w:t>Difference in Difference Analysis</w:t>
      </w:r>
    </w:p>
    <w:p w:rsidR="00167C3A" w:rsidRDefault="00167C3A" w:rsidP="00167C3A">
      <w:pPr>
        <w:pStyle w:val="Caption"/>
        <w:rPr>
          <w:i w:val="0"/>
        </w:rPr>
      </w:pPr>
      <w:r>
        <w:rPr>
          <w:i w:val="0"/>
        </w:rPr>
        <w:t>As pointed out before in this paper, endogeneity is a problem when considering the effects of wealth on health. Two DID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w:t>
      </w:r>
    </w:p>
    <w:p w:rsidR="00167C3A" w:rsidRDefault="00167C3A" w:rsidP="00167C3A">
      <w:pPr>
        <w:pStyle w:val="Caption"/>
        <w:numPr>
          <w:ilvl w:val="0"/>
          <w:numId w:val="6"/>
        </w:numPr>
      </w:pPr>
      <w:r>
        <w:t>Short Term</w:t>
      </w:r>
    </w:p>
    <w:p w:rsidR="00071F0B" w:rsidRPr="00167C3A" w:rsidRDefault="00167C3A" w:rsidP="00644187">
      <w:pPr>
        <w:pStyle w:val="Caption"/>
        <w:rPr>
          <w:i w:val="0"/>
        </w:rPr>
      </w:pPr>
      <w:r>
        <w:rPr>
          <w:i w:val="0"/>
        </w:rPr>
        <w:t>The results for the short term analysis can be seen in table 3. This analysis does not find a significant causal relationship between health and wealth.</w:t>
      </w:r>
      <w:bookmarkStart w:id="0" w:name="_GoBack"/>
      <w:bookmarkEnd w:id="0"/>
    </w:p>
    <w:p w:rsidR="00644187" w:rsidRDefault="00644187" w:rsidP="00644187">
      <w:pPr>
        <w:pStyle w:val="Caption"/>
        <w:keepNext/>
      </w:pPr>
      <w:r>
        <w:rPr>
          <w:b/>
          <w:noProof/>
          <w:lang w:eastAsia="en-US" w:bidi="ar-SA"/>
        </w:rPr>
        <w:lastRenderedPageBreak/>
        <w:drawing>
          <wp:inline distT="0" distB="0" distL="0" distR="0" wp14:anchorId="02D3E57C" wp14:editId="16177A20">
            <wp:extent cx="6120130" cy="242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0713.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425700"/>
                    </a:xfrm>
                    <a:prstGeom prst="rect">
                      <a:avLst/>
                    </a:prstGeom>
                  </pic:spPr>
                </pic:pic>
              </a:graphicData>
            </a:graphic>
          </wp:inline>
        </w:drawing>
      </w:r>
    </w:p>
    <w:p w:rsidR="00644187" w:rsidRDefault="00644187" w:rsidP="00644187">
      <w:pPr>
        <w:pStyle w:val="Caption"/>
      </w:pPr>
      <w:r>
        <w:t xml:space="preserve">Figure </w:t>
      </w:r>
      <w:r w:rsidR="00167C3A">
        <w:fldChar w:fldCharType="begin"/>
      </w:r>
      <w:r w:rsidR="00167C3A">
        <w:instrText xml:space="preserve"> SEQ Figure \* ARABIC </w:instrText>
      </w:r>
      <w:r w:rsidR="00167C3A">
        <w:fldChar w:fldCharType="separate"/>
      </w:r>
      <w:r>
        <w:rPr>
          <w:noProof/>
        </w:rPr>
        <w:t>3</w:t>
      </w:r>
      <w:r w:rsidR="00167C3A">
        <w:rPr>
          <w:noProof/>
        </w:rPr>
        <w:fldChar w:fldCharType="end"/>
      </w:r>
      <w:r>
        <w:t>: Difference in Difference Analysis 2007 – 2013</w:t>
      </w:r>
    </w:p>
    <w:p w:rsidR="00644187" w:rsidRDefault="00644187" w:rsidP="00644187">
      <w:pPr>
        <w:pStyle w:val="Caption"/>
        <w:rPr>
          <w:b/>
        </w:rPr>
      </w:pPr>
    </w:p>
    <w:p w:rsidR="00644187" w:rsidRDefault="00644187">
      <w:pPr>
        <w:rPr>
          <w:b/>
        </w:rPr>
      </w:pPr>
    </w:p>
    <w:p w:rsidR="00644187" w:rsidRDefault="00644187" w:rsidP="00644187">
      <w:pPr>
        <w:keepNext/>
      </w:pPr>
      <w:r>
        <w:rPr>
          <w:b/>
          <w:noProof/>
          <w:lang w:eastAsia="en-US" w:bidi="ar-SA"/>
        </w:rPr>
        <w:drawing>
          <wp:inline distT="0" distB="0" distL="0" distR="0" wp14:anchorId="387352E9" wp14:editId="3B407FB9">
            <wp:extent cx="6120130" cy="2543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0717.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43175"/>
                    </a:xfrm>
                    <a:prstGeom prst="rect">
                      <a:avLst/>
                    </a:prstGeom>
                  </pic:spPr>
                </pic:pic>
              </a:graphicData>
            </a:graphic>
          </wp:inline>
        </w:drawing>
      </w:r>
    </w:p>
    <w:p w:rsidR="00644187" w:rsidRPr="00644187" w:rsidRDefault="00644187" w:rsidP="00644187">
      <w:pPr>
        <w:pStyle w:val="Caption"/>
      </w:pPr>
      <w:r>
        <w:t xml:space="preserve">Figure </w:t>
      </w:r>
      <w:r w:rsidR="00167C3A">
        <w:fldChar w:fldCharType="begin"/>
      </w:r>
      <w:r w:rsidR="00167C3A">
        <w:instrText xml:space="preserve"> SEQ Figure \* ARABIC </w:instrText>
      </w:r>
      <w:r w:rsidR="00167C3A">
        <w:fldChar w:fldCharType="separate"/>
      </w:r>
      <w:r>
        <w:rPr>
          <w:noProof/>
        </w:rPr>
        <w:t>4</w:t>
      </w:r>
      <w:r w:rsidR="00167C3A">
        <w:rPr>
          <w:noProof/>
        </w:rPr>
        <w:fldChar w:fldCharType="end"/>
      </w:r>
      <w:r>
        <w:t xml:space="preserve"> Difference in Difference Analysis 2007 – 2017</w:t>
      </w:r>
    </w:p>
    <w:p w:rsidR="00644187" w:rsidRDefault="00644187" w:rsidP="00644187">
      <w:pPr>
        <w:keepNext/>
      </w:pPr>
      <w:r>
        <w:rPr>
          <w:b/>
          <w:noProof/>
          <w:lang w:eastAsia="en-US" w:bidi="ar-SA"/>
        </w:rPr>
        <w:drawing>
          <wp:inline distT="0" distB="0" distL="0" distR="0" wp14:anchorId="31C1BF80" wp14:editId="70DC53E2">
            <wp:extent cx="6120130" cy="2477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071317.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477770"/>
                    </a:xfrm>
                    <a:prstGeom prst="rect">
                      <a:avLst/>
                    </a:prstGeom>
                  </pic:spPr>
                </pic:pic>
              </a:graphicData>
            </a:graphic>
          </wp:inline>
        </w:drawing>
      </w:r>
    </w:p>
    <w:p w:rsidR="00644187" w:rsidRPr="00644187" w:rsidRDefault="00644187" w:rsidP="00644187">
      <w:pPr>
        <w:pStyle w:val="Caption"/>
        <w:rPr>
          <w:b/>
        </w:rPr>
      </w:pPr>
      <w:r>
        <w:t xml:space="preserve">Figure </w:t>
      </w:r>
      <w:r w:rsidR="00167C3A">
        <w:fldChar w:fldCharType="begin"/>
      </w:r>
      <w:r w:rsidR="00167C3A">
        <w:instrText xml:space="preserve"> SEQ Figure \* ARABIC </w:instrText>
      </w:r>
      <w:r w:rsidR="00167C3A">
        <w:fldChar w:fldCharType="separate"/>
      </w:r>
      <w:r>
        <w:rPr>
          <w:noProof/>
        </w:rPr>
        <w:t>5</w:t>
      </w:r>
      <w:r w:rsidR="00167C3A">
        <w:rPr>
          <w:noProof/>
        </w:rPr>
        <w:fldChar w:fldCharType="end"/>
      </w:r>
      <w:r>
        <w:t>Difference in Difference Analysis 2007 - 2013 - 2017</w:t>
      </w:r>
    </w:p>
    <w:sectPr w:rsidR="00644187" w:rsidRPr="0064418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245E"/>
    <w:multiLevelType w:val="hybridMultilevel"/>
    <w:tmpl w:val="1652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B2078"/>
    <w:multiLevelType w:val="hybridMultilevel"/>
    <w:tmpl w:val="BFE41D52"/>
    <w:lvl w:ilvl="0" w:tplc="2B62ACC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B12350"/>
    <w:multiLevelType w:val="multilevel"/>
    <w:tmpl w:val="FE34D0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5D72BCB"/>
    <w:multiLevelType w:val="multilevel"/>
    <w:tmpl w:val="90266D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7562042"/>
    <w:multiLevelType w:val="multilevel"/>
    <w:tmpl w:val="8BB04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2C31E28"/>
    <w:multiLevelType w:val="hybridMultilevel"/>
    <w:tmpl w:val="CE28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E63"/>
    <w:rsid w:val="00062155"/>
    <w:rsid w:val="00071F0B"/>
    <w:rsid w:val="00167C3A"/>
    <w:rsid w:val="00310B80"/>
    <w:rsid w:val="00644187"/>
    <w:rsid w:val="007642A5"/>
    <w:rsid w:val="00C033D5"/>
    <w:rsid w:val="00DF1E63"/>
    <w:rsid w:val="00F919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F709C-3C07-4429-896F-1C1E192F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15234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3</cp:revision>
  <dcterms:created xsi:type="dcterms:W3CDTF">2019-01-08T10:16:00Z</dcterms:created>
  <dcterms:modified xsi:type="dcterms:W3CDTF">2019-01-08T13:31:00Z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false</vt:bool>
  </property>
  <property fmtid="{D5CDD505-2E9C-101B-9397-08002B2CF9AE}" pid="10" name="ShareDoc">
    <vt:bool>false</vt:bool>
  </property>
</Properties>
</file>