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Consequences: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Operational Downtime: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Severe disruptions will cause delays in service, reductions in productivity, and losses for MASE Inc.; this may also affect the supply chain.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Data Leak/Breach: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company's and customers' sensitive data may be jeopardized, serving as a conduit for financial fraud, theft of intellectual property, and possible legal complications, including financial fines.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Reputational Damage: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the company cannot deliver services, it will affect consumer trust or public credibility. There will be negative press and this may lead to a permanent brand dent.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Financial Losses: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Some of the costs involved include paying the ransom, fines due to non-compliance with laws, recovery measures, and loss of business opportunities in both the near and long term, and increased insurance premiums.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Noncompliance with Regulations: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Poor compliance with legal requirements to protect data entails significant fines, sanctions, and enhanced scrutiny, which may disrupt operations.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Intellectual Property Theft: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Loss of proprietary data leads to lost competitive advantage and innovation because it weakens market position.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Insider Threats: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Carelessness or intentional decisions by insiders, such as employees, can lead to data breach compromises and system sabotage.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Overview of Appendices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Appendix A: Case study on NHLS Cyber Security Incident with event timeline and outcomes.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Appendix B: Cybersecurity tool and service providers recommended for MASE Inc.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Appendix C: Employee Cybersecurity Training - program plan detailing modules and assessment dates.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Appendix D: Incident response plan template covering the major steps that allow a determination of if cybersecurity incidents are detected, contained, and eradicated, and if recovery from them has taken place.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