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NETWORK DHCP conf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Sample configuration file for ISC dhcpd for Debian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Attention: If /etc/ltsp/dhcpd.conf exists, that will be used 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configuration file instead of this file.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The ddns-updates-style parameter controls whether or not the server will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attempt to do a DNS update when a lease is confirmed. We default to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behavior of the version 2 packages ('none', since DHCP v2 didn't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have support for DDNS.)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ddns-update-style none;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option definitions common to all supported networks...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option domain-name "example.org";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option domain-name-servers ns1.example.org, ns2.example.org;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default-lease-time 600;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max-lease-time 7200;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If this DHCP server is the official DHCP server for the local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network, the authoritative directive should be uncommented.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#authoritative;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Use this to send dhcp log messages to a different log file (you also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have to hack syslog.conf to complete the redirection).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log-facility local7;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No service will be given on this subnet, but declaring it helps the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DHCP server to understand the network topology.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subnet 192.168.10.0 netmask 255.255.255.240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range 192.168.10.2 192.168.10.7;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option routers 192.168.10.1;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option domain-name-servers 192.168.1.1;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option domain-name "Computing.org";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This is a very basic subnet declaration.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#subnet 192.168.10.0 netmask 255.255.255.240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 range 192.168.10.2 192.168.10.7;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 option routers 192.168, rtr-239-0-2.example.org;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This declaration allows BOOTP clients to get dynamic addresses,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which we don't really recommend.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#subnet 10.254.239.32 netmask 255.255.255.224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 range dynamic-bootp 10.254.239.40 10.254.239.60;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 option broadcast-address 10.254.239.31;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 option routers rtr-239-32-1.example.org;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A slightly different configuration for an internal subnet.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</w:t>
        <w:tab/>
        <w:t xml:space="preserve">subnet 192.168.10.0 netmask 255.255.255.240{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 range 192.168.10.2 192.168.10.7;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 option domain-name-servers ns1.internal.example.org;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 option domain-name "internal.example.org";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 option routers 10.5.5.1;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 option broadcast-address 10.5.5.31;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 default-lease-time 600;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 max-lease-time 7200;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Hosts which require special configuration options can be listed 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host statements.   If no address is specified, the address will be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allocated dynamically (if possible), but the host-specific information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will still come from the host declaration.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#host passacaglia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 hardware ethernet ::999d:c0:5d:bd:95;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 filename "vmunix.passacaglia";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 server-name "toccata.fugue.com";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Fixed IP addresses can also be specified for hosts.   These addresses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should not also be listed as being available for dynamic assignment.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Hosts for which fixed IP addresses have been specified can boot using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BOOTP or DHCP.   Hosts for which no fixed address is specified can only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be booted with DHCP, unless there is an address range on the subnet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to which a BOOTP client is connected which has the dynamic-bootp flag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set.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host fantasia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  <w:tab/>
        <w:t xml:space="preserve">hardware ethernet 00:0c:29:e0:d8:a3;</w:t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  <w:tab/>
        <w:t xml:space="preserve">fixed-address 192.168.10.11;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You can declare a class of clients and then do address allocation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based on that.   The example below shows a case where all clients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in a certain class get addresses on the 10.17.224/24 subnet, and all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other clients get addresses on the 10.0.29/24 subnet.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#class "foo"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 match if substring (option vendor-class-identifier, 0, 4) = "SUNW";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#shared-network 224-29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 subnet 10.17.224.0 netmask 255.255.255.0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   option routers rtr-224.example.org;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 subnet 10.0.29.0 netmask 255.255.255.0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   option routers rtr-29.example.org;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 pool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   allow members of "foo";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   range 10.17.224.10 10.17.224.250;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 pool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   deny members of "foo";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   range 10.0.29.10 10.0.29.230;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