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Usability Objectives/Performance Measures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Learnability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How easy the system is to learn e.g. how easy is it for a novice user to learn how to use a system from scratch? How soon does the user achieve a particular level of performance? Learnability also implies the maintainability of that understanding and performance level.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Predicability - Application behaviour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Familiarity - Interaction strategies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Consistency - User interface consistency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Generalisability - User discovery of unknown features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2. Throughput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Ease and Efficiency after initial learning period.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Transparency - Internal State of User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Recoverability - Error Handling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Responsiveness - System response to user requests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Conformance - Supporting user tasks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3. Flexibility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Measure of the ways in which system and user interact. Accommodation of different user types and modes of activity.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Dialogue Initiative - Communication between user and system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Multi-tasking - Ability to support many user tasks simultaneously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Task responsibility sharing - System taking responsibility for some tasks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Input support - Substitution of values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4. User Satisfaction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User satisfaction can be difficult to measure accurately. Promotes continued and enhanced use of the application by the user. Ensures the user has positive feelings about the application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User Interviews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Questionnaires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Observing and recording system usage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