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346F" w14:textId="10A4CBB9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</w:t>
      </w:r>
      <w:r w:rsidR="005A1A06">
        <w:rPr>
          <w:rFonts w:ascii="Arial" w:hAnsi="Arial" w:cs="Arial"/>
          <w:b/>
          <w:bCs/>
          <w:u w:val="single"/>
        </w:rPr>
        <w:t>ALERTS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79A11CB6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The script</w:t>
      </w:r>
      <w:r w:rsidR="00D87A32">
        <w:rPr>
          <w:rFonts w:ascii="Arial" w:hAnsi="Arial" w:cs="Arial"/>
          <w:sz w:val="20"/>
          <w:szCs w:val="20"/>
        </w:rPr>
        <w:t xml:space="preserve"> </w:t>
      </w:r>
      <w:r w:rsidR="00685F8B">
        <w:rPr>
          <w:rFonts w:ascii="Arial" w:hAnsi="Arial" w:cs="Arial"/>
          <w:sz w:val="20"/>
          <w:szCs w:val="20"/>
        </w:rPr>
        <w:t>‘</w:t>
      </w:r>
      <w:r w:rsidR="00D87A32">
        <w:rPr>
          <w:rFonts w:ascii="Arial" w:hAnsi="Arial" w:cs="Arial"/>
          <w:sz w:val="20"/>
          <w:szCs w:val="20"/>
        </w:rPr>
        <w:t>covid_alerts</w:t>
      </w:r>
      <w:r w:rsidR="00685F8B">
        <w:rPr>
          <w:rFonts w:ascii="Arial" w:hAnsi="Arial" w:cs="Arial"/>
          <w:sz w:val="20"/>
          <w:szCs w:val="20"/>
        </w:rPr>
        <w:t>.bat’</w:t>
      </w:r>
      <w:r w:rsidR="00686D72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>will generate a</w:t>
      </w:r>
      <w:r w:rsidR="005A1A06">
        <w:rPr>
          <w:rFonts w:ascii="Arial" w:hAnsi="Arial" w:cs="Arial"/>
          <w:sz w:val="20"/>
          <w:szCs w:val="20"/>
        </w:rPr>
        <w:t xml:space="preserve">lerts when any of the alarm criteria </w:t>
      </w:r>
      <w:r w:rsidR="007C2C8C">
        <w:rPr>
          <w:rFonts w:ascii="Arial" w:hAnsi="Arial" w:cs="Arial"/>
          <w:sz w:val="20"/>
          <w:szCs w:val="20"/>
        </w:rPr>
        <w:t xml:space="preserve">listed in section 2. </w:t>
      </w:r>
      <w:r w:rsidR="005A1A06">
        <w:rPr>
          <w:rFonts w:ascii="Arial" w:hAnsi="Arial" w:cs="Arial"/>
          <w:sz w:val="20"/>
          <w:szCs w:val="20"/>
        </w:rPr>
        <w:t xml:space="preserve">are met for the currently available COVID-19 data. This script in turn relies on the following python </w:t>
      </w:r>
      <w:r w:rsidR="00953EBF">
        <w:rPr>
          <w:rFonts w:ascii="Arial" w:hAnsi="Arial" w:cs="Arial"/>
          <w:sz w:val="20"/>
          <w:szCs w:val="20"/>
        </w:rPr>
        <w:t>utility</w:t>
      </w:r>
      <w:r w:rsidR="00C86C83">
        <w:rPr>
          <w:rFonts w:ascii="Arial" w:hAnsi="Arial" w:cs="Arial"/>
          <w:sz w:val="20"/>
          <w:szCs w:val="20"/>
        </w:rPr>
        <w:t>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00350980" w:rsidR="00826A8E" w:rsidRDefault="005A1A06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general_alerts</w:t>
      </w:r>
      <w:r w:rsidR="00826A8E">
        <w:rPr>
          <w:rFonts w:ascii="Arial" w:hAnsi="Arial" w:cs="Arial"/>
          <w:sz w:val="20"/>
          <w:szCs w:val="20"/>
        </w:rPr>
        <w:t>.py</w:t>
      </w:r>
    </w:p>
    <w:p w14:paraId="60B75EFF" w14:textId="1BB8EB9A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</w:p>
    <w:p w14:paraId="203331D0" w14:textId="135BCC83" w:rsid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A55C9C">
        <w:rPr>
          <w:rFonts w:ascii="Arial" w:hAnsi="Arial" w:cs="Arial"/>
          <w:b/>
          <w:bCs/>
          <w:sz w:val="20"/>
          <w:szCs w:val="20"/>
        </w:rPr>
        <w:t>general_alerts.py</w:t>
      </w:r>
    </w:p>
    <w:p w14:paraId="43C1714A" w14:textId="36292921" w:rsidR="00A55C9C" w:rsidRDefault="00A55C9C" w:rsidP="00A55C9C">
      <w:pPr>
        <w:pStyle w:val="ListParagraph"/>
        <w:spacing w:after="0"/>
        <w:ind w:left="567" w:right="567"/>
        <w:rPr>
          <w:rFonts w:ascii="Arial" w:hAnsi="Arial" w:cs="Arial"/>
          <w:b/>
          <w:bCs/>
          <w:sz w:val="20"/>
          <w:szCs w:val="20"/>
        </w:rPr>
      </w:pPr>
    </w:p>
    <w:p w14:paraId="15C5E1E8" w14:textId="084A62C9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‘general_alerts.py’ utility uses the NHS covid_19 API for retrieving data for the ‘overview’ and ‘ltla’ ‘areaTypes’. The user must add the name(s) of any NHS ltla</w:t>
      </w:r>
      <w:r w:rsidR="00D87A32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s </w:t>
      </w:r>
      <w:r w:rsidR="00D87A32">
        <w:rPr>
          <w:rFonts w:ascii="Arial" w:hAnsi="Arial" w:cs="Arial"/>
          <w:sz w:val="20"/>
          <w:szCs w:val="20"/>
        </w:rPr>
        <w:t>(Lower Tier Local Authorit</w:t>
      </w:r>
      <w:r w:rsidR="00125E4E">
        <w:rPr>
          <w:rFonts w:ascii="Arial" w:hAnsi="Arial" w:cs="Arial"/>
          <w:sz w:val="20"/>
          <w:szCs w:val="20"/>
        </w:rPr>
        <w:t>y</w:t>
      </w:r>
      <w:r w:rsidR="00D87A32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for which they wish to monitor COVID-19 data in the ./config/general_alert.csv configuration file. The rolling period used in this utility is set at 7 days but may be adjusted by changing the value set in the script configuration file.</w:t>
      </w:r>
      <w:r w:rsidR="00685F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increase in rolling values is measured over the last two rolling periods whilst any assessment of the absolute rolling value is done against the latest rolling period.</w:t>
      </w:r>
    </w:p>
    <w:p w14:paraId="065C9D0C" w14:textId="2B356C8F" w:rsidR="00C67B1D" w:rsidRDefault="00C67B1D" w:rsidP="00B662FB">
      <w:pPr>
        <w:spacing w:after="0"/>
        <w:rPr>
          <w:rFonts w:ascii="Arial" w:hAnsi="Arial" w:cs="Arial"/>
          <w:sz w:val="20"/>
          <w:szCs w:val="20"/>
        </w:rPr>
      </w:pPr>
    </w:p>
    <w:p w14:paraId="2FEA2DD2" w14:textId="77777777" w:rsidR="00C67B1D" w:rsidRDefault="00C67B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21F63" w14:textId="77777777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1E1ECDE0" w:rsidR="00F208BB" w:rsidRDefault="00A05C1F" w:rsidP="002056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1ECCC7BE" w14:textId="5907C6EC" w:rsid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C86C83" w14:paraId="0E3D8E37" w14:textId="77777777" w:rsidTr="00177195">
        <w:tc>
          <w:tcPr>
            <w:tcW w:w="1911" w:type="dxa"/>
            <w:shd w:val="clear" w:color="auto" w:fill="D9D9D9" w:themeFill="background1" w:themeFillShade="D9"/>
          </w:tcPr>
          <w:p w14:paraId="0548C555" w14:textId="4B5FD01A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3C6FCDC" w14:textId="7ECABC5E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3DF597E" w14:textId="68967144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Configuration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7A78FAE1" w14:textId="05EAE267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areaType</w:t>
            </w:r>
          </w:p>
        </w:tc>
      </w:tr>
      <w:tr w:rsidR="00177195" w14:paraId="322B7983" w14:textId="77777777" w:rsidTr="00177195">
        <w:tc>
          <w:tcPr>
            <w:tcW w:w="1911" w:type="dxa"/>
          </w:tcPr>
          <w:p w14:paraId="65E643DD" w14:textId="3E4919D0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700 in the rolling number of cases</w:t>
            </w:r>
          </w:p>
        </w:tc>
        <w:tc>
          <w:tcPr>
            <w:tcW w:w="2090" w:type="dxa"/>
          </w:tcPr>
          <w:p w14:paraId="4DC661B5" w14:textId="3444783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1C4753A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8D2021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2C4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7759BC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9F3039" w14:textId="0E7E918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RollingCasesIncreaseLimit</w:t>
            </w:r>
            <w:proofErr w:type="spellEnd"/>
          </w:p>
        </w:tc>
        <w:tc>
          <w:tcPr>
            <w:tcW w:w="1875" w:type="dxa"/>
          </w:tcPr>
          <w:p w14:paraId="4C09E1E2" w14:textId="7F67819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7F8E3A32" w14:textId="77777777" w:rsidTr="00177195">
        <w:tc>
          <w:tcPr>
            <w:tcW w:w="1911" w:type="dxa"/>
          </w:tcPr>
          <w:p w14:paraId="6F01DE46" w14:textId="08AB7EE6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3500</w:t>
            </w:r>
          </w:p>
        </w:tc>
        <w:tc>
          <w:tcPr>
            <w:tcW w:w="2090" w:type="dxa"/>
          </w:tcPr>
          <w:p w14:paraId="35B90703" w14:textId="362FF14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847313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E36F1D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8215D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2054D45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EC101" w14:textId="7162C24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RollingCasesLimit</w:t>
            </w:r>
            <w:proofErr w:type="spellEnd"/>
          </w:p>
        </w:tc>
        <w:tc>
          <w:tcPr>
            <w:tcW w:w="1875" w:type="dxa"/>
          </w:tcPr>
          <w:p w14:paraId="664EFEB4" w14:textId="21FD4F8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4F348AC9" w14:textId="77777777" w:rsidTr="00177195">
        <w:tc>
          <w:tcPr>
            <w:tcW w:w="1911" w:type="dxa"/>
          </w:tcPr>
          <w:p w14:paraId="6A858CD9" w14:textId="4D57AB8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the rolling deaths value.</w:t>
            </w:r>
          </w:p>
        </w:tc>
        <w:tc>
          <w:tcPr>
            <w:tcW w:w="2090" w:type="dxa"/>
          </w:tcPr>
          <w:p w14:paraId="20795BDE" w14:textId="0C0FA37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F73F22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E1D48C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13081" w14:textId="2F7EB269" w:rsidR="00177195" w:rsidRDefault="00177195" w:rsidP="00177195">
            <w:r>
              <w:rPr>
                <w:rFonts w:ascii="Arial" w:hAnsi="Arial" w:cs="Arial"/>
                <w:sz w:val="20"/>
                <w:szCs w:val="20"/>
              </w:rPr>
              <w:t>Line 2:</w:t>
            </w:r>
            <w:r>
              <w:t xml:space="preserve"> </w:t>
            </w:r>
          </w:p>
          <w:p w14:paraId="2A8F2F34" w14:textId="77777777" w:rsidR="00177195" w:rsidRDefault="00177195" w:rsidP="00177195"/>
          <w:p w14:paraId="6AC610DD" w14:textId="4753CDF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RollingDeathsIncreaseLimit</w:t>
            </w:r>
            <w:proofErr w:type="spellEnd"/>
          </w:p>
        </w:tc>
        <w:tc>
          <w:tcPr>
            <w:tcW w:w="1875" w:type="dxa"/>
          </w:tcPr>
          <w:p w14:paraId="4B81D77C" w14:textId="1B14892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0657730A" w14:textId="77777777" w:rsidTr="00177195">
        <w:tc>
          <w:tcPr>
            <w:tcW w:w="1911" w:type="dxa"/>
          </w:tcPr>
          <w:p w14:paraId="2DBD1996" w14:textId="57F4B2B1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deaths value greater than 10</w:t>
            </w:r>
          </w:p>
        </w:tc>
        <w:tc>
          <w:tcPr>
            <w:tcW w:w="2090" w:type="dxa"/>
          </w:tcPr>
          <w:p w14:paraId="4A8B5DCB" w14:textId="4EFDB45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D8C197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2B964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7EB5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4080EE1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A0777" w14:textId="7695C83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RollingDeathsLimit</w:t>
            </w:r>
            <w:proofErr w:type="spellEnd"/>
          </w:p>
        </w:tc>
        <w:tc>
          <w:tcPr>
            <w:tcW w:w="1875" w:type="dxa"/>
          </w:tcPr>
          <w:p w14:paraId="331D4E73" w14:textId="1F290FC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2427E04" w14:textId="77777777" w:rsidTr="00177195">
        <w:tc>
          <w:tcPr>
            <w:tcW w:w="1911" w:type="dxa"/>
          </w:tcPr>
          <w:p w14:paraId="63E4F144" w14:textId="46C8315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0.02% in the rolling percentage of positive tests</w:t>
            </w:r>
          </w:p>
        </w:tc>
        <w:tc>
          <w:tcPr>
            <w:tcW w:w="2090" w:type="dxa"/>
          </w:tcPr>
          <w:p w14:paraId="6108A51A" w14:textId="75FD21D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A2B1C5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2EA5AD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3D41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70D63B0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B2C9C3" w14:textId="27F65B4A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RollingPositiveRateIncreaseLimit</w:t>
            </w:r>
            <w:proofErr w:type="spellEnd"/>
          </w:p>
        </w:tc>
        <w:tc>
          <w:tcPr>
            <w:tcW w:w="1875" w:type="dxa"/>
          </w:tcPr>
          <w:p w14:paraId="1CF30639" w14:textId="0550486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16343503" w14:textId="77777777" w:rsidTr="00177195">
        <w:tc>
          <w:tcPr>
            <w:tcW w:w="1911" w:type="dxa"/>
          </w:tcPr>
          <w:p w14:paraId="3826B615" w14:textId="0580DB1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percentage of positive tests of 0.7</w:t>
            </w:r>
          </w:p>
        </w:tc>
        <w:tc>
          <w:tcPr>
            <w:tcW w:w="2090" w:type="dxa"/>
          </w:tcPr>
          <w:p w14:paraId="402419CC" w14:textId="08F6575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6C3B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55C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2E8F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39B944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E7C9A" w14:textId="2943EE9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RollingPositiveRateLimit</w:t>
            </w:r>
            <w:proofErr w:type="spellEnd"/>
          </w:p>
        </w:tc>
        <w:tc>
          <w:tcPr>
            <w:tcW w:w="1875" w:type="dxa"/>
          </w:tcPr>
          <w:p w14:paraId="14FF0374" w14:textId="73F54BF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A9E233A" w14:textId="77777777" w:rsidTr="00177195">
        <w:tc>
          <w:tcPr>
            <w:tcW w:w="1911" w:type="dxa"/>
          </w:tcPr>
          <w:p w14:paraId="48D4FAB1" w14:textId="5799F63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</w:t>
            </w:r>
            <w:r w:rsidR="003650A2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3 in the rolling number of cases</w:t>
            </w:r>
          </w:p>
        </w:tc>
        <w:tc>
          <w:tcPr>
            <w:tcW w:w="2090" w:type="dxa"/>
          </w:tcPr>
          <w:p w14:paraId="2DA2252E" w14:textId="5E6B870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3A51916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31E666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3343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CB1F54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91720" w14:textId="45F6E51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LTLARollingCasesIncreaseLimit</w:t>
            </w:r>
            <w:proofErr w:type="spellEnd"/>
          </w:p>
        </w:tc>
        <w:tc>
          <w:tcPr>
            <w:tcW w:w="1875" w:type="dxa"/>
          </w:tcPr>
          <w:p w14:paraId="0078F00F" w14:textId="1EF16921" w:rsidR="00177195" w:rsidRPr="00A82DD4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A82DD4"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4CEA58A" w14:textId="77777777" w:rsidTr="00177195">
        <w:tc>
          <w:tcPr>
            <w:tcW w:w="1911" w:type="dxa"/>
          </w:tcPr>
          <w:p w14:paraId="47B35110" w14:textId="722B3985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10</w:t>
            </w:r>
          </w:p>
        </w:tc>
        <w:tc>
          <w:tcPr>
            <w:tcW w:w="2090" w:type="dxa"/>
          </w:tcPr>
          <w:p w14:paraId="4539B977" w14:textId="060FACE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E7D406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D46483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3D68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3DFEC20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CDE39" w14:textId="594A596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LTLARollingCasesLimit</w:t>
            </w:r>
            <w:proofErr w:type="spellEnd"/>
          </w:p>
        </w:tc>
        <w:tc>
          <w:tcPr>
            <w:tcW w:w="1875" w:type="dxa"/>
          </w:tcPr>
          <w:p w14:paraId="0136224D" w14:textId="2E5AE01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725693FD" w14:textId="77777777" w:rsidTr="00177195">
        <w:tc>
          <w:tcPr>
            <w:tcW w:w="1911" w:type="dxa"/>
          </w:tcPr>
          <w:p w14:paraId="3BE939F8" w14:textId="4A34DF18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</w:t>
            </w:r>
            <w:r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rolling number of </w:t>
            </w:r>
            <w:r>
              <w:rPr>
                <w:rFonts w:ascii="Arial" w:hAnsi="Arial" w:cs="Arial"/>
                <w:sz w:val="20"/>
                <w:szCs w:val="20"/>
              </w:rPr>
              <w:t>deaths</w:t>
            </w:r>
          </w:p>
        </w:tc>
        <w:tc>
          <w:tcPr>
            <w:tcW w:w="2090" w:type="dxa"/>
          </w:tcPr>
          <w:p w14:paraId="7D61A2C0" w14:textId="12FFAF36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5D4F90FA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079B5DD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42C077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3DE859F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DA0C7" w14:textId="47353C2B" w:rsidR="00177195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LTLARollingDeathsIncreaseLimit</w:t>
            </w:r>
            <w:proofErr w:type="spellEnd"/>
          </w:p>
        </w:tc>
        <w:tc>
          <w:tcPr>
            <w:tcW w:w="1875" w:type="dxa"/>
          </w:tcPr>
          <w:p w14:paraId="5E5C9611" w14:textId="5AA84DA1" w:rsidR="00177195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10FDC40B" w14:textId="4262AB90" w:rsidR="003650A2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0A2" w14:paraId="12A21BB1" w14:textId="77777777" w:rsidTr="00177195">
        <w:tc>
          <w:tcPr>
            <w:tcW w:w="1911" w:type="dxa"/>
          </w:tcPr>
          <w:p w14:paraId="5DE02C74" w14:textId="054AE08C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rolling deaths value of greater than 0.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90" w:type="dxa"/>
          </w:tcPr>
          <w:p w14:paraId="7C1643E4" w14:textId="5244FD9A" w:rsidR="003650A2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13C3E39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BCA19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52688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50D401C0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7754A" w14:textId="5E85FADB" w:rsidR="003650A2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LTLARollingDeathsLimit</w:t>
            </w:r>
            <w:proofErr w:type="spellEnd"/>
          </w:p>
        </w:tc>
        <w:tc>
          <w:tcPr>
            <w:tcW w:w="1875" w:type="dxa"/>
          </w:tcPr>
          <w:p w14:paraId="56990F93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539B94A3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673037" w14:textId="77777777" w:rsidR="00C86C83" w:rsidRP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439BAD" w14:textId="77777777" w:rsidR="00A05C1F" w:rsidRDefault="00A05C1F" w:rsidP="00A05C1F"/>
    <w:p w14:paraId="02B8250D" w14:textId="77777777" w:rsidR="00A05C1F" w:rsidRDefault="00A05C1F" w:rsidP="00A05C1F"/>
    <w:p w14:paraId="1015D919" w14:textId="3D9D94AB" w:rsidR="00A05C1F" w:rsidRPr="00A05C1F" w:rsidRDefault="00A05C1F" w:rsidP="00A05C1F"/>
    <w:sectPr w:rsidR="00A05C1F" w:rsidRP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3F4"/>
    <w:multiLevelType w:val="multilevel"/>
    <w:tmpl w:val="19AC33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125E4E"/>
    <w:rsid w:val="00130B7F"/>
    <w:rsid w:val="00177195"/>
    <w:rsid w:val="001C163B"/>
    <w:rsid w:val="001E0B32"/>
    <w:rsid w:val="00205654"/>
    <w:rsid w:val="00213629"/>
    <w:rsid w:val="002658CA"/>
    <w:rsid w:val="002A5E33"/>
    <w:rsid w:val="002A6CB5"/>
    <w:rsid w:val="003650A2"/>
    <w:rsid w:val="00385C96"/>
    <w:rsid w:val="004B044A"/>
    <w:rsid w:val="0058776E"/>
    <w:rsid w:val="005A1A06"/>
    <w:rsid w:val="00685F8B"/>
    <w:rsid w:val="00686D72"/>
    <w:rsid w:val="00695AFB"/>
    <w:rsid w:val="007C2C8C"/>
    <w:rsid w:val="007E24E6"/>
    <w:rsid w:val="00826A8E"/>
    <w:rsid w:val="00953EBF"/>
    <w:rsid w:val="009D6121"/>
    <w:rsid w:val="00A05C1F"/>
    <w:rsid w:val="00A1504F"/>
    <w:rsid w:val="00A23000"/>
    <w:rsid w:val="00A34203"/>
    <w:rsid w:val="00A55C9C"/>
    <w:rsid w:val="00A6341D"/>
    <w:rsid w:val="00A82DD4"/>
    <w:rsid w:val="00AC11E9"/>
    <w:rsid w:val="00AF5633"/>
    <w:rsid w:val="00B662FB"/>
    <w:rsid w:val="00C55F51"/>
    <w:rsid w:val="00C67B1D"/>
    <w:rsid w:val="00C86680"/>
    <w:rsid w:val="00C86C83"/>
    <w:rsid w:val="00CA3331"/>
    <w:rsid w:val="00D75296"/>
    <w:rsid w:val="00D832BB"/>
    <w:rsid w:val="00D87A32"/>
    <w:rsid w:val="00EC23BD"/>
    <w:rsid w:val="00ED4B2C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C8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41</cp:revision>
  <dcterms:created xsi:type="dcterms:W3CDTF">2020-08-13T10:38:00Z</dcterms:created>
  <dcterms:modified xsi:type="dcterms:W3CDTF">2020-12-17T12:21:00Z</dcterms:modified>
</cp:coreProperties>
</file>