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79A11CB6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 xml:space="preserve">are met for the currently available COVID-19 data. This script in turn relies on the following python </w:t>
      </w:r>
      <w:r w:rsidR="00953EBF">
        <w:rPr>
          <w:rFonts w:ascii="Arial" w:hAnsi="Arial" w:cs="Arial"/>
          <w:sz w:val="20"/>
          <w:szCs w:val="20"/>
        </w:rPr>
        <w:t>utility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5F0BE0AD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for which they wish to monitor COVID-19 data in the ./config/general_alert.csv configuration file. The rolling period used in this utility is set at 7 days but may be adjusted </w:t>
      </w:r>
      <w:r w:rsidR="006225BE">
        <w:rPr>
          <w:rFonts w:ascii="Arial" w:hAnsi="Arial" w:cs="Arial"/>
          <w:sz w:val="20"/>
          <w:szCs w:val="20"/>
        </w:rPr>
        <w:t xml:space="preserve">in most instances </w:t>
      </w:r>
      <w:r>
        <w:rPr>
          <w:rFonts w:ascii="Arial" w:hAnsi="Arial" w:cs="Arial"/>
          <w:sz w:val="20"/>
          <w:szCs w:val="20"/>
        </w:rPr>
        <w:t xml:space="preserve">by changing the value </w:t>
      </w:r>
      <w:r w:rsidR="006225BE">
        <w:rPr>
          <w:rFonts w:ascii="Arial" w:hAnsi="Arial" w:cs="Arial"/>
          <w:sz w:val="20"/>
          <w:szCs w:val="20"/>
        </w:rPr>
        <w:t xml:space="preserve">‘Rolling’ </w:t>
      </w:r>
      <w:r>
        <w:rPr>
          <w:rFonts w:ascii="Arial" w:hAnsi="Arial" w:cs="Arial"/>
          <w:sz w:val="20"/>
          <w:szCs w:val="20"/>
        </w:rPr>
        <w:t>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0C9D4767" w14:textId="08C8E44E" w:rsidR="00304D69" w:rsidRDefault="00304D69" w:rsidP="00A55C9C">
      <w:pPr>
        <w:spacing w:after="0"/>
        <w:rPr>
          <w:rFonts w:ascii="Arial" w:hAnsi="Arial" w:cs="Arial"/>
          <w:sz w:val="20"/>
          <w:szCs w:val="20"/>
        </w:rPr>
      </w:pPr>
    </w:p>
    <w:p w14:paraId="6B53FD18" w14:textId="67ECF156" w:rsidR="00277006" w:rsidRDefault="00304D69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Values of R greater than 1 are inferred by exponential growth in daily case numbers. Exponential growth is deemed to have occurred when a plot of the natural logs of </w:t>
      </w:r>
      <w:r w:rsidR="00277006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7</w:t>
      </w:r>
      <w:r w:rsidR="0027700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day</w:t>
      </w:r>
      <w:r w:rsidR="00277006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averages over 7 days </w:t>
      </w:r>
      <w:r w:rsidR="00277006">
        <w:rPr>
          <w:rFonts w:ascii="Arial" w:hAnsi="Arial" w:cs="Arial"/>
          <w:sz w:val="20"/>
          <w:szCs w:val="20"/>
        </w:rPr>
        <w:t xml:space="preserve">is judged to show linear growth. </w:t>
      </w:r>
      <w:r>
        <w:rPr>
          <w:rFonts w:ascii="Arial" w:hAnsi="Arial" w:cs="Arial"/>
          <w:sz w:val="20"/>
          <w:szCs w:val="20"/>
        </w:rPr>
        <w:t xml:space="preserve"> </w:t>
      </w:r>
      <w:r w:rsidR="00277006">
        <w:rPr>
          <w:rFonts w:ascii="Arial" w:hAnsi="Arial" w:cs="Arial"/>
          <w:sz w:val="20"/>
          <w:szCs w:val="20"/>
        </w:rPr>
        <w:t xml:space="preserve">For a particular date the ‘7-day’ average is calculated by adding the daily case numbers from three days before through to three days after that date and dividing by 7. This calculation of a ‘7-day’ average means that the </w:t>
      </w:r>
      <w:r w:rsidR="00E85114">
        <w:rPr>
          <w:rFonts w:ascii="Arial" w:hAnsi="Arial" w:cs="Arial"/>
          <w:sz w:val="20"/>
          <w:szCs w:val="20"/>
        </w:rPr>
        <w:t xml:space="preserve">most recent </w:t>
      </w:r>
      <w:r w:rsidR="00277006">
        <w:rPr>
          <w:rFonts w:ascii="Arial" w:hAnsi="Arial" w:cs="Arial"/>
          <w:sz w:val="20"/>
          <w:szCs w:val="20"/>
        </w:rPr>
        <w:t xml:space="preserve">date at which an R number greater than 1 can be determined is </w:t>
      </w:r>
      <w:r w:rsidR="00E85114">
        <w:rPr>
          <w:rFonts w:ascii="Arial" w:hAnsi="Arial" w:cs="Arial"/>
          <w:sz w:val="20"/>
          <w:szCs w:val="20"/>
        </w:rPr>
        <w:t xml:space="preserve">a week before the current date. </w:t>
      </w:r>
      <w:r w:rsidR="006225BE">
        <w:rPr>
          <w:rFonts w:ascii="Arial" w:hAnsi="Arial" w:cs="Arial"/>
          <w:sz w:val="20"/>
          <w:szCs w:val="20"/>
        </w:rPr>
        <w:t>The rolling period for this calculation is fixed at 7 days and cannot be changed by altering configuration item ‘Rolling’.</w:t>
      </w:r>
    </w:p>
    <w:p w14:paraId="065C9D0C" w14:textId="2B356C8F" w:rsidR="00C67B1D" w:rsidRDefault="00C67B1D" w:rsidP="00B662FB">
      <w:pPr>
        <w:spacing w:after="0"/>
        <w:rPr>
          <w:rFonts w:ascii="Arial" w:hAnsi="Arial" w:cs="Arial"/>
          <w:sz w:val="20"/>
          <w:szCs w:val="20"/>
        </w:rPr>
      </w:pP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250314D1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in </w:t>
            </w:r>
            <w:r w:rsidR="00252D4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12AB81BB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cases value greater than </w:t>
            </w:r>
            <w:r w:rsidR="00A80308" w:rsidRPr="00A80308">
              <w:rPr>
                <w:rFonts w:ascii="Arial" w:hAnsi="Arial" w:cs="Arial"/>
                <w:sz w:val="20"/>
                <w:szCs w:val="20"/>
              </w:rPr>
              <w:t>280000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6DD92BAE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in the rolling deaths </w:t>
            </w:r>
            <w:r w:rsidR="00A80308">
              <w:rPr>
                <w:rFonts w:ascii="Arial" w:hAnsi="Arial" w:cs="Arial"/>
                <w:sz w:val="20"/>
                <w:szCs w:val="20"/>
              </w:rPr>
              <w:t>greater than 100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3EDF2D8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deaths value greater than </w:t>
            </w:r>
            <w:r w:rsidR="00A80308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2F5144F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percentage of positive tests of </w:t>
            </w:r>
            <w:r w:rsidR="00126427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A80308">
              <w:rPr>
                <w:rFonts w:ascii="Arial" w:hAnsi="Arial" w:cs="Arial"/>
                <w:sz w:val="20"/>
                <w:szCs w:val="20"/>
              </w:rPr>
              <w:t>5 %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304D69" w14:paraId="0E7CB1A1" w14:textId="77777777" w:rsidTr="00177195">
        <w:tc>
          <w:tcPr>
            <w:tcW w:w="1911" w:type="dxa"/>
          </w:tcPr>
          <w:p w14:paraId="4A8030DD" w14:textId="407B2612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 number is likely to be above 1 </w:t>
            </w:r>
          </w:p>
        </w:tc>
        <w:tc>
          <w:tcPr>
            <w:tcW w:w="2090" w:type="dxa"/>
          </w:tcPr>
          <w:p w14:paraId="32DF72FD" w14:textId="6591B333" w:rsidR="00304D69" w:rsidRPr="00D75296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C94B19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B093D9F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0BCB7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82B5C4C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B328B" w14:textId="20A45E06" w:rsidR="00304D69" w:rsidRPr="00D75296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Exponential</w:t>
            </w:r>
            <w:r w:rsidR="00C4316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ensitivity</w:t>
            </w:r>
          </w:p>
        </w:tc>
        <w:tc>
          <w:tcPr>
            <w:tcW w:w="1875" w:type="dxa"/>
          </w:tcPr>
          <w:p w14:paraId="7CDEE824" w14:textId="5A4C6A94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4EC68125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 w:rsidR="003650A2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2AE7"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12CE5C7E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cases value greater than </w:t>
            </w:r>
            <w:r w:rsidR="00972AE7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1295B573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of </w:t>
            </w:r>
            <w:r w:rsidR="00972AE7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in the rolling number of deaths</w:t>
            </w:r>
          </w:p>
        </w:tc>
        <w:tc>
          <w:tcPr>
            <w:tcW w:w="2090" w:type="dxa"/>
          </w:tcPr>
          <w:p w14:paraId="7D61A2C0" w14:textId="12FFAF36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5D4F90FA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079B5DD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077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3DE859F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47353C2B" w:rsidR="00177195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LTLARollingDeathsIncreaseLimit</w:t>
            </w:r>
            <w:proofErr w:type="spellEnd"/>
          </w:p>
        </w:tc>
        <w:tc>
          <w:tcPr>
            <w:tcW w:w="1875" w:type="dxa"/>
          </w:tcPr>
          <w:p w14:paraId="5E5C9611" w14:textId="5AA84DA1" w:rsidR="00177195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10FDC40B" w14:textId="4262AB90" w:rsidR="003650A2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5E1BCD" w14:textId="77777777" w:rsidR="00304D69" w:rsidRDefault="00304D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304D69" w14:paraId="12A21BB1" w14:textId="77777777" w:rsidTr="00177195">
        <w:tc>
          <w:tcPr>
            <w:tcW w:w="1911" w:type="dxa"/>
          </w:tcPr>
          <w:p w14:paraId="5DE02C74" w14:textId="101259FC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 rolling deaths value of greater than </w:t>
            </w:r>
            <w:r w:rsidR="00972AE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090" w:type="dxa"/>
          </w:tcPr>
          <w:p w14:paraId="7C1643E4" w14:textId="5244FD9A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13C3E3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BCA1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52688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50D401C0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7754A" w14:textId="5E85FADB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LTLARollingDeathsLimit</w:t>
            </w:r>
            <w:proofErr w:type="spellEnd"/>
          </w:p>
        </w:tc>
        <w:tc>
          <w:tcPr>
            <w:tcW w:w="1875" w:type="dxa"/>
          </w:tcPr>
          <w:p w14:paraId="56990F93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539B94A3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A36" w14:paraId="69962F11" w14:textId="77777777" w:rsidTr="00177195">
        <w:tc>
          <w:tcPr>
            <w:tcW w:w="1911" w:type="dxa"/>
          </w:tcPr>
          <w:p w14:paraId="685714FD" w14:textId="25B00278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 number is likely to be above 1</w:t>
            </w:r>
          </w:p>
        </w:tc>
        <w:tc>
          <w:tcPr>
            <w:tcW w:w="2090" w:type="dxa"/>
          </w:tcPr>
          <w:p w14:paraId="6FCD0C8B" w14:textId="6C5B6C5D" w:rsidR="00FC3A36" w:rsidRPr="00D7529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A592386" w14:textId="77777777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8B48959" w14:textId="77777777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05E19D" w14:textId="77777777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39AD2C69" w14:textId="77777777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671A26" w14:textId="438D92F5" w:rsidR="00FC3A36" w:rsidRPr="00D7529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ExponentialSensitivity</w:t>
            </w:r>
            <w:proofErr w:type="spellEnd"/>
          </w:p>
        </w:tc>
        <w:tc>
          <w:tcPr>
            <w:tcW w:w="1875" w:type="dxa"/>
          </w:tcPr>
          <w:p w14:paraId="1662DBC7" w14:textId="294BA08A" w:rsidR="00FC3A36" w:rsidRDefault="00FC3A36" w:rsidP="00FC3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sectPr w:rsid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336041">
    <w:abstractNumId w:val="5"/>
  </w:num>
  <w:num w:numId="2" w16cid:durableId="1469669060">
    <w:abstractNumId w:val="4"/>
  </w:num>
  <w:num w:numId="3" w16cid:durableId="1022393246">
    <w:abstractNumId w:val="3"/>
  </w:num>
  <w:num w:numId="4" w16cid:durableId="1833720890">
    <w:abstractNumId w:val="1"/>
  </w:num>
  <w:num w:numId="5" w16cid:durableId="780495698">
    <w:abstractNumId w:val="6"/>
  </w:num>
  <w:num w:numId="6" w16cid:durableId="758868981">
    <w:abstractNumId w:val="7"/>
  </w:num>
  <w:num w:numId="7" w16cid:durableId="1021666562">
    <w:abstractNumId w:val="0"/>
  </w:num>
  <w:num w:numId="8" w16cid:durableId="10029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26427"/>
    <w:rsid w:val="00130B7F"/>
    <w:rsid w:val="00177195"/>
    <w:rsid w:val="001C163B"/>
    <w:rsid w:val="001E0B32"/>
    <w:rsid w:val="00205654"/>
    <w:rsid w:val="00213629"/>
    <w:rsid w:val="00252D4A"/>
    <w:rsid w:val="002658CA"/>
    <w:rsid w:val="00277006"/>
    <w:rsid w:val="002A5E33"/>
    <w:rsid w:val="002A6CB5"/>
    <w:rsid w:val="00304D69"/>
    <w:rsid w:val="003650A2"/>
    <w:rsid w:val="00385C96"/>
    <w:rsid w:val="004B044A"/>
    <w:rsid w:val="0058776E"/>
    <w:rsid w:val="005A1A06"/>
    <w:rsid w:val="006225BE"/>
    <w:rsid w:val="0063746A"/>
    <w:rsid w:val="00685F8B"/>
    <w:rsid w:val="00686D72"/>
    <w:rsid w:val="00695AFB"/>
    <w:rsid w:val="007C2C8C"/>
    <w:rsid w:val="007E24E6"/>
    <w:rsid w:val="00826A8E"/>
    <w:rsid w:val="00953EBF"/>
    <w:rsid w:val="00972AE7"/>
    <w:rsid w:val="009D6121"/>
    <w:rsid w:val="00A05C1F"/>
    <w:rsid w:val="00A1504F"/>
    <w:rsid w:val="00A23000"/>
    <w:rsid w:val="00A34203"/>
    <w:rsid w:val="00A55C9C"/>
    <w:rsid w:val="00A6341D"/>
    <w:rsid w:val="00A80308"/>
    <w:rsid w:val="00A82DD4"/>
    <w:rsid w:val="00AC11E9"/>
    <w:rsid w:val="00AD1F4F"/>
    <w:rsid w:val="00AF5633"/>
    <w:rsid w:val="00B662FB"/>
    <w:rsid w:val="00C43167"/>
    <w:rsid w:val="00C55F51"/>
    <w:rsid w:val="00C67B1D"/>
    <w:rsid w:val="00C86680"/>
    <w:rsid w:val="00C86C83"/>
    <w:rsid w:val="00CA3331"/>
    <w:rsid w:val="00CB0A7F"/>
    <w:rsid w:val="00D75296"/>
    <w:rsid w:val="00D832BB"/>
    <w:rsid w:val="00D87A32"/>
    <w:rsid w:val="00E85114"/>
    <w:rsid w:val="00EC23BD"/>
    <w:rsid w:val="00ED4B2C"/>
    <w:rsid w:val="00F208BB"/>
    <w:rsid w:val="00F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50</cp:revision>
  <dcterms:created xsi:type="dcterms:W3CDTF">2020-08-13T10:38:00Z</dcterms:created>
  <dcterms:modified xsi:type="dcterms:W3CDTF">2022-05-15T14:03:00Z</dcterms:modified>
</cp:coreProperties>
</file>