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79A11CB6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 xml:space="preserve">are met for the currently available COVID-19 data. This script in turn relies on the following python </w:t>
      </w:r>
      <w:r w:rsidR="00953EBF">
        <w:rPr>
          <w:rFonts w:ascii="Arial" w:hAnsi="Arial" w:cs="Arial"/>
          <w:sz w:val="20"/>
          <w:szCs w:val="20"/>
        </w:rPr>
        <w:t>utility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084A62C9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for which they wish to monitor COVID-19 data in the ./config/general_alert.csv configuration file. The rolling period used in this utility is set at 7 days but may be adjusted by changing the value 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065C9D0C" w14:textId="2B356C8F" w:rsidR="00C67B1D" w:rsidRDefault="00C67B1D" w:rsidP="00B662FB">
      <w:pPr>
        <w:spacing w:after="0"/>
        <w:rPr>
          <w:rFonts w:ascii="Arial" w:hAnsi="Arial" w:cs="Arial"/>
          <w:sz w:val="20"/>
          <w:szCs w:val="20"/>
        </w:rPr>
      </w:pP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3E4919D0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700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08AB7EE6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3500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4D57AB8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the rolling deaths value.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57F4B2B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deaths value greater than 10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0580DB1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percentage of positive tests of 0.7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5799F63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 w:rsidR="003650A2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3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722B3985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10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4A34DF18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 in the rolling number of deaths</w:t>
            </w:r>
          </w:p>
        </w:tc>
        <w:tc>
          <w:tcPr>
            <w:tcW w:w="2090" w:type="dxa"/>
          </w:tcPr>
          <w:p w14:paraId="7D61A2C0" w14:textId="12FFAF36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5D4F90FA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079B5DD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077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3DE859F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47353C2B" w:rsidR="00177195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LTLARollingDeathsIncreaseLimit</w:t>
            </w:r>
            <w:proofErr w:type="spellEnd"/>
          </w:p>
        </w:tc>
        <w:tc>
          <w:tcPr>
            <w:tcW w:w="1875" w:type="dxa"/>
          </w:tcPr>
          <w:p w14:paraId="5E5C9611" w14:textId="5AA84DA1" w:rsidR="00177195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10FDC40B" w14:textId="4262AB90" w:rsidR="003650A2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0A2" w14:paraId="12A21BB1" w14:textId="77777777" w:rsidTr="00177195">
        <w:tc>
          <w:tcPr>
            <w:tcW w:w="1911" w:type="dxa"/>
          </w:tcPr>
          <w:p w14:paraId="5DE02C74" w14:textId="054AE08C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deaths value of greater than 0. </w:t>
            </w:r>
          </w:p>
        </w:tc>
        <w:tc>
          <w:tcPr>
            <w:tcW w:w="2090" w:type="dxa"/>
          </w:tcPr>
          <w:p w14:paraId="7C1643E4" w14:textId="5244FD9A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13C3E3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BCA1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52688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50D401C0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7754A" w14:textId="5E85FADB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LTLARollingDeathsLimit</w:t>
            </w:r>
            <w:proofErr w:type="spellEnd"/>
          </w:p>
        </w:tc>
        <w:tc>
          <w:tcPr>
            <w:tcW w:w="1875" w:type="dxa"/>
          </w:tcPr>
          <w:p w14:paraId="56990F9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539B94A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sectPr w:rsid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30B7F"/>
    <w:rsid w:val="00177195"/>
    <w:rsid w:val="001C163B"/>
    <w:rsid w:val="001E0B32"/>
    <w:rsid w:val="00205654"/>
    <w:rsid w:val="00213629"/>
    <w:rsid w:val="002658CA"/>
    <w:rsid w:val="002A5E33"/>
    <w:rsid w:val="002A6CB5"/>
    <w:rsid w:val="003650A2"/>
    <w:rsid w:val="00385C96"/>
    <w:rsid w:val="004B044A"/>
    <w:rsid w:val="0058776E"/>
    <w:rsid w:val="005A1A06"/>
    <w:rsid w:val="0063746A"/>
    <w:rsid w:val="00685F8B"/>
    <w:rsid w:val="00686D72"/>
    <w:rsid w:val="00695AFB"/>
    <w:rsid w:val="007C2C8C"/>
    <w:rsid w:val="007E24E6"/>
    <w:rsid w:val="00826A8E"/>
    <w:rsid w:val="00953EBF"/>
    <w:rsid w:val="009D6121"/>
    <w:rsid w:val="00A05C1F"/>
    <w:rsid w:val="00A1504F"/>
    <w:rsid w:val="00A23000"/>
    <w:rsid w:val="00A34203"/>
    <w:rsid w:val="00A55C9C"/>
    <w:rsid w:val="00A6341D"/>
    <w:rsid w:val="00A82DD4"/>
    <w:rsid w:val="00AC11E9"/>
    <w:rsid w:val="00AF5633"/>
    <w:rsid w:val="00B662FB"/>
    <w:rsid w:val="00C55F51"/>
    <w:rsid w:val="00C67B1D"/>
    <w:rsid w:val="00C86680"/>
    <w:rsid w:val="00C86C83"/>
    <w:rsid w:val="00CA3331"/>
    <w:rsid w:val="00D75296"/>
    <w:rsid w:val="00D832BB"/>
    <w:rsid w:val="00D87A32"/>
    <w:rsid w:val="00EC23BD"/>
    <w:rsid w:val="00ED4B2C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42</cp:revision>
  <dcterms:created xsi:type="dcterms:W3CDTF">2020-08-13T10:38:00Z</dcterms:created>
  <dcterms:modified xsi:type="dcterms:W3CDTF">2021-04-19T17:33:00Z</dcterms:modified>
</cp:coreProperties>
</file>