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68" w:type="dxa"/>
        <w:tblLayout w:type="fixed"/>
        <w:tblLook w:val="0000" w:firstRow="0" w:lastRow="0" w:firstColumn="0" w:lastColumn="0" w:noHBand="0" w:noVBand="0"/>
      </w:tblPr>
      <w:tblGrid>
        <w:gridCol w:w="5953"/>
        <w:gridCol w:w="3515"/>
      </w:tblGrid>
      <w:tr w:rsidR="00991908" w:rsidTr="00991908">
        <w:tblPrEx>
          <w:tblCellMar>
            <w:top w:w="0" w:type="dxa"/>
            <w:bottom w:w="0" w:type="dxa"/>
          </w:tblCellMar>
        </w:tblPrEx>
        <w:tc>
          <w:tcPr>
            <w:tcW w:w="5953" w:type="dxa"/>
            <w:shd w:val="clear" w:color="auto" w:fill="794E1F"/>
          </w:tcPr>
          <w:p w:rsidR="00991908" w:rsidRPr="00991908" w:rsidRDefault="00991908">
            <w:pPr>
              <w:rPr>
                <w:rFonts w:ascii="Calibri" w:hAnsi="Calibri" w:cs="Calibri"/>
                <w:b/>
                <w:color w:val="FFFFFF"/>
                <w:sz w:val="28"/>
              </w:rPr>
            </w:pPr>
            <w:r w:rsidRPr="00991908">
              <w:rPr>
                <w:rFonts w:ascii="Calibri" w:hAnsi="Calibri" w:cs="Calibri"/>
                <w:b/>
                <w:color w:val="FFFFFF"/>
                <w:sz w:val="28"/>
              </w:rPr>
              <w:t>FIDINSKY TECH SOLUTIONS</w:t>
            </w:r>
          </w:p>
        </w:tc>
        <w:tc>
          <w:tcPr>
            <w:tcW w:w="3515" w:type="dxa"/>
            <w:shd w:val="clear" w:color="auto" w:fill="794E1F"/>
          </w:tcPr>
          <w:p w:rsidR="00991908" w:rsidRPr="00991908" w:rsidRDefault="00991908" w:rsidP="00991908">
            <w:pPr>
              <w:jc w:val="center"/>
              <w:rPr>
                <w:rFonts w:ascii="Calibri" w:hAnsi="Calibri" w:cs="Calibri"/>
                <w:b/>
                <w:color w:val="FFFFFF"/>
                <w:sz w:val="40"/>
              </w:rPr>
            </w:pPr>
            <w:r w:rsidRPr="00991908">
              <w:rPr>
                <w:rFonts w:ascii="Calibri" w:hAnsi="Calibri" w:cs="Calibri"/>
                <w:b/>
                <w:color w:val="FFFFFF"/>
                <w:sz w:val="40"/>
              </w:rPr>
              <w:t>INVOICE</w:t>
            </w:r>
          </w:p>
        </w:tc>
      </w:tr>
      <w:tr w:rsidR="00991908" w:rsidTr="00991908">
        <w:tblPrEx>
          <w:tblCellMar>
            <w:top w:w="0" w:type="dxa"/>
            <w:bottom w:w="0" w:type="dxa"/>
          </w:tblCellMar>
        </w:tblPrEx>
        <w:tc>
          <w:tcPr>
            <w:tcW w:w="5953" w:type="dxa"/>
            <w:shd w:val="clear" w:color="auto" w:fill="B5752F"/>
          </w:tcPr>
          <w:p w:rsidR="00991908" w:rsidRPr="00991908" w:rsidRDefault="00991908">
            <w:pPr>
              <w:rPr>
                <w:rFonts w:ascii="Calibri" w:hAnsi="Calibri" w:cs="Calibri"/>
                <w:color w:val="FFFFFF"/>
                <w:sz w:val="20"/>
              </w:rPr>
            </w:pPr>
            <w:r w:rsidRPr="00991908">
              <w:rPr>
                <w:rFonts w:ascii="Calibri" w:hAnsi="Calibri" w:cs="Calibri"/>
                <w:color w:val="FFFFFF"/>
                <w:sz w:val="20"/>
              </w:rPr>
              <w:t>Web Development &amp; Graphics Services</w:t>
            </w:r>
          </w:p>
        </w:tc>
        <w:tc>
          <w:tcPr>
            <w:tcW w:w="3515" w:type="dxa"/>
            <w:shd w:val="clear" w:color="auto" w:fill="B5752F"/>
          </w:tcPr>
          <w:p w:rsidR="00991908" w:rsidRPr="00991908" w:rsidRDefault="00991908" w:rsidP="00991908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991908">
              <w:rPr>
                <w:rFonts w:ascii="Calibri" w:hAnsi="Calibri" w:cs="Calibri"/>
                <w:b/>
                <w:color w:val="FFFFFF"/>
              </w:rPr>
              <w:t>ROBUR-WEB-2026-001</w:t>
            </w:r>
          </w:p>
        </w:tc>
      </w:tr>
    </w:tbl>
    <w:p w:rsidR="00345FCC" w:rsidRDefault="00345FCC"/>
    <w:p w:rsidR="00991908" w:rsidRDefault="00991908"/>
    <w:tbl>
      <w:tblPr>
        <w:tblW w:w="0" w:type="auto"/>
        <w:tblBorders>
          <w:top w:val="single" w:sz="4" w:space="0" w:color="EED7BD"/>
          <w:left w:val="single" w:sz="4" w:space="0" w:color="EED7BD"/>
          <w:bottom w:val="single" w:sz="4" w:space="0" w:color="EED7BD"/>
          <w:right w:val="single" w:sz="4" w:space="0" w:color="EED7BD"/>
          <w:insideH w:val="single" w:sz="4" w:space="0" w:color="EED7BD"/>
          <w:insideV w:val="single" w:sz="4" w:space="0" w:color="EED7BD"/>
        </w:tblBorders>
        <w:tblLook w:val="0000" w:firstRow="0" w:lastRow="0" w:firstColumn="0" w:lastColumn="0" w:noHBand="0" w:noVBand="0"/>
      </w:tblPr>
      <w:tblGrid>
        <w:gridCol w:w="2492"/>
        <w:gridCol w:w="2492"/>
        <w:gridCol w:w="2492"/>
        <w:gridCol w:w="2492"/>
      </w:tblGrid>
      <w:tr w:rsidR="00991908" w:rsidTr="00991908">
        <w:tblPrEx>
          <w:tblCellMar>
            <w:top w:w="0" w:type="dxa"/>
            <w:bottom w:w="0" w:type="dxa"/>
          </w:tblCellMar>
        </w:tblPrEx>
        <w:tc>
          <w:tcPr>
            <w:tcW w:w="2494" w:type="dxa"/>
            <w:shd w:val="clear" w:color="auto" w:fill="F2E1D9"/>
          </w:tcPr>
          <w:p w:rsidR="00991908" w:rsidRPr="00991908" w:rsidRDefault="00991908">
            <w:pPr>
              <w:rPr>
                <w:rFonts w:ascii="Calibri" w:hAnsi="Calibri" w:cs="Calibri"/>
                <w:b/>
                <w:color w:val="794E1F"/>
                <w:sz w:val="18"/>
              </w:rPr>
            </w:pPr>
            <w:r w:rsidRPr="00991908">
              <w:rPr>
                <w:rFonts w:ascii="Calibri" w:hAnsi="Calibri" w:cs="Calibri"/>
                <w:b/>
                <w:color w:val="794E1F"/>
                <w:sz w:val="18"/>
              </w:rPr>
              <w:t>Bill To</w:t>
            </w:r>
          </w:p>
        </w:tc>
        <w:tc>
          <w:tcPr>
            <w:tcW w:w="2494" w:type="dxa"/>
            <w:shd w:val="clear" w:color="auto" w:fill="F2E1D9"/>
          </w:tcPr>
          <w:p w:rsidR="00991908" w:rsidRPr="00991908" w:rsidRDefault="00991908">
            <w:pPr>
              <w:rPr>
                <w:rFonts w:ascii="Calibri" w:hAnsi="Calibri" w:cs="Calibri"/>
                <w:b/>
                <w:color w:val="794E1F"/>
                <w:sz w:val="18"/>
              </w:rPr>
            </w:pPr>
            <w:r w:rsidRPr="00991908">
              <w:rPr>
                <w:rFonts w:ascii="Calibri" w:hAnsi="Calibri" w:cs="Calibri"/>
                <w:b/>
                <w:color w:val="794E1F"/>
                <w:sz w:val="18"/>
              </w:rPr>
              <w:t>Prepared By</w:t>
            </w:r>
          </w:p>
        </w:tc>
        <w:tc>
          <w:tcPr>
            <w:tcW w:w="2495" w:type="dxa"/>
            <w:shd w:val="clear" w:color="auto" w:fill="F2E1D9"/>
          </w:tcPr>
          <w:p w:rsidR="00991908" w:rsidRPr="00991908" w:rsidRDefault="00991908">
            <w:pPr>
              <w:rPr>
                <w:rFonts w:ascii="Calibri" w:hAnsi="Calibri" w:cs="Calibri"/>
                <w:b/>
                <w:color w:val="794E1F"/>
                <w:sz w:val="18"/>
              </w:rPr>
            </w:pPr>
            <w:r w:rsidRPr="00991908">
              <w:rPr>
                <w:rFonts w:ascii="Calibri" w:hAnsi="Calibri" w:cs="Calibri"/>
                <w:b/>
                <w:color w:val="794E1F"/>
                <w:sz w:val="18"/>
              </w:rPr>
              <w:t>Invoice Date</w:t>
            </w:r>
          </w:p>
        </w:tc>
        <w:tc>
          <w:tcPr>
            <w:tcW w:w="2495" w:type="dxa"/>
            <w:shd w:val="clear" w:color="auto" w:fill="F2E1D9"/>
          </w:tcPr>
          <w:p w:rsidR="00991908" w:rsidRPr="00991908" w:rsidRDefault="00991908">
            <w:pPr>
              <w:rPr>
                <w:rFonts w:ascii="Calibri" w:hAnsi="Calibri" w:cs="Calibri"/>
                <w:b/>
                <w:color w:val="794E1F"/>
                <w:sz w:val="18"/>
              </w:rPr>
            </w:pPr>
            <w:r w:rsidRPr="00991908">
              <w:rPr>
                <w:rFonts w:ascii="Calibri" w:hAnsi="Calibri" w:cs="Calibri"/>
                <w:b/>
                <w:color w:val="794E1F"/>
                <w:sz w:val="18"/>
              </w:rPr>
              <w:t>Due Terms</w:t>
            </w:r>
          </w:p>
        </w:tc>
      </w:tr>
      <w:tr w:rsidR="00991908" w:rsidTr="00991908">
        <w:tblPrEx>
          <w:tblCellMar>
            <w:top w:w="0" w:type="dxa"/>
            <w:bottom w:w="0" w:type="dxa"/>
          </w:tblCellMar>
        </w:tblPrEx>
        <w:tc>
          <w:tcPr>
            <w:tcW w:w="2494" w:type="dxa"/>
            <w:shd w:val="clear" w:color="auto" w:fill="auto"/>
          </w:tcPr>
          <w:p w:rsidR="00991908" w:rsidRPr="00991908" w:rsidRDefault="00991908">
            <w:pPr>
              <w:rPr>
                <w:rFonts w:ascii="Calibri" w:hAnsi="Calibri" w:cs="Calibri"/>
                <w:b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b/>
                <w:color w:val="37291F"/>
                <w:sz w:val="20"/>
              </w:rPr>
              <w:t>Robur Mining Solutions</w:t>
            </w:r>
          </w:p>
        </w:tc>
        <w:tc>
          <w:tcPr>
            <w:tcW w:w="2494" w:type="dxa"/>
            <w:shd w:val="clear" w:color="auto" w:fill="auto"/>
          </w:tcPr>
          <w:p w:rsidR="00991908" w:rsidRPr="00991908" w:rsidRDefault="00991908">
            <w:pPr>
              <w:rPr>
                <w:rFonts w:ascii="Calibri" w:hAnsi="Calibri" w:cs="Calibri"/>
                <w:b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b/>
                <w:color w:val="37291F"/>
                <w:sz w:val="20"/>
              </w:rPr>
              <w:t>Fidinsky Tech Solutions</w:t>
            </w:r>
          </w:p>
        </w:tc>
        <w:tc>
          <w:tcPr>
            <w:tcW w:w="2495" w:type="dxa"/>
            <w:shd w:val="clear" w:color="auto" w:fill="auto"/>
          </w:tcPr>
          <w:p w:rsidR="00991908" w:rsidRPr="00991908" w:rsidRDefault="00991908">
            <w:pPr>
              <w:rPr>
                <w:rFonts w:ascii="Calibri" w:hAnsi="Calibri" w:cs="Calibri"/>
                <w:b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b/>
                <w:color w:val="37291F"/>
                <w:sz w:val="20"/>
              </w:rPr>
              <w:t>7 May 2026</w:t>
            </w:r>
          </w:p>
        </w:tc>
        <w:tc>
          <w:tcPr>
            <w:tcW w:w="2495" w:type="dxa"/>
            <w:shd w:val="clear" w:color="auto" w:fill="auto"/>
          </w:tcPr>
          <w:p w:rsidR="00991908" w:rsidRPr="00991908" w:rsidRDefault="00991908">
            <w:pPr>
              <w:rPr>
                <w:rFonts w:ascii="Calibri" w:hAnsi="Calibri" w:cs="Calibri"/>
                <w:b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b/>
                <w:color w:val="37291F"/>
                <w:sz w:val="20"/>
              </w:rPr>
              <w:t>Net 30 days</w:t>
            </w:r>
          </w:p>
        </w:tc>
      </w:tr>
    </w:tbl>
    <w:p w:rsidR="00991908" w:rsidRDefault="00991908"/>
    <w:p w:rsidR="00991908" w:rsidRDefault="00991908"/>
    <w:tbl>
      <w:tblPr>
        <w:tblW w:w="9468" w:type="dxa"/>
        <w:tblBorders>
          <w:top w:val="single" w:sz="4" w:space="0" w:color="EED7BD"/>
          <w:left w:val="single" w:sz="4" w:space="0" w:color="EED7BD"/>
          <w:bottom w:val="single" w:sz="4" w:space="0" w:color="EED7BD"/>
          <w:right w:val="single" w:sz="4" w:space="0" w:color="EED7BD"/>
          <w:insideH w:val="single" w:sz="4" w:space="0" w:color="EED7BD"/>
          <w:insideV w:val="single" w:sz="4" w:space="0" w:color="EED7BD"/>
        </w:tblBorders>
        <w:tblLayout w:type="fixed"/>
        <w:tblLook w:val="0000" w:firstRow="0" w:lastRow="0" w:firstColumn="0" w:lastColumn="0" w:noHBand="0" w:noVBand="0"/>
      </w:tblPr>
      <w:tblGrid>
        <w:gridCol w:w="5499"/>
        <w:gridCol w:w="907"/>
        <w:gridCol w:w="1531"/>
        <w:gridCol w:w="1531"/>
      </w:tblGrid>
      <w:tr w:rsidR="00991908" w:rsidTr="00991908">
        <w:tblPrEx>
          <w:tblCellMar>
            <w:top w:w="0" w:type="dxa"/>
            <w:bottom w:w="0" w:type="dxa"/>
          </w:tblCellMar>
        </w:tblPrEx>
        <w:tc>
          <w:tcPr>
            <w:tcW w:w="5499" w:type="dxa"/>
            <w:shd w:val="clear" w:color="auto" w:fill="B5752F"/>
          </w:tcPr>
          <w:p w:rsidR="00991908" w:rsidRPr="00991908" w:rsidRDefault="00991908" w:rsidP="00991908">
            <w:pPr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991908">
              <w:rPr>
                <w:rFonts w:ascii="Calibri" w:hAnsi="Calibri" w:cs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w="907" w:type="dxa"/>
            <w:shd w:val="clear" w:color="auto" w:fill="B5752F"/>
          </w:tcPr>
          <w:p w:rsidR="00991908" w:rsidRPr="00991908" w:rsidRDefault="00991908" w:rsidP="00991908">
            <w:pPr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991908">
              <w:rPr>
                <w:rFonts w:ascii="Calibri" w:hAnsi="Calibri" w:cs="Calibri"/>
                <w:b/>
                <w:color w:val="FFFFFF"/>
                <w:sz w:val="18"/>
              </w:rPr>
              <w:t>Qty</w:t>
            </w:r>
          </w:p>
        </w:tc>
        <w:tc>
          <w:tcPr>
            <w:tcW w:w="1531" w:type="dxa"/>
            <w:shd w:val="clear" w:color="auto" w:fill="B5752F"/>
          </w:tcPr>
          <w:p w:rsidR="00991908" w:rsidRPr="00991908" w:rsidRDefault="00991908" w:rsidP="00991908">
            <w:pPr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991908">
              <w:rPr>
                <w:rFonts w:ascii="Calibri" w:hAnsi="Calibri" w:cs="Calibri"/>
                <w:b/>
                <w:color w:val="FFFFFF"/>
                <w:sz w:val="18"/>
              </w:rPr>
              <w:t>Rate (USD)</w:t>
            </w:r>
          </w:p>
        </w:tc>
        <w:tc>
          <w:tcPr>
            <w:tcW w:w="1531" w:type="dxa"/>
            <w:shd w:val="clear" w:color="auto" w:fill="B5752F"/>
          </w:tcPr>
          <w:p w:rsidR="00991908" w:rsidRPr="00991908" w:rsidRDefault="00991908" w:rsidP="00991908">
            <w:pPr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991908">
              <w:rPr>
                <w:rFonts w:ascii="Calibri" w:hAnsi="Calibri" w:cs="Calibri"/>
                <w:b/>
                <w:color w:val="FFFFFF"/>
                <w:sz w:val="18"/>
              </w:rPr>
              <w:t>Amount (USD)</w:t>
            </w:r>
          </w:p>
        </w:tc>
      </w:tr>
      <w:tr w:rsidR="00991908" w:rsidTr="00991908">
        <w:tblPrEx>
          <w:tblCellMar>
            <w:top w:w="0" w:type="dxa"/>
            <w:bottom w:w="0" w:type="dxa"/>
          </w:tblCellMar>
        </w:tblPrEx>
        <w:tc>
          <w:tcPr>
            <w:tcW w:w="5499" w:type="dxa"/>
            <w:shd w:val="clear" w:color="auto" w:fill="auto"/>
          </w:tcPr>
          <w:p w:rsidR="00991908" w:rsidRPr="00991908" w:rsidRDefault="00991908">
            <w:pPr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Home page implementation (index.html)</w:t>
            </w:r>
          </w:p>
          <w:p w:rsidR="00991908" w:rsidRPr="00991908" w:rsidRDefault="00991908">
            <w:pPr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- Section layout refinement for Products, Outcome, and Acclaim visual consistency.</w:t>
            </w:r>
          </w:p>
          <w:p w:rsidR="00991908" w:rsidRPr="00991908" w:rsidRDefault="00991908">
            <w:pPr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- Responsive spacing and media sizing adjustments for cleaner cross-device rendering.</w:t>
            </w:r>
          </w:p>
          <w:p w:rsidR="00991908" w:rsidRPr="00991908" w:rsidRDefault="00991908">
            <w:pPr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- Content presentation polish and styling updates to improve readability and brand alignment.</w:t>
            </w:r>
          </w:p>
          <w:p w:rsidR="00991908" w:rsidRPr="00991908" w:rsidRDefault="00991908">
            <w:pPr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- Reworked section media dimensions and alignment for consistent visual hierarchy.</w:t>
            </w:r>
          </w:p>
          <w:p w:rsidR="00991908" w:rsidRPr="00991908" w:rsidRDefault="00991908">
            <w:pPr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- Improved interaction flow and readability across desktop and mobile breakpoints.</w:t>
            </w:r>
          </w:p>
          <w:p w:rsidR="00991908" w:rsidRPr="00991908" w:rsidRDefault="00991908">
            <w:pPr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- Applied final quality pass for typography, spacing rhythm, and presentation coherence.</w:t>
            </w:r>
          </w:p>
        </w:tc>
        <w:tc>
          <w:tcPr>
            <w:tcW w:w="907" w:type="dxa"/>
            <w:shd w:val="clear" w:color="auto" w:fill="auto"/>
          </w:tcPr>
          <w:p w:rsidR="00991908" w:rsidRPr="00991908" w:rsidRDefault="00991908" w:rsidP="00991908">
            <w:pPr>
              <w:jc w:val="center"/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1</w:t>
            </w:r>
          </w:p>
        </w:tc>
        <w:tc>
          <w:tcPr>
            <w:tcW w:w="1531" w:type="dxa"/>
            <w:shd w:val="clear" w:color="auto" w:fill="auto"/>
          </w:tcPr>
          <w:p w:rsidR="00991908" w:rsidRPr="00991908" w:rsidRDefault="00991908" w:rsidP="00991908">
            <w:pPr>
              <w:jc w:val="center"/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250.00</w:t>
            </w:r>
          </w:p>
        </w:tc>
        <w:tc>
          <w:tcPr>
            <w:tcW w:w="1531" w:type="dxa"/>
            <w:shd w:val="clear" w:color="auto" w:fill="auto"/>
          </w:tcPr>
          <w:p w:rsidR="00991908" w:rsidRPr="00991908" w:rsidRDefault="00991908" w:rsidP="00991908">
            <w:pPr>
              <w:jc w:val="center"/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250.00</w:t>
            </w:r>
          </w:p>
        </w:tc>
      </w:tr>
      <w:tr w:rsidR="00991908" w:rsidTr="00991908">
        <w:tblPrEx>
          <w:tblCellMar>
            <w:top w:w="0" w:type="dxa"/>
            <w:bottom w:w="0" w:type="dxa"/>
          </w:tblCellMar>
        </w:tblPrEx>
        <w:tc>
          <w:tcPr>
            <w:tcW w:w="5499" w:type="dxa"/>
            <w:tcBorders>
              <w:bottom w:val="single" w:sz="4" w:space="0" w:color="EED7BD"/>
            </w:tcBorders>
            <w:shd w:val="clear" w:color="auto" w:fill="auto"/>
          </w:tcPr>
          <w:p w:rsidR="00991908" w:rsidRPr="00991908" w:rsidRDefault="00991908">
            <w:pPr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Fire Solutions implementation (fire-solutions.html)</w:t>
            </w:r>
          </w:p>
          <w:p w:rsidR="00991908" w:rsidRPr="00991908" w:rsidRDefault="00991908">
            <w:pPr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- Implemented clickable product media flow and linked gallery entry points.</w:t>
            </w:r>
          </w:p>
          <w:p w:rsidR="00991908" w:rsidRPr="00991908" w:rsidRDefault="00991908">
            <w:pPr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- Built AMFE gallery detail experience (header media, technical notes, images, and videos).</w:t>
            </w:r>
          </w:p>
          <w:p w:rsidR="00991908" w:rsidRPr="00991908" w:rsidRDefault="00991908">
            <w:pPr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- Route-specific rendering rules and visual cleanup for smart alarm and AMFE deep links.</w:t>
            </w:r>
          </w:p>
          <w:p w:rsidR="00991908" w:rsidRPr="00991908" w:rsidRDefault="00991908">
            <w:pPr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- Pricing: base page build USD 250 + 7 clickable pop pages x USD 20 = USD 390.</w:t>
            </w:r>
          </w:p>
          <w:p w:rsidR="00991908" w:rsidRPr="00991908" w:rsidRDefault="00991908">
            <w:pPr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- Integrated conditional content rendering for smart alarm and AMFE URL states.</w:t>
            </w:r>
          </w:p>
          <w:p w:rsidR="00991908" w:rsidRPr="00991908" w:rsidRDefault="00991908">
            <w:pPr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- Prepared and structured technical copy blocks to support product communication goals.</w:t>
            </w:r>
          </w:p>
          <w:p w:rsidR="00991908" w:rsidRPr="00991908" w:rsidRDefault="00991908">
            <w:pPr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- Implemented media behavior tuning and cleanup for polished background integration.</w:t>
            </w:r>
          </w:p>
        </w:tc>
        <w:tc>
          <w:tcPr>
            <w:tcW w:w="907" w:type="dxa"/>
            <w:tcBorders>
              <w:bottom w:val="single" w:sz="4" w:space="0" w:color="EED7BD"/>
            </w:tcBorders>
            <w:shd w:val="clear" w:color="auto" w:fill="auto"/>
          </w:tcPr>
          <w:p w:rsidR="00991908" w:rsidRPr="00991908" w:rsidRDefault="00991908" w:rsidP="00991908">
            <w:pPr>
              <w:jc w:val="center"/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1</w:t>
            </w:r>
          </w:p>
        </w:tc>
        <w:tc>
          <w:tcPr>
            <w:tcW w:w="1531" w:type="dxa"/>
            <w:tcBorders>
              <w:bottom w:val="single" w:sz="4" w:space="0" w:color="EED7BD"/>
            </w:tcBorders>
            <w:shd w:val="clear" w:color="auto" w:fill="auto"/>
          </w:tcPr>
          <w:p w:rsidR="00991908" w:rsidRPr="00991908" w:rsidRDefault="00991908" w:rsidP="00991908">
            <w:pPr>
              <w:jc w:val="center"/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390.00</w:t>
            </w:r>
          </w:p>
        </w:tc>
        <w:tc>
          <w:tcPr>
            <w:tcW w:w="1531" w:type="dxa"/>
            <w:tcBorders>
              <w:bottom w:val="single" w:sz="4" w:space="0" w:color="EED7BD"/>
            </w:tcBorders>
            <w:shd w:val="clear" w:color="auto" w:fill="auto"/>
          </w:tcPr>
          <w:p w:rsidR="00991908" w:rsidRPr="00991908" w:rsidRDefault="00991908" w:rsidP="00991908">
            <w:pPr>
              <w:jc w:val="center"/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390.00</w:t>
            </w:r>
          </w:p>
        </w:tc>
      </w:tr>
      <w:tr w:rsidR="00991908" w:rsidTr="00991908">
        <w:tblPrEx>
          <w:tblCellMar>
            <w:top w:w="0" w:type="dxa"/>
            <w:bottom w:w="0" w:type="dxa"/>
          </w:tblCellMar>
        </w:tblPrEx>
        <w:tc>
          <w:tcPr>
            <w:tcW w:w="5499" w:type="dxa"/>
            <w:shd w:val="clear" w:color="auto" w:fill="F2E1D9"/>
          </w:tcPr>
          <w:p w:rsidR="00991908" w:rsidRPr="00991908" w:rsidRDefault="00991908">
            <w:pPr>
              <w:rPr>
                <w:rFonts w:ascii="Calibri" w:hAnsi="Calibri" w:cs="Calibri"/>
                <w:b/>
                <w:color w:val="794E1F"/>
                <w:sz w:val="20"/>
              </w:rPr>
            </w:pPr>
            <w:r w:rsidRPr="00991908">
              <w:rPr>
                <w:rFonts w:ascii="Calibri" w:hAnsi="Calibri" w:cs="Calibri"/>
                <w:b/>
                <w:color w:val="794E1F"/>
                <w:sz w:val="20"/>
              </w:rPr>
              <w:t>Graphics Designing</w:t>
            </w:r>
          </w:p>
        </w:tc>
        <w:tc>
          <w:tcPr>
            <w:tcW w:w="907" w:type="dxa"/>
            <w:shd w:val="clear" w:color="auto" w:fill="F2E1D9"/>
          </w:tcPr>
          <w:p w:rsidR="00991908" w:rsidRPr="00991908" w:rsidRDefault="00991908" w:rsidP="00991908">
            <w:pPr>
              <w:jc w:val="center"/>
              <w:rPr>
                <w:rFonts w:ascii="Calibri" w:hAnsi="Calibri" w:cs="Calibri"/>
                <w:b/>
                <w:color w:val="794E1F"/>
                <w:sz w:val="20"/>
              </w:rPr>
            </w:pPr>
          </w:p>
        </w:tc>
        <w:tc>
          <w:tcPr>
            <w:tcW w:w="1531" w:type="dxa"/>
            <w:shd w:val="clear" w:color="auto" w:fill="F2E1D9"/>
          </w:tcPr>
          <w:p w:rsidR="00991908" w:rsidRPr="00991908" w:rsidRDefault="00991908" w:rsidP="00991908">
            <w:pPr>
              <w:jc w:val="center"/>
              <w:rPr>
                <w:rFonts w:ascii="Calibri" w:hAnsi="Calibri" w:cs="Calibri"/>
                <w:b/>
                <w:color w:val="794E1F"/>
                <w:sz w:val="20"/>
              </w:rPr>
            </w:pPr>
          </w:p>
        </w:tc>
        <w:tc>
          <w:tcPr>
            <w:tcW w:w="1531" w:type="dxa"/>
            <w:shd w:val="clear" w:color="auto" w:fill="F2E1D9"/>
          </w:tcPr>
          <w:p w:rsidR="00991908" w:rsidRPr="00991908" w:rsidRDefault="00991908" w:rsidP="00991908">
            <w:pPr>
              <w:jc w:val="center"/>
              <w:rPr>
                <w:rFonts w:ascii="Calibri" w:hAnsi="Calibri" w:cs="Calibri"/>
                <w:b/>
                <w:color w:val="794E1F"/>
                <w:sz w:val="20"/>
              </w:rPr>
            </w:pPr>
          </w:p>
        </w:tc>
      </w:tr>
      <w:tr w:rsidR="00991908" w:rsidTr="00991908">
        <w:tblPrEx>
          <w:tblCellMar>
            <w:top w:w="0" w:type="dxa"/>
            <w:bottom w:w="0" w:type="dxa"/>
          </w:tblCellMar>
        </w:tblPrEx>
        <w:tc>
          <w:tcPr>
            <w:tcW w:w="5499" w:type="dxa"/>
            <w:shd w:val="clear" w:color="auto" w:fill="auto"/>
          </w:tcPr>
          <w:p w:rsidR="00991908" w:rsidRPr="00991908" w:rsidRDefault="00991908">
            <w:pPr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3D fire tool images</w:t>
            </w:r>
          </w:p>
        </w:tc>
        <w:tc>
          <w:tcPr>
            <w:tcW w:w="907" w:type="dxa"/>
            <w:shd w:val="clear" w:color="auto" w:fill="auto"/>
          </w:tcPr>
          <w:p w:rsidR="00991908" w:rsidRPr="00991908" w:rsidRDefault="00991908" w:rsidP="00991908">
            <w:pPr>
              <w:jc w:val="center"/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20</w:t>
            </w:r>
          </w:p>
        </w:tc>
        <w:tc>
          <w:tcPr>
            <w:tcW w:w="1531" w:type="dxa"/>
            <w:shd w:val="clear" w:color="auto" w:fill="auto"/>
          </w:tcPr>
          <w:p w:rsidR="00991908" w:rsidRPr="00991908" w:rsidRDefault="00991908" w:rsidP="00991908">
            <w:pPr>
              <w:jc w:val="center"/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5.00</w:t>
            </w:r>
          </w:p>
        </w:tc>
        <w:tc>
          <w:tcPr>
            <w:tcW w:w="1531" w:type="dxa"/>
            <w:shd w:val="clear" w:color="auto" w:fill="auto"/>
          </w:tcPr>
          <w:p w:rsidR="00991908" w:rsidRPr="00991908" w:rsidRDefault="00991908" w:rsidP="00991908">
            <w:pPr>
              <w:jc w:val="center"/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100.00</w:t>
            </w:r>
          </w:p>
        </w:tc>
      </w:tr>
      <w:tr w:rsidR="00991908" w:rsidTr="00991908">
        <w:tblPrEx>
          <w:tblCellMar>
            <w:top w:w="0" w:type="dxa"/>
            <w:bottom w:w="0" w:type="dxa"/>
          </w:tblCellMar>
        </w:tblPrEx>
        <w:tc>
          <w:tcPr>
            <w:tcW w:w="5499" w:type="dxa"/>
            <w:shd w:val="clear" w:color="auto" w:fill="auto"/>
          </w:tcPr>
          <w:p w:rsidR="00991908" w:rsidRPr="00991908" w:rsidRDefault="00991908">
            <w:pPr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Refraction video</w:t>
            </w:r>
          </w:p>
        </w:tc>
        <w:tc>
          <w:tcPr>
            <w:tcW w:w="907" w:type="dxa"/>
            <w:shd w:val="clear" w:color="auto" w:fill="auto"/>
          </w:tcPr>
          <w:p w:rsidR="00991908" w:rsidRPr="00991908" w:rsidRDefault="00991908" w:rsidP="00991908">
            <w:pPr>
              <w:jc w:val="center"/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1</w:t>
            </w:r>
          </w:p>
        </w:tc>
        <w:tc>
          <w:tcPr>
            <w:tcW w:w="1531" w:type="dxa"/>
            <w:shd w:val="clear" w:color="auto" w:fill="auto"/>
          </w:tcPr>
          <w:p w:rsidR="00991908" w:rsidRPr="00991908" w:rsidRDefault="00991908" w:rsidP="00991908">
            <w:pPr>
              <w:jc w:val="center"/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20.00</w:t>
            </w:r>
          </w:p>
        </w:tc>
        <w:tc>
          <w:tcPr>
            <w:tcW w:w="1531" w:type="dxa"/>
            <w:shd w:val="clear" w:color="auto" w:fill="auto"/>
          </w:tcPr>
          <w:p w:rsidR="00991908" w:rsidRPr="00991908" w:rsidRDefault="00991908" w:rsidP="00991908">
            <w:pPr>
              <w:jc w:val="center"/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20.00</w:t>
            </w:r>
          </w:p>
        </w:tc>
      </w:tr>
      <w:tr w:rsidR="00991908" w:rsidTr="00991908">
        <w:tblPrEx>
          <w:tblCellMar>
            <w:top w:w="0" w:type="dxa"/>
            <w:bottom w:w="0" w:type="dxa"/>
          </w:tblCellMar>
        </w:tblPrEx>
        <w:tc>
          <w:tcPr>
            <w:tcW w:w="5499" w:type="dxa"/>
            <w:shd w:val="clear" w:color="auto" w:fill="auto"/>
          </w:tcPr>
          <w:p w:rsidR="00991908" w:rsidRPr="00991908" w:rsidRDefault="00991908">
            <w:pPr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Robur fire and subsidiaries title videos</w:t>
            </w:r>
          </w:p>
        </w:tc>
        <w:tc>
          <w:tcPr>
            <w:tcW w:w="907" w:type="dxa"/>
            <w:shd w:val="clear" w:color="auto" w:fill="auto"/>
          </w:tcPr>
          <w:p w:rsidR="00991908" w:rsidRPr="00991908" w:rsidRDefault="00991908" w:rsidP="00991908">
            <w:pPr>
              <w:jc w:val="center"/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5</w:t>
            </w:r>
          </w:p>
        </w:tc>
        <w:tc>
          <w:tcPr>
            <w:tcW w:w="1531" w:type="dxa"/>
            <w:shd w:val="clear" w:color="auto" w:fill="auto"/>
          </w:tcPr>
          <w:p w:rsidR="00991908" w:rsidRPr="00991908" w:rsidRDefault="00991908" w:rsidP="00991908">
            <w:pPr>
              <w:jc w:val="center"/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10.00</w:t>
            </w:r>
          </w:p>
        </w:tc>
        <w:tc>
          <w:tcPr>
            <w:tcW w:w="1531" w:type="dxa"/>
            <w:shd w:val="clear" w:color="auto" w:fill="auto"/>
          </w:tcPr>
          <w:p w:rsidR="00991908" w:rsidRPr="00991908" w:rsidRDefault="00991908" w:rsidP="00991908">
            <w:pPr>
              <w:jc w:val="center"/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50.00</w:t>
            </w:r>
          </w:p>
        </w:tc>
      </w:tr>
      <w:tr w:rsidR="00991908" w:rsidTr="00991908">
        <w:tblPrEx>
          <w:tblCellMar>
            <w:top w:w="0" w:type="dxa"/>
            <w:bottom w:w="0" w:type="dxa"/>
          </w:tblCellMar>
        </w:tblPrEx>
        <w:tc>
          <w:tcPr>
            <w:tcW w:w="5499" w:type="dxa"/>
            <w:tcBorders>
              <w:bottom w:val="single" w:sz="4" w:space="0" w:color="EED7BD"/>
            </w:tcBorders>
            <w:shd w:val="clear" w:color="auto" w:fill="auto"/>
          </w:tcPr>
          <w:p w:rsidR="00991908" w:rsidRPr="00991908" w:rsidRDefault="00991908">
            <w:pPr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Text Bagerick 4%</w:t>
            </w:r>
          </w:p>
        </w:tc>
        <w:tc>
          <w:tcPr>
            <w:tcW w:w="907" w:type="dxa"/>
            <w:tcBorders>
              <w:bottom w:val="single" w:sz="4" w:space="0" w:color="EED7BD"/>
            </w:tcBorders>
            <w:shd w:val="clear" w:color="auto" w:fill="auto"/>
          </w:tcPr>
          <w:p w:rsidR="00991908" w:rsidRPr="00991908" w:rsidRDefault="00991908" w:rsidP="00991908">
            <w:pPr>
              <w:jc w:val="center"/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3</w:t>
            </w:r>
          </w:p>
        </w:tc>
        <w:tc>
          <w:tcPr>
            <w:tcW w:w="1531" w:type="dxa"/>
            <w:tcBorders>
              <w:bottom w:val="single" w:sz="4" w:space="0" w:color="EED7BD"/>
            </w:tcBorders>
            <w:shd w:val="clear" w:color="auto" w:fill="auto"/>
          </w:tcPr>
          <w:p w:rsidR="00991908" w:rsidRPr="00991908" w:rsidRDefault="00991908" w:rsidP="00991908">
            <w:pPr>
              <w:jc w:val="center"/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5.00</w:t>
            </w:r>
          </w:p>
        </w:tc>
        <w:tc>
          <w:tcPr>
            <w:tcW w:w="1531" w:type="dxa"/>
            <w:tcBorders>
              <w:bottom w:val="single" w:sz="4" w:space="0" w:color="EED7BD"/>
            </w:tcBorders>
            <w:shd w:val="clear" w:color="auto" w:fill="auto"/>
          </w:tcPr>
          <w:p w:rsidR="00991908" w:rsidRPr="00991908" w:rsidRDefault="00991908" w:rsidP="00991908">
            <w:pPr>
              <w:jc w:val="center"/>
              <w:rPr>
                <w:rFonts w:ascii="Calibri" w:hAnsi="Calibri" w:cs="Calibri"/>
                <w:color w:val="37291F"/>
                <w:sz w:val="20"/>
              </w:rPr>
            </w:pPr>
            <w:r w:rsidRPr="00991908">
              <w:rPr>
                <w:rFonts w:ascii="Calibri" w:hAnsi="Calibri" w:cs="Calibri"/>
                <w:color w:val="37291F"/>
                <w:sz w:val="20"/>
              </w:rPr>
              <w:t>15.00</w:t>
            </w:r>
          </w:p>
        </w:tc>
      </w:tr>
      <w:tr w:rsidR="00991908" w:rsidTr="00991908">
        <w:tblPrEx>
          <w:tblCellMar>
            <w:top w:w="0" w:type="dxa"/>
            <w:bottom w:w="0" w:type="dxa"/>
          </w:tblCellMar>
        </w:tblPrEx>
        <w:tc>
          <w:tcPr>
            <w:tcW w:w="5499" w:type="dxa"/>
            <w:shd w:val="clear" w:color="auto" w:fill="F2E1D9"/>
          </w:tcPr>
          <w:p w:rsidR="00991908" w:rsidRPr="00991908" w:rsidRDefault="00991908">
            <w:pPr>
              <w:rPr>
                <w:b/>
                <w:color w:val="794E1F"/>
              </w:rPr>
            </w:pPr>
            <w:r w:rsidRPr="00991908">
              <w:rPr>
                <w:b/>
                <w:color w:val="794E1F"/>
              </w:rPr>
              <w:t>Total Due</w:t>
            </w:r>
          </w:p>
        </w:tc>
        <w:tc>
          <w:tcPr>
            <w:tcW w:w="907" w:type="dxa"/>
            <w:shd w:val="clear" w:color="auto" w:fill="F2E1D9"/>
          </w:tcPr>
          <w:p w:rsidR="00991908" w:rsidRDefault="00991908"/>
        </w:tc>
        <w:tc>
          <w:tcPr>
            <w:tcW w:w="1531" w:type="dxa"/>
            <w:shd w:val="clear" w:color="auto" w:fill="F2E1D9"/>
          </w:tcPr>
          <w:p w:rsidR="00991908" w:rsidRDefault="00991908"/>
        </w:tc>
        <w:tc>
          <w:tcPr>
            <w:tcW w:w="1531" w:type="dxa"/>
            <w:shd w:val="clear" w:color="auto" w:fill="F2E1D9"/>
          </w:tcPr>
          <w:p w:rsidR="00991908" w:rsidRPr="00991908" w:rsidRDefault="00991908" w:rsidP="00991908">
            <w:pPr>
              <w:jc w:val="center"/>
              <w:rPr>
                <w:b/>
                <w:color w:val="794E1F"/>
                <w:sz w:val="28"/>
              </w:rPr>
            </w:pPr>
            <w:r w:rsidRPr="00991908">
              <w:rPr>
                <w:b/>
                <w:color w:val="794E1F"/>
                <w:sz w:val="28"/>
              </w:rPr>
              <w:t>825.00</w:t>
            </w:r>
          </w:p>
        </w:tc>
      </w:tr>
    </w:tbl>
    <w:p w:rsidR="00991908" w:rsidRDefault="00991908"/>
    <w:p w:rsidR="00991908" w:rsidRDefault="00991908"/>
    <w:p w:rsidR="00991908" w:rsidRDefault="00991908">
      <w:pPr>
        <w:rPr>
          <w:rFonts w:ascii="Calibri" w:hAnsi="Calibri" w:cs="Calibri"/>
          <w:b/>
          <w:color w:val="794E1F"/>
          <w:sz w:val="20"/>
        </w:rPr>
      </w:pPr>
      <w:r>
        <w:rPr>
          <w:rFonts w:ascii="Calibri" w:hAnsi="Calibri" w:cs="Calibri"/>
          <w:b/>
          <w:color w:val="794E1F"/>
          <w:sz w:val="20"/>
        </w:rPr>
        <w:t>Terms</w:t>
      </w:r>
    </w:p>
    <w:p w:rsidR="00991908" w:rsidRPr="00991908" w:rsidRDefault="00991908">
      <w:pPr>
        <w:rPr>
          <w:rFonts w:ascii="Calibri" w:hAnsi="Calibri" w:cs="Calibri"/>
          <w:color w:val="37291F"/>
          <w:sz w:val="20"/>
        </w:rPr>
      </w:pPr>
      <w:r>
        <w:rPr>
          <w:rFonts w:ascii="Calibri" w:hAnsi="Calibri" w:cs="Calibri"/>
          <w:color w:val="37291F"/>
          <w:sz w:val="20"/>
        </w:rPr>
        <w:t>Net 30 days. Pricing structure: index.html = USD 250; fire-solutions.html = USD 250 base + USD 20 per clickable pop page (7 clickable pages = USD 140); graphics designing charges as itemized above.</w:t>
      </w:r>
      <w:bookmarkStart w:id="0" w:name="_GoBack"/>
      <w:bookmarkEnd w:id="0"/>
    </w:p>
    <w:sectPr w:rsidR="00991908" w:rsidRPr="00991908" w:rsidSect="00991908">
      <w:pgSz w:w="11906" w:h="16838"/>
      <w:pgMar w:top="850" w:right="964" w:bottom="964" w:left="96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908"/>
    <w:rsid w:val="00345FCC"/>
    <w:rsid w:val="00411FC4"/>
    <w:rsid w:val="005D03DB"/>
    <w:rsid w:val="005E7869"/>
    <w:rsid w:val="008D6C2A"/>
    <w:rsid w:val="00907989"/>
    <w:rsid w:val="00991908"/>
    <w:rsid w:val="00E6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051404-EED8-496E-BA75-17B31279C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2026-05-07T18:27:00Z</dcterms:created>
  <dcterms:modified xsi:type="dcterms:W3CDTF">2026-05-07T18:27:00Z</dcterms:modified>
</cp:coreProperties>
</file>