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7A2A4">
      <w:pPr>
        <w:spacing w:before="0" w:after="12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《智影工坊 AI 品牌宣传视频智能体 系统详细功能说明书》</w:t>
      </w:r>
    </w:p>
    <w:p w14:paraId="6DF4BB71">
      <w:pPr>
        <w:spacing w:before="0" w:after="12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一、项目基本信息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6907"/>
      </w:tblGrid>
      <w:tr w14:paraId="6586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1F8"/>
          </w:tcPr>
          <w:p w14:paraId="2F2C00A0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w="7313" w:type="dxa"/>
            <w:shd w:val="clear" w:color="auto" w:fill="EAF1F8"/>
          </w:tcPr>
          <w:p w14:paraId="5048914C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</w:tr>
      <w:tr w14:paraId="131D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2B939E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w="7313" w:type="dxa"/>
          </w:tcPr>
          <w:p w14:paraId="444AE79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智影工坊 AI 品牌宣传视频智能体（AI Brand Video Studio）</w:t>
            </w:r>
          </w:p>
        </w:tc>
      </w:tr>
      <w:tr w14:paraId="6870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125DA4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小组成员</w:t>
            </w:r>
          </w:p>
        </w:tc>
        <w:tc>
          <w:tcPr>
            <w:tcW w:w="7313" w:type="dxa"/>
          </w:tcPr>
          <w:p w14:paraId="4DA7690B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【请填写小组成员姓名】</w:t>
            </w:r>
          </w:p>
        </w:tc>
      </w:tr>
      <w:tr w14:paraId="607AA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505FF5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目标用户</w:t>
            </w:r>
          </w:p>
        </w:tc>
        <w:tc>
          <w:tcPr>
            <w:tcW w:w="7313" w:type="dxa"/>
          </w:tcPr>
          <w:p w14:paraId="7D9CD852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中小企业品牌／市场运营人员、电商商家、短视频与自媒体内容创作者</w:t>
            </w:r>
          </w:p>
        </w:tc>
      </w:tr>
      <w:tr w14:paraId="66B6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29CC7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开发环境</w:t>
            </w:r>
          </w:p>
        </w:tc>
        <w:tc>
          <w:tcPr>
            <w:tcW w:w="7313" w:type="dxa"/>
          </w:tcPr>
          <w:p w14:paraId="6AF521E5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HTML5 + CSS3 + 原生 JavaScript + Canvas API；纯前端单页应用，在浏览器中直接运行，无需后端服务与数据库</w:t>
            </w:r>
          </w:p>
        </w:tc>
      </w:tr>
      <w:tr w14:paraId="1386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0A7EB3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主要产出物</w:t>
            </w:r>
          </w:p>
        </w:tc>
        <w:tc>
          <w:tcPr>
            <w:tcW w:w="7313" w:type="dxa"/>
          </w:tcPr>
          <w:p w14:paraId="7356B2B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可在浏览器运行的单页 Web 应用（index.html、styles.css、app.js）；运行过程中可产出分镜脚本文档（Markdown）、透明主体图（PNG）、字幕文件（SRT）与成片视频（WebM）</w:t>
            </w:r>
          </w:p>
        </w:tc>
      </w:tr>
    </w:tbl>
    <w:p w14:paraId="02BE397D">
      <w:pPr>
        <w:spacing w:before="0" w:after="12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二、项目背景分析（谁用、用来干什么、在什么场景下用？）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4287"/>
        <w:gridCol w:w="2941"/>
      </w:tblGrid>
      <w:tr w14:paraId="3DBB6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AF1F8"/>
          </w:tcPr>
          <w:p w14:paraId="2CD5C1A1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层级</w:t>
            </w:r>
          </w:p>
        </w:tc>
        <w:tc>
          <w:tcPr>
            <w:tcW w:w="4535" w:type="dxa"/>
            <w:shd w:val="clear" w:color="auto" w:fill="EAF1F8"/>
          </w:tcPr>
          <w:p w14:paraId="1C5C1089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填写要点</w:t>
            </w:r>
          </w:p>
        </w:tc>
        <w:tc>
          <w:tcPr>
            <w:tcW w:w="3118" w:type="dxa"/>
            <w:shd w:val="clear" w:color="auto" w:fill="EAF1F8"/>
          </w:tcPr>
          <w:p w14:paraId="7C6DB4B0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典型诉求／产出</w:t>
            </w:r>
          </w:p>
        </w:tc>
      </w:tr>
      <w:tr w14:paraId="744B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02A94AC">
            <w:pPr>
              <w:spacing w:before="60" w:after="60" w:line="300" w:lineRule="auto"/>
              <w:jc w:val="center"/>
            </w:pPr>
            <w:bookmarkStart w:id="0" w:name="_GoBack" w:colFirst="2" w:colLast="2"/>
            <w:r>
              <w:rPr>
                <w:rFonts w:ascii="Times New Roman" w:hAnsi="Times New Roman" w:eastAsia="宋体"/>
                <w:b/>
                <w:sz w:val="21"/>
              </w:rPr>
              <w:t>用户角色</w:t>
            </w:r>
          </w:p>
        </w:tc>
        <w:tc>
          <w:tcPr>
            <w:tcW w:w="4535" w:type="dxa"/>
          </w:tcPr>
          <w:p w14:paraId="18377F8E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品牌／市场运营人员：中小企业市场部门，缺乏专业视频制作团队与预算，需要快速、低成本地产出品牌宣传视频</w:t>
            </w:r>
          </w:p>
        </w:tc>
        <w:tc>
          <w:tcPr>
            <w:tcW w:w="3118" w:type="dxa"/>
          </w:tcPr>
          <w:p w14:paraId="40C03B5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操作简单、向导式引导、快速出片</w:t>
            </w:r>
          </w:p>
        </w:tc>
      </w:tr>
      <w:bookmarkEnd w:id="0"/>
      <w:tr w14:paraId="5BCF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9E8B26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4535" w:type="dxa"/>
          </w:tcPr>
          <w:p w14:paraId="0DBDA2A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电商商家／带货运营：围绕单品做促销宣传，需要突出核心卖点、批量制作并快速换版</w:t>
            </w:r>
          </w:p>
        </w:tc>
        <w:tc>
          <w:tcPr>
            <w:tcW w:w="3118" w:type="dxa"/>
          </w:tcPr>
          <w:p w14:paraId="4C98350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卖点清晰、可换版、适配竖屏／方形等社媒比例</w:t>
            </w:r>
          </w:p>
        </w:tc>
      </w:tr>
      <w:tr w14:paraId="3354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7F3713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4535" w:type="dxa"/>
          </w:tcPr>
          <w:p w14:paraId="7056DAB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内容创作者／自媒体：需要文案、分镜、抠像、配音、字幕一体化的轻量制作工具</w:t>
            </w:r>
          </w:p>
        </w:tc>
        <w:tc>
          <w:tcPr>
            <w:tcW w:w="3118" w:type="dxa"/>
          </w:tcPr>
          <w:p w14:paraId="646D8774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一站式处理、抠像合成、可导出二次剪辑</w:t>
            </w:r>
          </w:p>
        </w:tc>
      </w:tr>
      <w:tr w14:paraId="1016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27FEB41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核心使用场景</w:t>
            </w:r>
          </w:p>
        </w:tc>
        <w:tc>
          <w:tcPr>
            <w:tcW w:w="4535" w:type="dxa"/>
          </w:tcPr>
          <w:p w14:paraId="0C93A915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新品上市：填写品牌与产品信息、卖点和风格，一键生成宣传文案与分镜脚本</w:t>
            </w:r>
          </w:p>
        </w:tc>
        <w:tc>
          <w:tcPr>
            <w:tcW w:w="3118" w:type="dxa"/>
          </w:tcPr>
          <w:p w14:paraId="713EAF9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文案 + 分镜脚本</w:t>
            </w:r>
          </w:p>
        </w:tc>
      </w:tr>
      <w:tr w14:paraId="744B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02A94AC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4535" w:type="dxa"/>
          </w:tcPr>
          <w:p w14:paraId="18377F8E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视觉合成：上传产品／人物素材，抠除原背景、替换为品牌或场景背景并应用到分镜</w:t>
            </w:r>
          </w:p>
        </w:tc>
        <w:tc>
          <w:tcPr>
            <w:tcW w:w="3118" w:type="dxa"/>
          </w:tcPr>
          <w:p w14:paraId="40C03B5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合成后的分镜画面</w:t>
            </w:r>
          </w:p>
        </w:tc>
      </w:tr>
      <w:tr w14:paraId="744B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02A94AC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4535" w:type="dxa"/>
          </w:tcPr>
          <w:p w14:paraId="18377F8E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成片交付：预览播放、试听配音、查看字幕，导出 WebM 成片与 SRT 字幕</w:t>
            </w:r>
          </w:p>
        </w:tc>
        <w:tc>
          <w:tcPr>
            <w:tcW w:w="3118" w:type="dxa"/>
          </w:tcPr>
          <w:p w14:paraId="40C03B5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成片 WebM + 字幕 SRT</w:t>
            </w:r>
          </w:p>
        </w:tc>
      </w:tr>
      <w:tr w14:paraId="744B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02A94AC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4535" w:type="dxa"/>
          </w:tcPr>
          <w:p w14:paraId="18377F8E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模式选择：使用内置离线规则引擎零成本生成，或配置在线大模型接口提升质量</w:t>
            </w:r>
          </w:p>
        </w:tc>
        <w:tc>
          <w:tcPr>
            <w:tcW w:w="3118" w:type="dxa"/>
          </w:tcPr>
          <w:p w14:paraId="40C03B5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离线／在线两种生成模式</w:t>
            </w:r>
          </w:p>
        </w:tc>
      </w:tr>
    </w:tbl>
    <w:p w14:paraId="01DE7057">
      <w:pPr>
        <w:spacing w:before="0" w:after="12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三、功能结构图（用树状图或表格呈现一级、二级功能）</w:t>
      </w:r>
    </w:p>
    <w:tbl>
      <w:tblPr>
        <w:tblW w:type="auto" w:w="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928"/>
            <w:shd w:val="clear" w:color="auto" w:fill="EAF1F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一级功能</w:t>
            </w:r>
          </w:p>
        </w:tc>
        <w:tc>
          <w:tcPr>
            <w:tcW w:type="dxa" w:w="7483"/>
            <w:shd w:val="clear" w:color="auto" w:fill="EAF1F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二级功能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创意输入管理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品牌与产品信息录入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核心卖点维护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行业品类／表达风格／成片比例选择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创意方向切换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表单校验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内容智能生成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文案脚本生成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分镜脚本生成（离线规则／在线 API）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换一版重生成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复制脚本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导出 Markdown 文档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抠像与背景合成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主体素材上传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多方法抠像（取样／绿幕／蓝幕／浅色）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点击背景取样、容差与边缘调节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背景库管理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透明图下载、合成应用到分镜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预览与导出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成片 Canvas 预览与播放控制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配音试听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字幕显示与自动切镜开关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导出 SRT 字幕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录制导出 WebM 视频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在线增强与设置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服务商选择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接口地址／模型／API Key 配置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连接测试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离线／在线模式切换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设置本地保存</w:t>
            </w:r>
          </w:p>
        </w:tc>
      </w:tr>
    </w:tbl>
    <w:p w14:paraId="5226331B">
      <w:pPr>
        <w:spacing w:before="0" w:after="12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四、详细功能清单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080"/>
        <w:gridCol w:w="1184"/>
        <w:gridCol w:w="3280"/>
        <w:gridCol w:w="870"/>
        <w:gridCol w:w="1447"/>
      </w:tblGrid>
      <w:tr w14:paraId="1BAB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AF1F8"/>
          </w:tcPr>
          <w:p w14:paraId="08D54E5B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w="1134" w:type="dxa"/>
            <w:shd w:val="clear" w:color="auto" w:fill="EAF1F8"/>
          </w:tcPr>
          <w:p w14:paraId="31DE82A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一级功能</w:t>
            </w:r>
          </w:p>
        </w:tc>
        <w:tc>
          <w:tcPr>
            <w:tcW w:w="1247" w:type="dxa"/>
            <w:shd w:val="clear" w:color="auto" w:fill="EAF1F8"/>
          </w:tcPr>
          <w:p w14:paraId="4A5687DB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二级功能</w:t>
            </w:r>
          </w:p>
        </w:tc>
        <w:tc>
          <w:tcPr>
            <w:tcW w:w="3515" w:type="dxa"/>
            <w:shd w:val="clear" w:color="auto" w:fill="EAF1F8"/>
          </w:tcPr>
          <w:p w14:paraId="1C6122CE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功能描述</w:t>
            </w:r>
          </w:p>
        </w:tc>
        <w:tc>
          <w:tcPr>
            <w:tcW w:w="907" w:type="dxa"/>
            <w:shd w:val="clear" w:color="auto" w:fill="EAF1F8"/>
          </w:tcPr>
          <w:p w14:paraId="59092F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优先级</w:t>
            </w:r>
          </w:p>
        </w:tc>
        <w:tc>
          <w:tcPr>
            <w:tcW w:w="1531" w:type="dxa"/>
            <w:shd w:val="clear" w:color="auto" w:fill="EAF1F8"/>
          </w:tcPr>
          <w:p w14:paraId="4A5EBCD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备注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创意输入管理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品牌与产品信息录入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录入品牌名称、产品名称、产品描述、目标人群等，预置示例可直接修改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brandName 等输入框</w:t>
            </w:r>
          </w:p>
        </w:tc>
      </w:tr>
      <w:tr w14:paraId="1B24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E2CBE6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1134" w:type="dxa"/>
          </w:tcPr>
          <w:p w14:paraId="3B79A765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创意输入管理</w:t>
            </w:r>
          </w:p>
        </w:tc>
        <w:tc>
          <w:tcPr>
            <w:tcW w:w="1247" w:type="dxa"/>
          </w:tcPr>
          <w:p w14:paraId="31E4BD31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核心卖点维护</w:t>
            </w:r>
          </w:p>
        </w:tc>
        <w:tc>
          <w:tcPr>
            <w:tcW w:w="3515" w:type="dxa"/>
          </w:tcPr>
          <w:p w14:paraId="7266630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以多行文本按行录入多个核心卖点，供文案与分镜调用</w:t>
            </w:r>
          </w:p>
        </w:tc>
        <w:tc>
          <w:tcPr>
            <w:tcW w:w="907" w:type="dxa"/>
          </w:tcPr>
          <w:p w14:paraId="768F0A0E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24B30CC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sellingPoints</w:t>
            </w:r>
          </w:p>
        </w:tc>
      </w:tr>
      <w:tr w14:paraId="4EFF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E6F615C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1134" w:type="dxa"/>
          </w:tcPr>
          <w:p w14:paraId="1D96F3DC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创意输入管理</w:t>
            </w:r>
          </w:p>
        </w:tc>
        <w:tc>
          <w:tcPr>
            <w:tcW w:w="1247" w:type="dxa"/>
          </w:tcPr>
          <w:p w14:paraId="4C2540B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行业品类选择</w:t>
            </w:r>
          </w:p>
        </w:tc>
        <w:tc>
          <w:tcPr>
            <w:tcW w:w="3515" w:type="dxa"/>
          </w:tcPr>
          <w:p w14:paraId="2B6118DE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下拉选择食品饮料、数码科技、美妆个护、服饰鞋包、生活服务、教育培训</w:t>
            </w:r>
          </w:p>
        </w:tc>
        <w:tc>
          <w:tcPr>
            <w:tcW w:w="907" w:type="dxa"/>
          </w:tcPr>
          <w:p w14:paraId="5AFAE18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2CC3C211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category</w:t>
            </w:r>
          </w:p>
        </w:tc>
      </w:tr>
      <w:tr w14:paraId="5079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684B7BF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1134" w:type="dxa"/>
          </w:tcPr>
          <w:p w14:paraId="13AE89A3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创意输入管理</w:t>
            </w:r>
          </w:p>
        </w:tc>
        <w:tc>
          <w:tcPr>
            <w:tcW w:w="1247" w:type="dxa"/>
          </w:tcPr>
          <w:p w14:paraId="5F818F3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表达风格选择</w:t>
            </w:r>
          </w:p>
        </w:tc>
        <w:tc>
          <w:tcPr>
            <w:tcW w:w="3515" w:type="dxa"/>
          </w:tcPr>
          <w:p w14:paraId="58E1AA64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下拉选择年轻活力、科技未来、高端沉稳、促销直给，决定文案语气</w:t>
            </w:r>
          </w:p>
        </w:tc>
        <w:tc>
          <w:tcPr>
            <w:tcW w:w="907" w:type="dxa"/>
          </w:tcPr>
          <w:p w14:paraId="167C3133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257B1103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tone</w:t>
            </w:r>
          </w:p>
        </w:tc>
      </w:tr>
      <w:tr w14:paraId="4877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40039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1134" w:type="dxa"/>
          </w:tcPr>
          <w:p w14:paraId="1D9E3927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创意输入管理</w:t>
            </w:r>
          </w:p>
        </w:tc>
        <w:tc>
          <w:tcPr>
            <w:tcW w:w="1247" w:type="dxa"/>
          </w:tcPr>
          <w:p w14:paraId="087D14BB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成片比例选择</w:t>
            </w:r>
          </w:p>
        </w:tc>
        <w:tc>
          <w:tcPr>
            <w:tcW w:w="3515" w:type="dxa"/>
          </w:tcPr>
          <w:p w14:paraId="5A6E254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 16:9 横屏、9:16 竖屏、1:1 方形，决定成片画幅</w:t>
            </w:r>
          </w:p>
        </w:tc>
        <w:tc>
          <w:tcPr>
            <w:tcW w:w="907" w:type="dxa"/>
          </w:tcPr>
          <w:p w14:paraId="483002BE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4C11744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aspectRatio</w:t>
            </w:r>
          </w:p>
        </w:tc>
      </w:tr>
      <w:tr w14:paraId="164C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56230B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1134" w:type="dxa"/>
          </w:tcPr>
          <w:p w14:paraId="16DBD98C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创意输入管理</w:t>
            </w:r>
          </w:p>
        </w:tc>
        <w:tc>
          <w:tcPr>
            <w:tcW w:w="1247" w:type="dxa"/>
          </w:tcPr>
          <w:p w14:paraId="27C129A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创意方向切换</w:t>
            </w:r>
          </w:p>
        </w:tc>
        <w:tc>
          <w:tcPr>
            <w:tcW w:w="3515" w:type="dxa"/>
          </w:tcPr>
          <w:p w14:paraId="772A1032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以三段式控件切换产品视觉、生活场景、品牌故事</w:t>
            </w:r>
          </w:p>
        </w:tc>
        <w:tc>
          <w:tcPr>
            <w:tcW w:w="907" w:type="dxa"/>
          </w:tcPr>
          <w:p w14:paraId="02E3442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7FEEAC74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directionControl</w:t>
            </w:r>
          </w:p>
        </w:tc>
      </w:tr>
      <w:tr w14:paraId="46D62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1DEAE6D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w="1134" w:type="dxa"/>
          </w:tcPr>
          <w:p w14:paraId="7B87D2F2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创意输入管理</w:t>
            </w:r>
          </w:p>
        </w:tc>
        <w:tc>
          <w:tcPr>
            <w:tcW w:w="1247" w:type="dxa"/>
          </w:tcPr>
          <w:p w14:paraId="2E87FBA2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表单校验</w:t>
            </w:r>
          </w:p>
        </w:tc>
        <w:tc>
          <w:tcPr>
            <w:tcW w:w="3515" w:type="dxa"/>
          </w:tcPr>
          <w:p w14:paraId="3A1DD22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对必填项与最大字数进行校验，保证生成输入完整</w:t>
            </w:r>
          </w:p>
        </w:tc>
        <w:tc>
          <w:tcPr>
            <w:tcW w:w="907" w:type="dxa"/>
          </w:tcPr>
          <w:p w14:paraId="33C73E98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5221DD40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required／maxlength</w:t>
            </w:r>
          </w:p>
        </w:tc>
      </w:tr>
      <w:tr w14:paraId="637B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C9DADA0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w="1134" w:type="dxa"/>
          </w:tcPr>
          <w:p w14:paraId="6AF13ECB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内容智能生成</w:t>
            </w:r>
          </w:p>
        </w:tc>
        <w:tc>
          <w:tcPr>
            <w:tcW w:w="1247" w:type="dxa"/>
          </w:tcPr>
          <w:p w14:paraId="4432C59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文案脚本生成</w:t>
            </w:r>
          </w:p>
        </w:tc>
        <w:tc>
          <w:tcPr>
            <w:tcW w:w="3515" w:type="dxa"/>
          </w:tcPr>
          <w:p w14:paraId="22F01503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依据创意简报生成宣传标题、正文与旁白，支持离线规则或在线 API</w:t>
            </w:r>
          </w:p>
        </w:tc>
        <w:tc>
          <w:tcPr>
            <w:tcW w:w="907" w:type="dxa"/>
          </w:tcPr>
          <w:p w14:paraId="1A6544D5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226541F3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generateButton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内容智能生成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分镜脚本生成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生成含镜号、画面描述、旁白、时长的分镜列表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storyboardList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内容智能生成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换一版重生成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重新生成一版文案与分镜，便于比选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regenerateButton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内容智能生成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复制脚本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一键复制完整脚本文本到剪贴板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copyScriptButton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内容智能生成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Markdown 文档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将脚本与分镜导出为 Markdown 文件下载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downloadMarkdownButton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抠像与背景合成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主体素材上传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点击或拖放上传 PNG／JPG 主体图并载入 Canvas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foregroundInput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抠像与背景合成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多方法抠像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支持背景色取样、绿幕抠像、蓝幕抠像、浅色背景四种方法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cutoutMethod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抠像与背景合成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点击背景取样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在原图点击背景区域，设定需要去除的颜色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canvasStage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抠像与背景合成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容差与边缘调节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以滑块调节颜色容差与边缘柔化，并实时预览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tolerance／feather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抠像与背景合成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背景库管理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提供预设背景，并支持自定义上传背景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backgroundGrid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抠像与背景合成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透明图下载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将抠像结果导出为透明背景 PNG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downloadCutoutButton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抠像与背景合成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合成并应用到分镜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将主体与所选背景合成，并应用到各分镜画面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applyCompositeButton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预览与导出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成片预览与播放控制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 Canvas 播放成片，支持播放／暂停、进度拖动与时间码显示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playButton／timeline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预览与导出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配音试听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生成并试听旁白配音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voiceButton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预览与导出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字幕与切镜开关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切换是否显示字幕、是否自动按分镜切镜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subtitleToggle 等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预览与导出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SRT 字幕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依据旁白与时长生成并下载 SRT 字幕文件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downloadSrtButton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预览与导出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录制导出 WebM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录制 Canvas 播放过程并导出 WebM 视频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高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exportVideoButton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在线增强与设置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在线服务配置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配置服务商、接口地址、模型名称与 API Key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settingsModal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在线增强与设置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连接测试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测试在线接口的连通性与配置是否正确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testApiButton</w:t>
            </w:r>
          </w:p>
        </w:tc>
      </w:tr>
      <w:tr w14:paraId="6DB2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F9CE7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w="1134" w:type="dxa"/>
          </w:tcPr>
          <w:p w14:paraId="352B64E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在线增强与设置</w:t>
            </w:r>
          </w:p>
        </w:tc>
        <w:tc>
          <w:tcPr>
            <w:tcW w:w="1247" w:type="dxa"/>
          </w:tcPr>
          <w:p w14:paraId="6A27E3C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离线／在线模式切换</w:t>
            </w:r>
          </w:p>
        </w:tc>
        <w:tc>
          <w:tcPr>
            <w:tcW w:w="3515" w:type="dxa"/>
          </w:tcPr>
          <w:p w14:paraId="44B861B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在离线规则引擎与在线大模型增强之间切换，配置本地保存</w:t>
            </w:r>
          </w:p>
        </w:tc>
        <w:tc>
          <w:tcPr>
            <w:tcW w:w="907" w:type="dxa"/>
          </w:tcPr>
          <w:p w14:paraId="731F3D64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1531" w:type="dxa"/>
          </w:tcPr>
          <w:p w14:paraId="699D74D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networkStatus</w:t>
            </w:r>
          </w:p>
        </w:tc>
      </w:tr>
    </w:tbl>
    <w:p w14:paraId="2E30DA7C">
      <w:pPr>
        <w:spacing w:before="0" w:after="12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五、数据需求初步分析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407"/>
        <w:gridCol w:w="5283"/>
      </w:tblGrid>
      <w:tr w14:paraId="1C0AD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</w:tcPr>
          <w:p w14:paraId="0561C4FA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数据项</w:t>
            </w:r>
          </w:p>
        </w:tc>
        <w:tc>
          <w:tcPr>
            <w:tcW w:w="1474" w:type="dxa"/>
            <w:shd w:val="clear" w:color="auto" w:fill="EAF1F8"/>
          </w:tcPr>
          <w:p w14:paraId="1EB43E05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类型</w:t>
            </w:r>
          </w:p>
        </w:tc>
        <w:tc>
          <w:tcPr>
            <w:tcW w:w="5613" w:type="dxa"/>
            <w:shd w:val="clear" w:color="auto" w:fill="EAF1F8"/>
          </w:tcPr>
          <w:p w14:paraId="6E54807B">
            <w:pPr>
              <w:spacing w:before="60" w:after="6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品牌名称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文本（≤30 字）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品牌名称，用于文案与画面呈现</w:t>
            </w:r>
          </w:p>
        </w:tc>
      </w:tr>
      <w:tr w14:paraId="3233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147BEF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产品名称</w:t>
            </w:r>
          </w:p>
        </w:tc>
        <w:tc>
          <w:tcPr>
            <w:tcW w:w="1474" w:type="dxa"/>
          </w:tcPr>
          <w:p w14:paraId="78087125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文本（≤40 字）</w:t>
            </w:r>
          </w:p>
        </w:tc>
        <w:tc>
          <w:tcPr>
            <w:tcW w:w="5613" w:type="dxa"/>
          </w:tcPr>
          <w:p w14:paraId="39243B2C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所宣传产品的名称</w:t>
            </w:r>
          </w:p>
        </w:tc>
      </w:tr>
      <w:tr w14:paraId="064D9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FBBDC0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产品描述</w:t>
            </w:r>
          </w:p>
        </w:tc>
        <w:tc>
          <w:tcPr>
            <w:tcW w:w="1474" w:type="dxa"/>
          </w:tcPr>
          <w:p w14:paraId="5679508F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长文本（≤240 字）</w:t>
            </w:r>
          </w:p>
        </w:tc>
        <w:tc>
          <w:tcPr>
            <w:tcW w:w="5613" w:type="dxa"/>
          </w:tcPr>
          <w:p w14:paraId="08EB52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产品特点与工艺描述</w:t>
            </w:r>
          </w:p>
        </w:tc>
      </w:tr>
      <w:tr w14:paraId="1016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E6C9DD1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目标人群</w:t>
            </w:r>
          </w:p>
        </w:tc>
        <w:tc>
          <w:tcPr>
            <w:tcW w:w="1474" w:type="dxa"/>
          </w:tcPr>
          <w:p w14:paraId="3521D913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文本（≤80 字）</w:t>
            </w:r>
          </w:p>
        </w:tc>
        <w:tc>
          <w:tcPr>
            <w:tcW w:w="5613" w:type="dxa"/>
          </w:tcPr>
          <w:p w14:paraId="275CFD8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目标受众画像</w:t>
            </w:r>
          </w:p>
        </w:tc>
      </w:tr>
      <w:tr w14:paraId="1D61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87CBE15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核心卖点</w:t>
            </w:r>
          </w:p>
        </w:tc>
        <w:tc>
          <w:tcPr>
            <w:tcW w:w="1474" w:type="dxa"/>
          </w:tcPr>
          <w:p w14:paraId="612A2E4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文本列表（≤300 字，按行）</w:t>
            </w:r>
          </w:p>
        </w:tc>
        <w:tc>
          <w:tcPr>
            <w:tcW w:w="5613" w:type="dxa"/>
          </w:tcPr>
          <w:p w14:paraId="48F2775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每行记录一个核心卖点</w:t>
            </w:r>
          </w:p>
        </w:tc>
      </w:tr>
      <w:tr w14:paraId="2F4B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7F44CF1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行业品类</w:t>
            </w:r>
          </w:p>
        </w:tc>
        <w:tc>
          <w:tcPr>
            <w:tcW w:w="1474" w:type="dxa"/>
          </w:tcPr>
          <w:p w14:paraId="08CCF5FD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枚举</w:t>
            </w:r>
          </w:p>
        </w:tc>
        <w:tc>
          <w:tcPr>
            <w:tcW w:w="5613" w:type="dxa"/>
          </w:tcPr>
          <w:p w14:paraId="768C6779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食品饮料、数码科技、美妆个护、服饰鞋包、生活服务、教育培训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表达风格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枚举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年轻活力、科技未来、高端沉稳、促销直给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成片比例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枚举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16:9、9:16、1:1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创意方向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枚举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产品视觉、生活场景、品牌故事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文案脚本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结构化文本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宣传标题、正文段落、旁白文本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分镜数据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结构化列表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镜号、画面描述、旁白、时长、画面类型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主体图像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图像（PNG／JPG，载入 Canvas）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待抠像的主体素材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背景图像库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图像集合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预设背景与用户自定义背景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抠像参数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数值／枚举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抠像方法、容差（5–90）、边缘柔化（0–18）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在线服务配置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配置项（localStorage）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服务商、接口地址、模型、API Key、启用状态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字幕数据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文本（SRT）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序号、时间轴、字幕文本</w:t>
            </w:r>
          </w:p>
        </w:tc>
      </w:tr>
      <w:tr w14:paraId="338C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99FBE6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成片视频</w:t>
            </w:r>
          </w:p>
        </w:tc>
        <w:tc>
          <w:tcPr>
            <w:tcW w:w="1474" w:type="dxa"/>
          </w:tcPr>
          <w:p w14:paraId="10041FDA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媒体 Blob（WebM）</w:t>
            </w:r>
          </w:p>
        </w:tc>
        <w:tc>
          <w:tcPr>
            <w:tcW w:w="5613" w:type="dxa"/>
          </w:tcPr>
          <w:p w14:paraId="7196FCC8">
            <w:pPr>
              <w:spacing w:before="60" w:after="6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由 Canvas 录制得到的视频文件</w:t>
            </w:r>
          </w:p>
        </w:tc>
      </w:tr>
    </w:tbl>
    <w:p w14:paraId="09E8AB6F">
      <w:r>
        <w:rPr>
          <w:rFonts w:ascii="Times New Roman" w:hAnsi="Times New Roman" w:eastAsia="宋体"/>
          <w:b w:val="0"/>
          <w:i w:val="0"/>
          <w:sz w:val="24"/>
        </w:rPr>
        <w:t>六、界面具体设想（简单描述主要界面及其包含的控件，需要画图，配以文字描述）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yo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hAnsi="Times New Roman" w:eastAsia="宋体"/>
          <w:b w:val="0"/>
          <w:sz w:val="21"/>
        </w:rPr>
        <w:t>主界面采用“顶部栏＋左侧流程导航＋右侧工作区”三段式布局。顶部栏包含品牌标识、网络状态胶囊（离线／在线）与在线设置入口；左侧为 01–04 四步制作向导，当前步骤高亮显示；右侧为随流程切换的操作面板。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rie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hAnsi="Times New Roman" w:eastAsia="宋体"/>
          <w:b w:val="0"/>
          <w:sz w:val="21"/>
        </w:rPr>
        <w:t>步骤 01 创意输入面板以网格表单组织，包含品牌名称、产品名称、行业品类、产品描述、目标人群、核心卖点、表达风格、成片比例等输入框与下拉框，底部为产品视觉／生活场景／品牌故事三段式创意方向选择；右上角“生成内容”按钮触发内容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t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hAnsi="Times New Roman" w:eastAsia="宋体"/>
          <w:b w:val="0"/>
          <w:sz w:val="21"/>
        </w:rPr>
        <w:t>步骤 02 内容生成面板左侧为脚本文案预览（宣传标题、开场／产品／号召段落、旁白文本），右侧为分镜卡片列表（画面缩略图、画面描述、旁白、时长）；顶部提供换一版、复制脚本、导出文档三项操作。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4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mpo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hAnsi="Times New Roman" w:eastAsia="宋体"/>
          <w:b w:val="0"/>
          <w:sz w:val="21"/>
        </w:rPr>
        <w:t>步骤 03 抠像背景工作室左侧为主体素材上传区与抠像方法、容差、边缘柔化参数，中间为 Canvas 取样与预览舞台，右侧为背景库（预设缩略图与自定义上传）；可下载透明图，或将合成结果应用到分镜。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4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x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hAnsi="Times New Roman" w:eastAsia="宋体"/>
          <w:b w:val="0"/>
          <w:sz w:val="21"/>
        </w:rPr>
        <w:t>步骤 04 预览导出面板左侧为成片画布与播放控制条（播放按钮、进度条、时间码），右侧为成片比例、预计时长、分镜数量、导出格式摘要及显示字幕、自动切镜开关；顶部提供试听配音、导出字幕、录制并导出。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4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hAnsi="Times New Roman" w:eastAsia="宋体"/>
          <w:b w:val="0"/>
          <w:sz w:val="21"/>
        </w:rPr>
        <w:t>在线增强设置弹窗用于配置服务商（OpenAI Compatible、DeepSeek、Qwen／通义）、接口地址、模型名称与 API Key，可测试连接、保存设置，并在完全离线规则引擎与在线大模型增强之间切换；API Key 仅保存在当前浏览器中。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32F27"/>
    <w:rsid w:val="4E23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2026-09-23T01:40:00Z</dcterms:created>
  <dc:creator>Administrator</dc:creator>
  <cp:lastModifiedBy>Administrator</cp:lastModifiedBy>
  <dcterms:modified xsi:type="dcterms:W3CDTF">2026-09-23T01:41:23Z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23A7F3F161FE458A82420E61DA06CCCE_11</vt:lpwstr>
  </property>
  <property fmtid="{D5CDD505-2E9C-101B-9397-08002B2CF9AE}" pid="4" name="KSOTemplateDocerSaveRecord">
    <vt:lpwstr>eyJoZGlkIjoiOTM5MWZhOTk3ZDk4MGJhYzRkODIzNGEyYTE4Y2YwYzYifQ==</vt:lpwstr>
  </property>
</Properties>
</file>