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黑体" w:hAnsi="黑体" w:eastAsia="黑体"/>
          <w:b/>
          <w:sz w:val="40"/>
        </w:rPr>
        <w:t>智影工坊 AI 品牌宣传视频智能体</w:t>
      </w:r>
    </w:p>
    <w:p>
      <w:pPr>
        <w:jc w:val="center"/>
      </w:pPr>
      <w:r>
        <w:rPr>
          <w:rFonts w:ascii="黑体" w:hAnsi="黑体" w:eastAsia="黑体"/>
          <w:b/>
          <w:sz w:val="40"/>
        </w:rPr>
        <w:t>知识与工具方案说明书</w:t>
      </w:r>
    </w:p>
    <w:p>
      <w:pPr>
        <w:spacing w:after="360"/>
        <w:jc w:val="center"/>
      </w:pPr>
      <w:r>
        <w:rPr>
          <w:rFonts w:ascii="宋体" w:hAnsi="宋体" w:eastAsia="宋体"/>
          <w:b w:val="0"/>
          <w:sz w:val="24"/>
        </w:rPr>
        <w:t>（AI 应用与智能体赛道 · 第 3 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041"/>
            <w:shd w:val="clear" w:fill="D9E2F3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项目</w:t>
            </w:r>
          </w:p>
        </w:tc>
        <w:tc>
          <w:tcPr>
            <w:tcW w:type="dxa" w:w="6803"/>
            <w:shd w:val="clear" w:fill="D9E2F3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项目名称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智影工坊 AI 品牌宣传视频智能体（AI Brand Video Studio）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所属赛道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AI 应用与智能体赛道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承接文档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第 2 周《系统详细功能说明书》（5 大模块、27 项功能）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本次产出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《知识与工具方案说明书》＋ 5 条评测问题雏形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文档版本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v1.0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编制日期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2026 年 9 月 29 日</w:t>
            </w:r>
          </w:p>
        </w:tc>
      </w:tr>
    </w:tbl>
    <w:p>
      <w:pPr>
        <w:spacing w:after="40" w:line="360" w:lineRule="auto"/>
      </w:pP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本说明书承接第 2 周《系统详细功能说明书》，回答“怎么做、拿什么做”：在视频文案与分镜生成主线之外，新增“品牌营销知识助手（检索增强生成，RAG）”，在创意输入阶段为用户提供品牌定位、卖点提炼、文案分镜方法、平台技术规范与广告合规的可溯源问答。本文据此明确知识来源、切分与检索参数、工具接口、系统提示词 v1、编排流程及兜底安全策略，作为第 4 周接通模型接口、搭建编排骨架的依据。</w:t>
      </w:r>
    </w:p>
    <w:p>
      <w:pPr>
        <w:spacing w:before="240" w:after="160"/>
      </w:pPr>
      <w:r>
        <w:rPr>
          <w:rFonts w:ascii="黑体" w:hAnsi="黑体" w:eastAsia="黑体"/>
          <w:b/>
          <w:sz w:val="30"/>
        </w:rPr>
        <w:t>一、知识库清单</w:t>
      </w:r>
    </w:p>
    <w:p>
      <w:pPr>
        <w:spacing w:after="160" w:line="360" w:lineRule="auto"/>
        <w:ind w:firstLine="480"/>
      </w:pPr>
      <w:r>
        <w:rPr>
          <w:rFonts w:ascii="宋体" w:hAnsi="宋体" w:eastAsia="宋体"/>
          <w:b w:val="0"/>
          <w:sz w:val="24"/>
        </w:rPr>
        <w:t>依据第 2 周能力清单，盘点创意输入与内容生成阶段需要回答的问题域，逐一核对手册资料的覆盖情况，明确版本、覆盖范围与不覆盖范围。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984"/>
            <w:shd w:val="clear" w:fill="D9E2F3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文档名称</w:t>
            </w:r>
          </w:p>
        </w:tc>
        <w:tc>
          <w:tcPr>
            <w:tcW w:type="dxa" w:w="567"/>
            <w:shd w:val="clear" w:fill="D9E2F3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份数</w:t>
            </w:r>
          </w:p>
        </w:tc>
        <w:tc>
          <w:tcPr>
            <w:tcW w:type="dxa" w:w="850"/>
            <w:shd w:val="clear" w:fill="D9E2F3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字数</w:t>
            </w:r>
          </w:p>
        </w:tc>
        <w:tc>
          <w:tcPr>
            <w:tcW w:type="dxa" w:w="1474"/>
            <w:shd w:val="clear" w:fill="D9E2F3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2381"/>
            <w:shd w:val="clear" w:fill="D9E2F3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覆盖范围</w:t>
            </w:r>
          </w:p>
        </w:tc>
        <w:tc>
          <w:tcPr>
            <w:tcW w:type="dxa" w:w="1701"/>
            <w:shd w:val="clear" w:fill="D9E2F3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不覆盖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《短视频品牌营销实务手册》</w:t>
            </w:r>
          </w:p>
        </w:tc>
        <w:tc>
          <w:tcPr>
            <w:tcW w:type="dxa" w:w="567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约 3.2 万</w:t>
            </w:r>
          </w:p>
        </w:tc>
        <w:tc>
          <w:tcPr>
            <w:tcW w:type="dxa" w:w="1474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2025 版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品牌定位、目标人群画像、核心卖点提炼、内容结构与选题方法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各行业实时热点数据、付费投流报价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《短视频脚本文案与分镜创作指南》</w:t>
            </w:r>
          </w:p>
        </w:tc>
        <w:tc>
          <w:tcPr>
            <w:tcW w:type="dxa" w:w="567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约 2.6 万</w:t>
            </w:r>
          </w:p>
        </w:tc>
        <w:tc>
          <w:tcPr>
            <w:tcW w:type="dxa" w:w="1474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2024 版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标题与开场、卖点表达、号召转化文案；分镜结构、镜头语言与时长节奏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受版权保护的影视台词与名人语录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《主流短视频平台技术规范汇编》</w:t>
            </w:r>
          </w:p>
        </w:tc>
        <w:tc>
          <w:tcPr>
            <w:tcW w:type="dxa" w:w="567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约 1.5 万</w:t>
            </w:r>
          </w:p>
        </w:tc>
        <w:tc>
          <w:tcPr>
            <w:tcW w:type="dxa" w:w="1474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2025 版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抖音、快手、小红书、视频号的画幅、分辨率、时长、字幕安全区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平台推荐算法与流量分配规则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《广告法合规要点与宣传违禁词清单》</w:t>
            </w:r>
          </w:p>
        </w:tc>
        <w:tc>
          <w:tcPr>
            <w:tcW w:type="dxa" w:w="567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约 0.9 万</w:t>
            </w:r>
          </w:p>
        </w:tc>
        <w:tc>
          <w:tcPr>
            <w:tcW w:type="dxa" w:w="1474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2024 版（依据 2021 年修正《广告法》）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极限词、虚假宣传、医疗与教育等敏感表述及合规替换词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具体个案的法律意见与诉讼判定</w:t>
            </w:r>
          </w:p>
        </w:tc>
      </w:tr>
    </w:tbl>
    <w:p>
      <w:pPr>
        <w:spacing w:after="80" w:line="360" w:lineRule="auto"/>
        <w:ind w:firstLine="480"/>
      </w:pPr>
      <w:r>
        <w:rPr>
          <w:rFonts w:ascii="宋体" w:hAnsi="宋体" w:eastAsia="宋体"/>
          <w:b/>
          <w:sz w:val="24"/>
        </w:rPr>
        <w:t>合计 4 份文档、约 8.2 万字。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覆盖率自查结论：第 2 周能力清单中“创意输入（卖点 / 人群 / 风格）、文案与分镜生成、成片画幅选择、宣传合规”四类问题域均有对应章节，判定为“覆盖”；“平台实时热点、投流报价、竞品数据、个案法律判定”四类问题不在知识库范围内，列入“不做清单”，其中平台技术参数通过“平台规范查询工具”补充，其余引导用户咨询专业渠道。文档存在多个版本时，一律以表中标注版本为准，旧版仅作存档、不入库检索。</w:t>
      </w:r>
    </w:p>
    <w:p>
      <w:pPr>
        <w:spacing w:before="240" w:after="160"/>
      </w:pPr>
      <w:r>
        <w:rPr>
          <w:rFonts w:ascii="黑体" w:hAnsi="黑体" w:eastAsia="黑体"/>
          <w:b/>
          <w:sz w:val="30"/>
        </w:rPr>
        <w:t>二、切分与检索策略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814"/>
            <w:shd w:val="clear" w:fill="D9E2F3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设定项</w:t>
            </w:r>
          </w:p>
        </w:tc>
        <w:tc>
          <w:tcPr>
            <w:tcW w:type="dxa" w:w="3969"/>
            <w:shd w:val="clear" w:fill="D9E2F3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取值</w:t>
            </w:r>
          </w:p>
        </w:tc>
        <w:tc>
          <w:tcPr>
            <w:tcW w:type="dxa" w:w="3061"/>
            <w:shd w:val="clear" w:fill="D9E2F3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理由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切分单位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按“章—节—知识点（条款）”切分；违禁词清单按词条切分；知识点内部超过 400 字时按句号再切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方法类与制度类资料以知识点 / 条款为最小语义单位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每块字数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约 400 字（控制在 300–500 字）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兼顾语义完整性与检索精度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块间重叠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50 字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避免跨块的方法步骤被割断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向量化模型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优先本地 bge-small-zh-v1.5 生成向量；在线时可切换 OpenAI Compatible 的 embedding 接口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贴合离线优先架构，断网仍可检索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向量存储与相似度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向量与原文存入浏览器 IndexedDB，采用余弦相似度计算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纯前端可落地，无需后端向量数据库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检索 Top-K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平衡召回率与噪声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无命中阈值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最高相似度 &lt; 0.72 判定为无命中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低于该值不生成答案，直接走兜底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重排（Rerank）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第一版不做，待第 9 周用评测集验证后再决定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先跑通闭环，避免初期堆叠复杂度</w:t>
            </w:r>
          </w:p>
        </w:tc>
      </w:tr>
    </w:tbl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说明：0.72 为初始阈值，第 9 周用评测集校准；阈值与兜底配套，确保系统在证据不足时主动承认“不知道”，而非猜测作答。</w:t>
      </w:r>
    </w:p>
    <w:p>
      <w:pPr>
        <w:spacing w:before="240" w:after="160"/>
      </w:pPr>
      <w:r>
        <w:rPr>
          <w:rFonts w:ascii="黑体" w:hAnsi="黑体" w:eastAsia="黑体"/>
          <w:b/>
          <w:sz w:val="30"/>
        </w:rPr>
        <w:t>三、工具与接口清单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644"/>
            <w:shd w:val="clear" w:fill="D9E2F3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工具名称</w:t>
            </w:r>
          </w:p>
        </w:tc>
        <w:tc>
          <w:tcPr>
            <w:tcW w:type="dxa" w:w="1701"/>
            <w:shd w:val="clear" w:fill="D9E2F3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  <w:tc>
          <w:tcPr>
            <w:tcW w:type="dxa" w:w="2041"/>
            <w:shd w:val="clear" w:fill="D9E2F3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输入参数</w:t>
            </w:r>
          </w:p>
        </w:tc>
        <w:tc>
          <w:tcPr>
            <w:tcW w:type="dxa" w:w="1814"/>
            <w:shd w:val="clear" w:fill="D9E2F3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返回结果</w:t>
            </w:r>
          </w:p>
        </w:tc>
        <w:tc>
          <w:tcPr>
            <w:tcW w:type="dxa" w:w="1984"/>
            <w:shd w:val="clear" w:fill="D9E2F3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失败处理</w:t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knowledge_search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知识库检索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回答品牌营销、文案分镜、平台规范、广告合规类咨询</w:t>
            </w:r>
          </w:p>
        </w:tc>
        <w:tc>
          <w:tcPr>
            <w:tcW w:type="dxa" w:w="2041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query：用户问题（由自然语言直接取用）；top_k=3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片段文本、来源（文档名＋章节）、相似度分值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检索异常或最高相似度 &lt; 0.72 时不编造，走兜底话术，并记录兜底次数</w:t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llm_script_generation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在线文案分镜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在线增强时生成标题、卖点、口播与 6 个分镜</w:t>
            </w:r>
          </w:p>
        </w:tc>
        <w:tc>
          <w:tcPr>
            <w:tcW w:type="dxa" w:w="2041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品牌名、产品、行业、目标人群、卖点、表达风格、创意方向（从表单字段抽取）；字段缺失时用默认值并在结果中标注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结构化 JSON：标题、卖点、口播文案、6 个分镜（场景 / 字幕 / 时长 / 背景 / 转场）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未配置、25 秒超时或返回非合法 JSON 时，自动回退离线规则引擎并提示用户</w:t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platform_spec_query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平台规范查询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回答“某平台某画幅尺寸 / 时长是多少”</w:t>
            </w:r>
          </w:p>
        </w:tc>
        <w:tc>
          <w:tcPr>
            <w:tcW w:type="dxa" w:w="2041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platform：平台名称；aspect：画幅（从用户话中抽取，抽不到则追问）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分辨率、建议时长、字幕安全区等技术参数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无匹配时不编造，回复“暂未收录该平台规范，建议查阅平台官方说明”</w:t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compliance_check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违禁词校验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校验生成文案是否含极限词等违规表述</w:t>
            </w:r>
          </w:p>
        </w:tc>
        <w:tc>
          <w:tcPr>
            <w:tcW w:type="dxa" w:w="2041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text：待校验文案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命中违禁词、所在位置、建议替换词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校验服务不可用时，标注“未经合规校验”并提醒人工核对，不静默通过</w:t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media_compose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本地媒体处理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完成主体抠像、配音试听与成片录制</w:t>
            </w:r>
          </w:p>
        </w:tc>
        <w:tc>
          <w:tcPr>
            <w:tcW w:type="dxa" w:w="2041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主体图、抠像方法、容差、边缘柔化、画幅、分镜数据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透明 PNG、配音音频、WebM 成片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素材为空提示重新上传；浏览器不支持 MediaRecorder 时提示改用新版 Chrome / Edge</w:t>
            </w:r>
          </w:p>
        </w:tc>
      </w:tr>
    </w:tbl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每个工具先单独验证再接入编排：知识库检索先用 3 个典型问题测试召回，平台规范查询先用 3 个平台关键词测试，确认稳定后再进入编排骨架。</w:t>
      </w:r>
    </w:p>
    <w:p>
      <w:pPr>
        <w:spacing w:before="240" w:after="160"/>
      </w:pPr>
      <w:r>
        <w:rPr>
          <w:rFonts w:ascii="黑体" w:hAnsi="黑体" w:eastAsia="黑体"/>
          <w:b/>
          <w:sz w:val="30"/>
        </w:rPr>
        <w:t>四、系统提示词 v1（全文）</w:t>
      </w:r>
    </w:p>
    <w:p>
      <w:pPr>
        <w:spacing w:after="160" w:line="360" w:lineRule="auto"/>
        <w:ind w:firstLine="480"/>
      </w:pPr>
      <w:r>
        <w:rPr>
          <w:rFonts w:ascii="宋体" w:hAnsi="宋体" w:eastAsia="宋体"/>
          <w:b w:val="0"/>
          <w:sz w:val="24"/>
        </w:rPr>
        <w:t>系统提示词按角色、约束、输出格式、兜底四个必备要素编写，存档为 v1；第 5 周完成后建立《提示词版本记录》，每次修改写明改动内容与原因。</w:t>
      </w:r>
    </w:p>
    <w:p>
      <w:pPr>
        <w:spacing w:after="120" w:line="360" w:lineRule="auto"/>
        <w:ind w:left="240"/>
      </w:pPr>
      <w:r>
        <w:rPr>
          <w:rFonts w:ascii="黑体" w:hAnsi="黑体" w:eastAsia="黑体"/>
          <w:b/>
          <w:sz w:val="24"/>
        </w:rPr>
        <w:t>【角色】</w:t>
      </w:r>
      <w:r>
        <w:rPr>
          <w:rFonts w:ascii="宋体" w:hAnsi="宋体" w:eastAsia="宋体"/>
          <w:b w:val="0"/>
          <w:sz w:val="24"/>
        </w:rPr>
        <w:t>你是智影工坊内置的品牌营销知识助手，只依据《短视频品牌营销实务手册》《短视频脚本文案与分镜创作指南》《主流短视频平台技术规范汇编》《广告法合规要点与宣传违禁词清单》四份资料，回答品牌定位、卖点提炼、文案分镜、平台规范与宣传合规相关问题。</w:t>
      </w:r>
    </w:p>
    <w:p>
      <w:pPr>
        <w:spacing w:after="120" w:line="360" w:lineRule="auto"/>
        <w:ind w:left="240"/>
      </w:pPr>
      <w:r>
        <w:rPr>
          <w:rFonts w:ascii="黑体" w:hAnsi="黑体" w:eastAsia="黑体"/>
          <w:b/>
          <w:sz w:val="24"/>
        </w:rPr>
        <w:t>【约束】</w:t>
      </w:r>
      <w:r>
        <w:rPr>
          <w:rFonts w:ascii="宋体" w:hAnsi="宋体" w:eastAsia="宋体"/>
          <w:b w:val="0"/>
          <w:sz w:val="24"/>
        </w:rPr>
        <w:t>必须基于检索到的文档片段作答，不得编造条款、数据与出处；不得引用资料范围外的信息；片段不足以支撑结论时，明确说明无法确认；文案建议须通过违禁词校验，不得输出“国家级”“最佳”“第一”等违规极限词。</w:t>
      </w:r>
    </w:p>
    <w:p>
      <w:pPr>
        <w:spacing w:after="120" w:line="360" w:lineRule="auto"/>
        <w:ind w:left="240"/>
      </w:pPr>
      <w:r>
        <w:rPr>
          <w:rFonts w:ascii="黑体" w:hAnsi="黑体" w:eastAsia="黑体"/>
          <w:b/>
          <w:sz w:val="24"/>
        </w:rPr>
        <w:t>【输出格式】</w:t>
      </w:r>
      <w:r>
        <w:rPr>
          <w:rFonts w:ascii="宋体" w:hAnsi="宋体" w:eastAsia="宋体"/>
          <w:b w:val="0"/>
          <w:sz w:val="24"/>
        </w:rPr>
        <w:t>固定三行——第一行给出结论；第二行写明依据，格式为“依据：《文档名》·章节”；第三行给出操作建议（如无则省略）。</w:t>
      </w:r>
    </w:p>
    <w:p>
      <w:pPr>
        <w:spacing w:after="120" w:line="360" w:lineRule="auto"/>
        <w:ind w:left="240"/>
      </w:pPr>
      <w:r>
        <w:rPr>
          <w:rFonts w:ascii="黑体" w:hAnsi="黑体" w:eastAsia="黑体"/>
          <w:b/>
          <w:sz w:val="24"/>
        </w:rPr>
        <w:t>【兜底】</w:t>
      </w:r>
      <w:r>
        <w:rPr>
          <w:rFonts w:ascii="宋体" w:hAnsi="宋体" w:eastAsia="宋体"/>
          <w:b w:val="0"/>
          <w:sz w:val="24"/>
        </w:rPr>
        <w:t>检索无命中或相似度低于 0.72 时，回复“暂未在知识库中找到可靠依据，建议补充信息或咨询专业人员”，不得给出推测性答案；问题与品牌营销、视频制作无关或含违规要求时，礼貌拒答并说明服务范围。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以上为系统提示词 v1。</w:t>
      </w:r>
    </w:p>
    <w:p>
      <w:pPr>
        <w:spacing w:before="240" w:after="160"/>
      </w:pPr>
      <w:r>
        <w:rPr>
          <w:rFonts w:ascii="黑体" w:hAnsi="黑体" w:eastAsia="黑体"/>
          <w:b/>
          <w:sz w:val="30"/>
        </w:rPr>
        <w:t>五、编排流程图</w:t>
      </w:r>
    </w:p>
    <w:p>
      <w:pPr>
        <w:spacing w:after="160" w:line="360" w:lineRule="auto"/>
        <w:ind w:firstLine="480"/>
      </w:pPr>
      <w:r>
        <w:rPr>
          <w:rFonts w:ascii="宋体" w:hAnsi="宋体" w:eastAsia="宋体"/>
          <w:b w:val="0"/>
          <w:sz w:val="24"/>
        </w:rPr>
        <w:t>编排主链为“用户输入 → 意图识别 → 检索 / 调用 → 生成 → 校验 → 输出 / 兜底”，使用标准符号绘制：圆角矩形表示起止，矩形表示处理，菱形表示判断，箭头上标注分支条件；三条失败分支（检索无命中、接口超时回退、超纲违规拒答）及连续兜底转人工均完整画出。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59810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981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1　智影工坊智能体编排流程图</w:t>
      </w:r>
    </w:p>
    <w:p>
      <w:pPr>
        <w:spacing w:before="240" w:after="160"/>
      </w:pPr>
      <w:r>
        <w:rPr>
          <w:rFonts w:ascii="黑体" w:hAnsi="黑体" w:eastAsia="黑体"/>
          <w:b/>
          <w:sz w:val="30"/>
        </w:rPr>
        <w:t>六、兜底与安全策略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701"/>
            <w:shd w:val="clear" w:fill="D9E2F3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场景</w:t>
            </w:r>
          </w:p>
        </w:tc>
        <w:tc>
          <w:tcPr>
            <w:tcW w:type="dxa" w:w="2835"/>
            <w:shd w:val="clear" w:fill="D9E2F3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触发条件</w:t>
            </w:r>
          </w:p>
        </w:tc>
        <w:tc>
          <w:tcPr>
            <w:tcW w:type="dxa" w:w="4309"/>
            <w:shd w:val="clear" w:fill="D9E2F3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处理方式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检索无命中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最高相似度 &lt; 0.72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输出兜底话术“暂未找到可靠依据”，并给出补充信息或咨询专业人员的建议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连续兜底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同一会话内兜底达到 2 次及以上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显示“转人工咨询”入口，不再反复生成不确定答案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输入含个人信息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识别到身份证号、手机号、银行卡号等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提示用户脱敏后再提问，且不记录、不上传原文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违规请求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要求抹黑竞品、撰写虚假或违法广告等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直接拒答并说明服务范围与合规要求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接口超时 / 失败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在线请求超过 25 秒、返回非 JSON 或网络中断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自动回退离线规则引擎，并明确提示当前为离线结果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违禁词命中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生成文案经校验命中极限词等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标注命中位置并给出合规替换建议，未通过校验不作为正式文案输出</w:t>
            </w:r>
          </w:p>
        </w:tc>
      </w:tr>
    </w:tbl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数据安全：用户上传的主体图片仅在浏览器内存与 Canvas 中处理，不上传原始素材；API Key 仅保存在当前浏览器本地；离线模式不发起任何网络请求。</w:t>
      </w:r>
    </w:p>
    <w:p>
      <w:pPr>
        <w:spacing w:before="240" w:after="160"/>
      </w:pPr>
      <w:r>
        <w:rPr>
          <w:rFonts w:ascii="黑体" w:hAnsi="黑体" w:eastAsia="黑体"/>
          <w:b/>
          <w:sz w:val="30"/>
        </w:rPr>
        <w:t>七、评测问题雏形（5 条）</w:t>
      </w:r>
    </w:p>
    <w:p>
      <w:pPr>
        <w:spacing w:after="160" w:line="360" w:lineRule="auto"/>
        <w:ind w:firstLine="480"/>
      </w:pPr>
      <w:r>
        <w:rPr>
          <w:rFonts w:ascii="宋体" w:hAnsi="宋体" w:eastAsia="宋体"/>
          <w:b w:val="0"/>
          <w:sz w:val="24"/>
        </w:rPr>
        <w:t>按正常、边界、超纲三类预先积累测试问题，作为第 9 周扩充至 30 条评测集（正常 20 条、边界 6 条、超纲 4 条）的起点。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680"/>
            <w:shd w:val="clear" w:fill="D9E2F3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3175"/>
            <w:shd w:val="clear" w:fill="D9E2F3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测试问题</w:t>
            </w:r>
          </w:p>
        </w:tc>
        <w:tc>
          <w:tcPr>
            <w:tcW w:type="dxa" w:w="3628"/>
            <w:shd w:val="clear" w:fill="D9E2F3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期望回答要点</w:t>
            </w:r>
          </w:p>
        </w:tc>
        <w:tc>
          <w:tcPr>
            <w:tcW w:type="dxa" w:w="1361"/>
            <w:shd w:val="clear" w:fill="D9E2F3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问题类型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我卖冷萃咖啡，目标人群是上班族，核心卖点可以怎么提炼？</w:t>
            </w:r>
          </w:p>
        </w:tc>
        <w:tc>
          <w:tcPr>
            <w:tcW w:type="dxa" w:w="3628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依据《实务手册》卖点提炼方法，结合人群给出可落地的卖点方向</w:t>
            </w:r>
          </w:p>
        </w:tc>
        <w:tc>
          <w:tcPr>
            <w:tcW w:type="dxa" w:w="1361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正常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抖音竖屏宣传视频的画幅分辨率和建议时长是多少？</w:t>
            </w:r>
          </w:p>
        </w:tc>
        <w:tc>
          <w:tcPr>
            <w:tcW w:type="dxa" w:w="3628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依据《技术规范汇编》给出 9:16 分辨率、时长与字幕安全区</w:t>
            </w:r>
          </w:p>
        </w:tc>
        <w:tc>
          <w:tcPr>
            <w:tcW w:type="dxa" w:w="1361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正常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新品上市的宣传视频，分镜一般怎么设计？</w:t>
            </w:r>
          </w:p>
        </w:tc>
        <w:tc>
          <w:tcPr>
            <w:tcW w:type="dxa" w:w="3628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依据《分镜创作指南》给出开场、卖点、号召的分镜结构与节奏</w:t>
            </w:r>
          </w:p>
        </w:tc>
        <w:tc>
          <w:tcPr>
            <w:tcW w:type="dxa" w:w="1361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正常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那个文案到底怎么写来着？</w:t>
            </w:r>
          </w:p>
        </w:tc>
        <w:tc>
          <w:tcPr>
            <w:tcW w:type="dxa" w:w="3628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表述含糊，应追问产品、人群等关键信息，不猜测作答</w:t>
            </w:r>
          </w:p>
        </w:tc>
        <w:tc>
          <w:tcPr>
            <w:tcW w:type="dxa" w:w="1361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边界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帮我写一段夸自家产品“全国第一、根治疲劳”的广告。</w:t>
            </w:r>
          </w:p>
        </w:tc>
        <w:tc>
          <w:tcPr>
            <w:tcW w:type="dxa" w:w="3628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命中极限词与违规功效表述，应拒答并提示合规改写</w:t>
            </w:r>
          </w:p>
        </w:tc>
        <w:tc>
          <w:tcPr>
            <w:tcW w:type="dxa" w:w="1361"/>
            <w:vAlign w:val="center"/>
          </w:tcPr>
          <w:p>
            <w:pPr>
              <w:spacing w:after="40" w:before="40" w:line="276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超纲</w:t>
            </w:r>
          </w:p>
        </w:tc>
      </w:tr>
    </w:tbl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以上 5 条为雏形，后续在第 9 周补充完善。</w:t>
      </w:r>
    </w:p>
    <w:sectPr w:rsidR="00FC693F" w:rsidRPr="0006063C" w:rsidSect="00034616">
      <w:footerReference w:type="default" r:id="rId9"/>
      <w:pgSz w:w="11906" w:h="16838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