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sz w:val="44"/>
        </w:rPr>
        <w:t>《编排骨架说明》</w:t>
      </w:r>
    </w:p>
    <w:p>
      <w:pPr>
        <w:jc w:val="center"/>
      </w:pPr>
      <w:r>
        <w:rPr>
          <w:rFonts w:ascii="宋体" w:hAnsi="宋体" w:eastAsia="宋体"/>
          <w:sz w:val="28"/>
        </w:rPr>
        <w:t>智影工坊AI品牌宣传视频智能体</w:t>
      </w:r>
    </w:p>
    <w:p/>
    <w:p>
      <w:pPr>
        <w:pStyle w:val="Heading1"/>
      </w:pPr>
      <w:r>
        <w:rPr>
          <w:rFonts w:ascii="黑体" w:hAnsi="黑体" w:eastAsia="黑体"/>
        </w:rPr>
        <w:t>一、选型与运行环境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t>编排方式</w:t>
            </w:r>
          </w:p>
        </w:tc>
        <w:tc>
          <w:tcPr>
            <w:tcW w:type="dxa" w:w="2880"/>
          </w:tcPr>
          <w:p>
            <w:r>
              <w:t>自研编排（纯前端 JavaScript 串流程）</w:t>
            </w:r>
          </w:p>
        </w:tc>
        <w:tc>
          <w:tcPr>
            <w:tcW w:type="dxa" w:w="2880"/>
          </w:tcPr>
          <w:p>
            <w:r>
              <w:t>项目团队具备前端开发能力，浏览器端可离线运行，无需后端服务器部署</w:t>
            </w:r>
          </w:p>
        </w:tc>
      </w:tr>
      <w:tr>
        <w:tc>
          <w:tcPr>
            <w:tcW w:type="dxa" w:w="2880"/>
          </w:tcPr>
          <w:p>
            <w:r>
              <w:t>未选方案</w:t>
            </w:r>
          </w:p>
        </w:tc>
        <w:tc>
          <w:tcPr>
            <w:tcW w:type="dxa" w:w="2880"/>
          </w:tcPr>
          <w:p>
            <w:r>
              <w:t>低代码平台（Dify／扣子）</w:t>
            </w:r>
          </w:p>
        </w:tc>
        <w:tc>
          <w:tcPr>
            <w:tcW w:type="dxa" w:w="2880"/>
          </w:tcPr>
          <w:p>
            <w:r>
              <w:t>本课题需要浏览器端图像处理与视频合成，低代码平台无法覆盖 Canvas 抠像与导出能力</w:t>
            </w:r>
          </w:p>
        </w:tc>
      </w:tr>
      <w:tr>
        <w:tc>
          <w:tcPr>
            <w:tcW w:type="dxa" w:w="2880"/>
          </w:tcPr>
          <w:p>
            <w:r>
              <w:t>大模型</w:t>
            </w:r>
          </w:p>
        </w:tc>
        <w:tc>
          <w:tcPr>
            <w:tcW w:type="dxa" w:w="2880"/>
          </w:tcPr>
          <w:p>
            <w:r>
              <w:t>OpenAI Compatible API（temperature=0.4）</w:t>
            </w:r>
          </w:p>
        </w:tc>
        <w:tc>
          <w:tcPr>
            <w:tcW w:type="dxa" w:w="2880"/>
          </w:tcPr>
          <w:p>
            <w:r>
              <w:t>支持多服务商切换，未配置时自动回退离线规则引擎，满足离线优先设计</w:t>
            </w:r>
          </w:p>
        </w:tc>
      </w:tr>
      <w:tr>
        <w:tc>
          <w:tcPr>
            <w:tcW w:type="dxa" w:w="2880"/>
          </w:tcPr>
          <w:p>
            <w:r>
              <w:t>知识库</w:t>
            </w:r>
          </w:p>
        </w:tc>
        <w:tc>
          <w:tcPr>
            <w:tcW w:type="dxa" w:w="2880"/>
          </w:tcPr>
          <w:p>
            <w:r>
              <w:t>本地内嵌知识块（knowledge.data.js）</w:t>
            </w:r>
          </w:p>
        </w:tc>
        <w:tc>
          <w:tcPr>
            <w:tcW w:type="dxa" w:w="2880"/>
          </w:tcPr>
          <w:p>
            <w:r>
              <w:t>本周已完成切分并可离线检索，第 5 周可平滑升级为向量检索</w:t>
            </w:r>
          </w:p>
        </w:tc>
      </w:tr>
    </w:tbl>
    <w:p/>
    <w:p>
      <w:r>
        <w:rPr>
          <w:b/>
        </w:rPr>
        <w:t>运行入口：</w:t>
      </w:r>
      <w:r>
        <w:t>双击 index.html 或 start.bat，在浏览器中打开；知识助手位于页面右侧面板，可直接输入问题。</w:t>
      </w:r>
    </w:p>
    <w:p>
      <w:pPr>
        <w:pStyle w:val="Heading1"/>
      </w:pPr>
      <w:r>
        <w:rPr>
          <w:rFonts w:ascii="黑体" w:hAnsi="黑体" w:eastAsia="黑体"/>
        </w:rPr>
        <w:t>二、模块骨架与文件映射</w:t>
      </w:r>
    </w:p>
    <w:p>
      <w:r>
        <w:t>本周实现的模块已在代码中跑通完整链路；知识检索模块已完成 TF-IDF 本地检索（超出第 4 周"占位"要求）。所有模块函数签名已固定，第 5 周替换内部实现时不改变调用关系。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本周完成情况</w:t>
            </w:r>
          </w:p>
        </w:tc>
      </w:tr>
      <w:tr>
        <w:tc>
          <w:tcPr>
            <w:tcW w:type="dxa" w:w="2880"/>
          </w:tcPr>
          <w:p>
            <w:r>
              <w:t>index.html / advisor.app.js</w:t>
            </w:r>
          </w:p>
        </w:tc>
        <w:tc>
          <w:tcPr>
            <w:tcW w:type="dxa" w:w="2880"/>
          </w:tcPr>
          <w:p>
            <w:r>
              <w:t>入口与输入：聊天界面、用户输入采集、回复渲染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knowledge.js → detectIntent()</w:t>
            </w:r>
          </w:p>
        </w:tc>
        <w:tc>
          <w:tcPr>
            <w:tcW w:type="dxa" w:w="2880"/>
          </w:tcPr>
          <w:p>
            <w:r>
              <w:t>意图识别：正则规则分为知识问答/平台规范/合规咨询/澄清/拒答</w:t>
            </w:r>
          </w:p>
        </w:tc>
        <w:tc>
          <w:tcPr>
            <w:tcW w:type="dxa" w:w="2880"/>
          </w:tcPr>
          <w:p>
            <w:r>
              <w:t>已完成（5 类意图，关键词规则 30+ 条）</w:t>
            </w:r>
          </w:p>
        </w:tc>
      </w:tr>
      <w:tr>
        <w:tc>
          <w:tcPr>
            <w:tcW w:type="dxa" w:w="2880"/>
          </w:tcPr>
          <w:p>
            <w:r>
              <w:t>knowledge.js → search() / knowledgeSearch()</w:t>
            </w:r>
          </w:p>
        </w:tc>
        <w:tc>
          <w:tcPr>
            <w:tcW w:type="dxa" w:w="2880"/>
          </w:tcPr>
          <w:p>
            <w:r>
              <w:t>知识检索：bigram TF-IDF 余弦相似度 + 标签加权，Top-K=3、阈值 0.72</w:t>
            </w:r>
          </w:p>
        </w:tc>
        <w:tc>
          <w:tcPr>
            <w:tcW w:type="dxa" w:w="2880"/>
          </w:tcPr>
          <w:p>
            <w:r>
              <w:t>已完成（本周已实现真实检索，非空占位）</w:t>
            </w:r>
          </w:p>
        </w:tc>
      </w:tr>
      <w:tr>
        <w:tc>
          <w:tcPr>
            <w:tcW w:type="dxa" w:w="2880"/>
          </w:tcPr>
          <w:p>
            <w:r>
              <w:t>knowledge.js → onlineAnswer() / buildAnswer()</w:t>
            </w:r>
          </w:p>
        </w:tc>
        <w:tc>
          <w:tcPr>
            <w:tcW w:type="dxa" w:w="2880"/>
          </w:tcPr>
          <w:p>
            <w:r>
              <w:t>生成调用：在线大模型增强 + 离线规则回退双路径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knowledge.js → complianceCheck()</w:t>
            </w:r>
          </w:p>
        </w:tc>
        <w:tc>
          <w:tcPr>
            <w:tcW w:type="dxa" w:w="2880"/>
          </w:tcPr>
          <w:p>
            <w:r>
              <w:t>结果校验：违禁词检测与合规提示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knowledge.js → runAdvisor() 兜底分支</w:t>
            </w:r>
          </w:p>
        </w:tc>
        <w:tc>
          <w:tcPr>
            <w:tcW w:type="dxa" w:w="2880"/>
          </w:tcPr>
          <w:p>
            <w:r>
              <w:t>兜底：检索无命中/超纲/违规请求均有出口，不崩溃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knowledge.data.js</w:t>
            </w:r>
          </w:p>
        </w:tc>
        <w:tc>
          <w:tcPr>
            <w:tcW w:type="dxa" w:w="2880"/>
          </w:tcPr>
          <w:p>
            <w:r>
              <w:t>知识库数据：已切分的知识块、平台规范、违禁词表</w:t>
            </w:r>
          </w:p>
        </w:tc>
        <w:tc>
          <w:tcPr>
            <w:tcW w:type="dxa" w:w="2880"/>
          </w:tcPr>
          <w:p>
            <w:r>
              <w:t>已就位</w:t>
            </w:r>
          </w:p>
        </w:tc>
      </w:tr>
      <w:tr>
        <w:tc>
          <w:tcPr>
            <w:tcW w:type="dxa" w:w="2880"/>
          </w:tcPr>
          <w:p>
            <w:r>
              <w:t>prompts/system_v0.md</w:t>
            </w:r>
          </w:p>
        </w:tc>
        <w:tc>
          <w:tcPr>
            <w:tcW w:type="dxa" w:w="2880"/>
          </w:tcPr>
          <w:p>
            <w:r>
              <w:t>系统提示词 v0（独立存档）</w:t>
            </w:r>
          </w:p>
        </w:tc>
        <w:tc>
          <w:tcPr>
            <w:tcW w:type="dxa" w:w="2880"/>
          </w:tcPr>
          <w:p>
            <w:r>
              <w:t>已完成并标版本</w:t>
            </w:r>
          </w:p>
        </w:tc>
      </w:tr>
      <w:tr>
        <w:tc>
          <w:tcPr>
            <w:tcW w:type="dxa" w:w="2880"/>
          </w:tcPr>
          <w:p>
            <w:r>
              <w:t>data/docs/</w:t>
            </w:r>
          </w:p>
        </w:tc>
        <w:tc>
          <w:tcPr>
            <w:tcW w:type="dxa" w:w="2880"/>
          </w:tcPr>
          <w:p>
            <w:r>
              <w:t>知识库原始文档说明</w:t>
            </w:r>
          </w:p>
        </w:tc>
        <w:tc>
          <w:tcPr>
            <w:tcW w:type="dxa" w:w="2880"/>
          </w:tcPr>
          <w:p>
            <w:r>
              <w:t>已就位</w:t>
            </w:r>
          </w:p>
        </w:tc>
      </w:tr>
      <w:tr>
        <w:tc>
          <w:tcPr>
            <w:tcW w:type="dxa" w:w="2880"/>
          </w:tcPr>
          <w:p>
            <w:r>
              <w:t>.env.example</w:t>
            </w:r>
          </w:p>
        </w:tc>
        <w:tc>
          <w:tcPr>
            <w:tcW w:type="dxa" w:w="2880"/>
          </w:tcPr>
          <w:p>
            <w:r>
              <w:t>密钥与配置样例（变量名清单）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</w:tbl>
    <w:p/>
    <w:p>
      <w:r>
        <w:rPr>
          <w:b/>
        </w:rPr>
        <w:t>编排流程：</w:t>
      </w:r>
      <w:r>
        <w:t>用户输入 → 隐私检测 → 意图识别 → 分支路由（澄清/拒答/规范查询/知识检索）→ 检索 Top-K → 阈值判定 → 在线增强 or 离线生成 → 合规校验 → 输出三行格式回复。</w:t>
      </w:r>
    </w:p>
    <w:p>
      <w:pPr>
        <w:pStyle w:val="Heading1"/>
      </w:pPr>
      <w:r>
        <w:rPr>
          <w:rFonts w:ascii="黑体" w:hAnsi="黑体" w:eastAsia="黑体"/>
        </w:rPr>
        <w:t>三、模型 API 调通记录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测试项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输出 / 结果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耗时</w:t>
            </w:r>
          </w:p>
        </w:tc>
      </w:tr>
      <w:tr>
        <w:tc>
          <w:tcPr>
            <w:tcW w:type="dxa" w:w="2160"/>
          </w:tcPr>
          <w:p>
            <w:r>
              <w:t>基础连通</w:t>
            </w:r>
          </w:p>
        </w:tc>
        <w:tc>
          <w:tcPr>
            <w:tcW w:type="dxa" w:w="2160"/>
          </w:tcPr>
          <w:p>
            <w:r>
              <w:t>"你好"（测试连通性）</w:t>
            </w:r>
          </w:p>
        </w:tc>
        <w:tc>
          <w:tcPr>
            <w:tcW w:type="dxa" w:w="2160"/>
          </w:tcPr>
          <w:p>
            <w:r>
              <w:t>正常返回问候语，HTTP 200，无报错</w:t>
            </w:r>
          </w:p>
        </w:tc>
        <w:tc>
          <w:tcPr>
            <w:tcW w:type="dxa" w:w="2160"/>
          </w:tcPr>
          <w:p>
            <w:r>
              <w:t>约 1.2 s</w:t>
            </w:r>
          </w:p>
        </w:tc>
      </w:tr>
      <w:tr>
        <w:tc>
          <w:tcPr>
            <w:tcW w:type="dxa" w:w="2160"/>
          </w:tcPr>
          <w:p>
            <w:r>
              <w:t>长文本上下文</w:t>
            </w:r>
          </w:p>
        </w:tc>
        <w:tc>
          <w:tcPr>
            <w:tcW w:type="dxa" w:w="2160"/>
          </w:tcPr>
          <w:p>
            <w:r>
              <w:t>约 800 字检索片段 + 提问</w:t>
            </w:r>
          </w:p>
        </w:tc>
        <w:tc>
          <w:tcPr>
            <w:tcW w:type="dxa" w:w="2160"/>
          </w:tcPr>
          <w:p>
            <w:r>
              <w:t>正常返回三行格式答案，未超上下文限制</w:t>
            </w:r>
          </w:p>
        </w:tc>
        <w:tc>
          <w:tcPr>
            <w:tcW w:type="dxa" w:w="2160"/>
          </w:tcPr>
          <w:p>
            <w:r>
              <w:t>约 3.5 s</w:t>
            </w:r>
          </w:p>
        </w:tc>
      </w:tr>
      <w:tr>
        <w:tc>
          <w:tcPr>
            <w:tcW w:type="dxa" w:w="2160"/>
          </w:tcPr>
          <w:p>
            <w:r>
              <w:t>异常处理</w:t>
            </w:r>
          </w:p>
        </w:tc>
        <w:tc>
          <w:tcPr>
            <w:tcW w:type="dxa" w:w="2160"/>
          </w:tcPr>
          <w:p>
            <w:r>
              <w:t>填入错误密钥 / 断网</w:t>
            </w:r>
          </w:p>
        </w:tc>
        <w:tc>
          <w:tcPr>
            <w:tcW w:type="dxa" w:w="2160"/>
          </w:tcPr>
          <w:p>
            <w:r>
              <w:t>自动捕获错误并回退离线引擎，页面不崩溃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rPr>
          <w:b/>
        </w:rPr>
        <w:t>说明：</w:t>
      </w:r>
      <w:r>
        <w:t>API Key 仅保存在浏览器 localStorage 中，不出现在代码、日志与截图里。在线增强开关关闭时，系统始终使用离线规则引擎，不发起任何网络请求。</w:t>
      </w:r>
    </w:p>
    <w:p>
      <w:pPr>
        <w:pStyle w:val="Heading1"/>
      </w:pPr>
      <w:r>
        <w:rPr>
          <w:rFonts w:ascii="黑体" w:hAnsi="黑体" w:eastAsia="黑体"/>
        </w:rPr>
        <w:t>四、系统提示词 v0（全文）</w:t>
      </w:r>
    </w:p>
    <w:p>
      <w:r>
        <w:rPr>
          <w:b/>
        </w:rPr>
        <w:t>提示词文件路径：</w:t>
      </w:r>
      <w:r>
        <w:t>prompts/system_v0.md（独立存档，不在代码字符串中写死）</w:t>
      </w:r>
    </w:p>
    <w:p/>
    <w:p>
      <w:pPr>
        <w:ind w:left="567" w:right="567"/>
      </w:pPr>
      <w:r>
        <w:rPr>
          <w:rFonts w:ascii="宋体" w:hAnsi="宋体" w:eastAsia="宋体"/>
        </w:rPr>
        <w:t>【角色】</w:t>
        <w:br/>
        <w:t>你是智影工坊内置的品牌营销知识助手，只依据《短视频品牌营销实务手册》《短视频脚本文案与分镜创作指南》《主流短视频平台技术规范汇编》《广告法合规要点与宣传违禁词清单》四份资料，回答品牌定位、卖点提炼、文案分镜、平台规范与宣传合规相关问题。</w:t>
        <w:br/>
        <w:br/>
        <w:t>【输出格式】</w:t>
        <w:br/>
        <w:t>固定三行——</w:t>
        <w:br/>
        <w:t>第一行：结论（直接给出答案）</w:t>
        <w:br/>
        <w:t>第二行：依据（格式"依据：《文档名》·章节"）</w:t>
        <w:br/>
        <w:t>第三行：操作建议（如无则省略）</w:t>
      </w:r>
    </w:p>
    <w:p/>
    <w:p>
      <w:r>
        <w:rPr>
          <w:b/>
        </w:rPr>
        <w:t>版本对比：</w:t>
      </w:r>
      <w:r>
        <w:t>与第 3 周的 v1 相比，本周的 v0 暂时省略了"不得编造条款号"与兜底话术的详细表述，由合规校验模块与兜底分支承担；第 5 周接上向量检索后会把这些约束补回 v1。</w:t>
      </w:r>
    </w:p>
    <w:p>
      <w:pPr>
        <w:pStyle w:val="Heading1"/>
      </w:pPr>
      <w:r>
        <w:rPr>
          <w:rFonts w:ascii="黑体" w:hAnsi="黑体" w:eastAsia="黑体"/>
        </w:rPr>
        <w:t>五、单轮问答运行记录</w:t>
      </w:r>
    </w:p>
    <w:p>
      <w:r>
        <w:t>以下为知识助手面板的四次真实问答记录，其中第 4 次为超纲问题触发兜底分支。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输出摘要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是否走兜底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怎么提炼产品的核心卖点</w:t>
            </w:r>
          </w:p>
        </w:tc>
        <w:tc>
          <w:tcPr>
            <w:tcW w:type="dxa" w:w="2160"/>
          </w:tcPr>
          <w:p>
            <w:r>
              <w:t>结论：核心卖点建议用 FABE 方法提炼……；依据：《短视频品牌营销实务手册》·第三章 核心卖点提炼（FABE）；操作建议：把产品参数翻译成用户利益，不要只罗列成分和工艺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小红书视频的画幅尺寸是多少</w:t>
            </w:r>
          </w:p>
        </w:tc>
        <w:tc>
          <w:tcPr>
            <w:tcW w:type="dxa" w:w="2160"/>
          </w:tcPr>
          <w:p>
            <w:r>
              <w:t>结论：小红书 9:16 推荐分辨率 1080×1920；时长 15 秒以内最佳；依据：《主流短视频平台技术规范汇编》·小红书 技术规范；操作建议：关键内容放在安全区内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那个事怎么办</w:t>
            </w:r>
          </w:p>
        </w:tc>
        <w:tc>
          <w:tcPr>
            <w:tcW w:type="dxa" w:w="2160"/>
          </w:tcPr>
          <w:p>
            <w:r>
              <w:t>为了给你准确建议，请补充：你的产品是什么、目标人群是谁，以及你想解决的具体问题（如卖点提炼、分镜设计、平台规范）</w:t>
            </w:r>
          </w:p>
        </w:tc>
        <w:tc>
          <w:tcPr>
            <w:tcW w:type="dxa" w:w="2160"/>
          </w:tcPr>
          <w:p>
            <w:r>
              <w:t>否（澄清分支）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帮我写一篇英语作文</w:t>
            </w:r>
          </w:p>
        </w:tc>
        <w:tc>
          <w:tcPr>
            <w:tcW w:type="dxa" w:w="2160"/>
          </w:tcPr>
          <w:p>
            <w:r>
              <w:t>抱歉，无法满足该请求（超出品牌营销与视频制作的服务范围）。我只提供品牌定位、卖点提炼、文案分镜、平台规范与宣传合规方面的帮助</w:t>
            </w:r>
          </w:p>
        </w:tc>
        <w:tc>
          <w:tcPr>
            <w:tcW w:type="dxa" w:w="2160"/>
          </w:tcPr>
          <w:p>
            <w:r>
              <w:t>是（拒答/兜底）</w:t>
            </w:r>
          </w:p>
        </w:tc>
      </w:tr>
    </w:tbl>
    <w:p/>
    <w:p>
      <w:r>
        <w:rPr>
          <w:b/>
        </w:rPr>
        <w:t>运行结论：</w:t>
      </w:r>
      <w:r>
        <w:t>四次运行均未报错，链路完整。第 1、2 条为正常知识问答与规范查询；第 3 条触发意图澄清分支；第 4 条为超纲问题触发拒答兜底，证明失败分支已接通。</w:t>
      </w:r>
    </w:p>
    <w:p>
      <w:pPr>
        <w:pStyle w:val="Heading1"/>
      </w:pPr>
      <w:r>
        <w:rPr>
          <w:rFonts w:ascii="黑体" w:hAnsi="黑体" w:eastAsia="黑体"/>
        </w:rPr>
        <w:t>六、知识库就位情况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文档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落地路径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字数（约）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切分脚本状态</w:t>
            </w:r>
          </w:p>
        </w:tc>
      </w:tr>
      <w:tr>
        <w:tc>
          <w:tcPr>
            <w:tcW w:type="dxa" w:w="2160"/>
          </w:tcPr>
          <w:p>
            <w:r>
              <w:t>《短视频品牌营销实务手册》</w:t>
            </w:r>
          </w:p>
        </w:tc>
        <w:tc>
          <w:tcPr>
            <w:tcW w:type="dxa" w:w="2160"/>
          </w:tcPr>
          <w:p>
            <w:r>
              <w:t>data/docs/marketing_handbook.md（切分结果内嵌于 knowledge.data.js）</w:t>
            </w:r>
          </w:p>
        </w:tc>
        <w:tc>
          <w:tcPr>
            <w:tcW w:type="dxa" w:w="2160"/>
          </w:tcPr>
          <w:p>
            <w:r>
              <w:t>约 6,000 字</w:t>
            </w:r>
          </w:p>
        </w:tc>
        <w:tc>
          <w:tcPr>
            <w:tcW w:type="dxa" w:w="2160"/>
          </w:tcPr>
          <w:p>
            <w:r>
              <w:t>已切分（5 块，每块 300–450 字）</w:t>
            </w:r>
          </w:p>
        </w:tc>
      </w:tr>
      <w:tr>
        <w:tc>
          <w:tcPr>
            <w:tcW w:type="dxa" w:w="2160"/>
          </w:tcPr>
          <w:p>
            <w:r>
              <w:t>《短视频脚本文案与分镜创作指南》</w:t>
            </w:r>
          </w:p>
        </w:tc>
        <w:tc>
          <w:tcPr>
            <w:tcW w:type="dxa" w:w="2160"/>
          </w:tcPr>
          <w:p>
            <w:r>
              <w:t>data/docs/script_guide.md（切分结果内嵌于 knowledge.data.js）</w:t>
            </w:r>
          </w:p>
        </w:tc>
        <w:tc>
          <w:tcPr>
            <w:tcW w:type="dxa" w:w="2160"/>
          </w:tcPr>
          <w:p>
            <w:r>
              <w:t>约 5,500 字</w:t>
            </w:r>
          </w:p>
        </w:tc>
        <w:tc>
          <w:tcPr>
            <w:tcW w:type="dxa" w:w="2160"/>
          </w:tcPr>
          <w:p>
            <w:r>
              <w:t>已切分（5 块）</w:t>
            </w:r>
          </w:p>
        </w:tc>
      </w:tr>
      <w:tr>
        <w:tc>
          <w:tcPr>
            <w:tcW w:type="dxa" w:w="2160"/>
          </w:tcPr>
          <w:p>
            <w:r>
              <w:t>《主流短视频平台技术规范汇编》</w:t>
            </w:r>
          </w:p>
        </w:tc>
        <w:tc>
          <w:tcPr>
            <w:tcW w:type="dxa" w:w="2160"/>
          </w:tcPr>
          <w:p>
            <w:r>
              <w:t>data/docs/platform_specs.md（结构化数据内嵌）</w:t>
            </w:r>
          </w:p>
        </w:tc>
        <w:tc>
          <w:tcPr>
            <w:tcW w:type="dxa" w:w="2160"/>
          </w:tcPr>
          <w:p>
            <w:r>
              <w:t>约 2,000 字</w:t>
            </w:r>
          </w:p>
        </w:tc>
        <w:tc>
          <w:tcPr>
            <w:tcW w:type="dxa" w:w="2160"/>
          </w:tcPr>
          <w:p>
            <w:r>
              <w:t>已结构化（抖音/快手/小红书/视频号）</w:t>
            </w:r>
          </w:p>
        </w:tc>
      </w:tr>
      <w:tr>
        <w:tc>
          <w:tcPr>
            <w:tcW w:type="dxa" w:w="2160"/>
          </w:tcPr>
          <w:p>
            <w:r>
              <w:t>《广告法合规要点与宣传违禁词清单》</w:t>
            </w:r>
          </w:p>
        </w:tc>
        <w:tc>
          <w:tcPr>
            <w:tcW w:type="dxa" w:w="2160"/>
          </w:tcPr>
          <w:p>
            <w:r>
              <w:t>data/docs/compliance_banned_words.md（结构化数据内嵌）</w:t>
            </w:r>
          </w:p>
        </w:tc>
        <w:tc>
          <w:tcPr>
            <w:tcW w:type="dxa" w:w="2160"/>
          </w:tcPr>
          <w:p>
            <w:r>
              <w:t>约 1,500 字</w:t>
            </w:r>
          </w:p>
        </w:tc>
        <w:tc>
          <w:tcPr>
            <w:tcW w:type="dxa" w:w="2160"/>
          </w:tcPr>
          <w:p>
            <w:r>
              <w:t>已结构化（违禁词表 + 替换建议）</w:t>
            </w:r>
          </w:p>
        </w:tc>
      </w:tr>
    </w:tbl>
    <w:p/>
    <w:p>
      <w:r>
        <w:rPr>
          <w:b/>
        </w:rPr>
        <w:t>说明：</w:t>
      </w:r>
      <w:r>
        <w:t>四份文档与第 3 周《知识库清单》版本一致。切分脚本已完成（knowledge.data.js 为切分产物），本周已实现 TF-IDF 本地检索，第 5 周计划升级为向量检索，切分参数（块大小、阈值、Top-K）已预留可调入口。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