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Prevalence Brief (v0.6.1)</w:t>
      </w:r>
    </w:p>
    <w:p>
      <w:r>
        <w:rPr>
          <w:color w:val="1F4E79"/>
          <w:sz w:val="28"/>
        </w:rPr>
        <w:t>SaaS OAuth Post‑SSO Abuse in Public Reporting (2022-2026)</w:t>
      </w:r>
    </w:p>
    <w:p>
      <w:r>
        <w:rPr>
          <w:color w:val="555555"/>
          <w:sz w:val="20"/>
        </w:rPr>
        <w:t>Generated: 2026-04-27 15:31 -0700</w:t>
        <w:br/>
        <w:t>Dataset: 32 incidents</w:t>
        <w:br/>
        <w:t>Source: Incident_Extraction_Codebook_v0.6.1.xlsx</w:t>
      </w:r>
    </w:p>
    <w:p>
      <w:pPr>
        <w:pStyle w:val="Heading1"/>
      </w:pPr>
      <w:r>
        <w:t>Scope and method</w:t>
      </w:r>
    </w:p>
    <w:p>
      <w:r>
        <w:t>This brief summarizes 32 entries in a curated public-reporting dataset (2022-2026) that explicitly describe OAuth-enabled post‑SSO abuse in SaaS/IdP contexts. Each row is treated as one coded incident, campaign, or case study. Prevalence is reported in two views: primary-only, which uses Misconfig_1 and Controls_1, and any-occurrence, which treats a category as present if it appears in either _1 or _2 while deduplicating within each incident.</w:t>
      </w:r>
    </w:p>
    <w:p>
      <w:pPr>
        <w:pStyle w:val="Heading1"/>
      </w:pPr>
      <w:r>
        <w:t>Key findings</w:t>
      </w:r>
    </w:p>
    <w:p>
      <w:pPr>
        <w:pStyle w:val="ListBullet"/>
      </w:pPr>
      <w:r>
        <w:t>Total incidents coded: 32 (2022-2026).</w:t>
      </w:r>
    </w:p>
    <w:p>
      <w:pPr>
        <w:pStyle w:val="ListBullet"/>
      </w:pPr>
      <w:r>
        <w:t>Top attack types: Malicious OAuth app / delegated consent abuse (9/32, 28.1%); Compromised legitimate OAuth app (trusted integration abuse) (9/32, 28.1%).</w:t>
      </w:r>
    </w:p>
    <w:p>
      <w:pPr>
        <w:pStyle w:val="ListBullet"/>
      </w:pPr>
      <w:r>
        <w:t>Top primary impacts: Data exfiltration (21/32, 65.6%); Persistence / stealth access (7/32, 21.9%).</w:t>
      </w:r>
    </w:p>
    <w:p>
      <w:pPr>
        <w:pStyle w:val="ListBullet"/>
      </w:pPr>
      <w:r>
        <w:t>Top primary-only misconfiguration: OAuth flow / client hardening gaps (9/32, 28.1%).</w:t>
      </w:r>
    </w:p>
    <w:p>
      <w:pPr>
        <w:pStyle w:val="ListBullet"/>
      </w:pPr>
      <w:r>
        <w:t>Top any-occurrence misconfiguration: OAuth flow / client hardening gaps (9/32, 28.1%).</w:t>
      </w:r>
    </w:p>
    <w:p>
      <w:pPr>
        <w:pStyle w:val="ListBullet"/>
      </w:pPr>
      <w:r>
        <w:t>Top primary-only control gap: Conditional Access / Policy-based access restrictions (session/device/location/flow) (8/32, 25.0%).</w:t>
      </w:r>
    </w:p>
    <w:p>
      <w:pPr>
        <w:pStyle w:val="ListBullet"/>
      </w:pPr>
      <w:r>
        <w:t>Top any-occurrence control gap: Conditional Access / Policy-based access restrictions (session/device/location/flow) (8/32, 25.0%).</w:t>
      </w:r>
    </w:p>
    <w:p>
      <w:pPr>
        <w:pStyle w:val="Heading1"/>
      </w:pPr>
      <w:r>
        <w:t>Prevalence tables</w:t>
      </w:r>
    </w:p>
    <w:p>
      <w:pPr>
        <w:pStyle w:val="Heading2"/>
      </w:pPr>
      <w:r>
        <w:t>Attack_Type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</w:rPr>
              <w:t>Attack_Type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Malicious OAuth app / delegated consent abuse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28.1%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Compromised legitimate OAuth app (trusted integration abuse)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28.1%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Device code phishing (device authorization grant abuse)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25.0%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Workload identity abuse (domain-wide delegation/service principal)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Bearer token replay (stolen access/refresh token)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Cross-app OAuth attack (COAT/CORF) via integration platform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Token forgery / signing-key abuse (forged JWT/bearer token)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</w:tbl>
    <w:p>
      <w:pPr>
        <w:pStyle w:val="Heading2"/>
      </w:pPr>
      <w:r>
        <w:t>Impact_Primary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</w:rPr>
              <w:t>Impact_Primary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Data exfiltration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65.6%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Persistence / stealth access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21.9%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Email abuse (phishing/spam/BEC)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6.2%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Privilege escalation / admin takeover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Resource hijacking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</w:tbl>
    <w:p>
      <w:pPr>
        <w:pStyle w:val="Heading2"/>
      </w:pPr>
      <w:r>
        <w:t>Misconfiguration (primary-only)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</w:rPr>
              <w:t>Misconfiguration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OAuth flow / client hardening gaps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28.1%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Third-party integration governance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21.9%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App trust restrictions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12.5%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User consent policy too permissive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Workload identity / domain-wide delegation risky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OAuth app governance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6.2%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Admin consent governance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Token lifecycle controls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Credential / key material hygiene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Token validation / issuer trust failure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</w:tbl>
    <w:p>
      <w:pPr>
        <w:pStyle w:val="Heading2"/>
      </w:pPr>
      <w:r>
        <w:t>Misconfiguration (any-occurrence)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</w:rPr>
              <w:t>Misconfiguration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OAuth flow / client hardening gaps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28.1%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Third-party integration governance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25.0%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App trust restrictions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21.9%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User consent policy too permissive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18.8%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Over-privileged scopes/roles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18.8%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Monitoring / audit visibility insufficient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15.6%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OAuth app governance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12.5%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Credential / key material hygiene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Workload identity / domain-wide delegation risky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Token lifecycle controls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6.2%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Admin consent governance weak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Token validation / issuer trust failure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</w:tbl>
    <w:p>
      <w:pPr>
        <w:pStyle w:val="Heading2"/>
      </w:pPr>
      <w:r>
        <w:t>Controls (primary-only)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</w:rPr>
              <w:t>Controls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Conditional Access / Policy-based access restrictions (session/device/location/flow)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25.0%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Periodic OAuth app access review (inventory + recertification)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21.9%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User consent restrictions / risk-based approval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Domain-wide delegation / workload identity governance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App allowlisting / tenant restrictions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6.2%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Trusted publisher enforcement (publisher verification)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6.2%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Restrict who can register OAuth apps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6.2%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Admin consent approval workflow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Refresh token lifetime / rotation policy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Credential / key material management (storage + rotation)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OAuth client hardening (PKCE, redirect URI constraints, disable legacy flows)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Token validation / issuer-binding hardening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</w:tbl>
    <w:p>
      <w:pPr>
        <w:pStyle w:val="Heading2"/>
      </w:pPr>
      <w:r>
        <w:t>Controls (any-occurrence)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left"/>
            </w:pPr>
            <w:r>
              <w:rPr>
                <w:b/>
              </w:rPr>
              <w:t>Controls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n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val="clear" w:color="auto" w:fill="EDEDED"/>
          </w:tcPr>
          <w:p>
            <w:pPr>
              <w:jc w:val="center"/>
            </w:pPr>
            <w:r>
              <w:rPr>
                <w:b/>
              </w:rPr>
              <w:t>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Conditional Access / Policy-based access restrictions (session/device/location/flow)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25.0%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Periodic OAuth app access review (inventory + recertification)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21.9%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User consent restrictions / risk-based approval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18.8%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Least-privilege scope policy (limit high-risk scopes)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18.8%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App allowlisting / tenant restrictions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12.5%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Restrict who can register OAuth apps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12.5%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Detection on anomalous OAuth/API behavior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12.5%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Trusted publisher enforcement (publisher verification)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Credential / key material management (storage + rotation)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Domain-wide delegation / workload identity governance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9.4%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Admin consent approval workflow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Token revocation + session termination playbook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Refresh token lifetime / rotation policy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OAuth client hardening (PKCE, redirect URI constraints, disable legacy flows)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Alerting on consent/app changes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  <w:tr>
        <w:tc>
          <w:tcPr>
            <w:tcW w:type="dxa" w:w="64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left"/>
            </w:pPr>
            <w:r>
              <w:t>Token validation / issuer-binding hardening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0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>
              <w:t>3.1%</w:t>
            </w:r>
          </w:p>
        </w:tc>
      </w:tr>
    </w:tbl>
    <w:p>
      <w:pPr>
        <w:pStyle w:val="Heading1"/>
      </w:pPr>
      <w:r>
        <w:t>Limitations</w:t>
      </w:r>
    </w:p>
    <w:p>
      <w:pPr>
        <w:pStyle w:val="ListBullet"/>
      </w:pPr>
      <w:r>
        <w:t>Public-reporting bias: distributions in this dataset should not be interpreted as true global incident prevalence.</w:t>
      </w:r>
    </w:p>
    <w:p>
      <w:pPr>
        <w:pStyle w:val="ListBullet"/>
      </w:pPr>
      <w:r>
        <w:t>Vendor and platform skew: public reporting can overrepresent ecosystems with more mature or more transparent incident reporting.</w:t>
      </w:r>
    </w:p>
    <w:p>
      <w:pPr>
        <w:pStyle w:val="ListBullet"/>
      </w:pPr>
      <w:r>
        <w:t>Outcome ambiguity: some sources describe attempted or campaign-level activity with limited confirmation of downstream impact.</w:t>
      </w:r>
    </w:p>
    <w:p>
      <w:pPr>
        <w:pStyle w:val="ListBullet"/>
      </w:pPr>
      <w:r>
        <w:t>Taxonomy fit: structured fields simplify complex incident narratives; important caveats should remain preserved in source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