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CDD4" w14:textId="77777777" w:rsidR="00C10E56" w:rsidRDefault="00000000">
      <w:pPr>
        <w:jc w:val="center"/>
      </w:pPr>
      <w:r>
        <w:rPr>
          <w:b/>
          <w:color w:val="1F4E79"/>
          <w:sz w:val="44"/>
        </w:rPr>
        <w:t>Incident Extraction Coding Schema</w:t>
      </w:r>
    </w:p>
    <w:p w14:paraId="1F551862" w14:textId="77777777" w:rsidR="00C10E56" w:rsidRDefault="00000000">
      <w:pPr>
        <w:jc w:val="center"/>
      </w:pPr>
      <w:r>
        <w:rPr>
          <w:color w:val="1F4E79"/>
          <w:sz w:val="24"/>
        </w:rPr>
        <w:t>Design + Documentation for Mapping and Mitigating SaaS OAuth Post-SSO Abuse</w:t>
      </w:r>
    </w:p>
    <w:p w14:paraId="1E951D54" w14:textId="77777777" w:rsidR="00C10E56" w:rsidRDefault="00000000">
      <w:pPr>
        <w:jc w:val="center"/>
      </w:pPr>
      <w:r>
        <w:rPr>
          <w:color w:val="666666"/>
          <w:sz w:val="20"/>
        </w:rPr>
        <w:t>Proposed revision: v0.6 draft</w:t>
      </w:r>
    </w:p>
    <w:p w14:paraId="5992DC0E" w14:textId="77777777" w:rsidR="00C10E56" w:rsidRDefault="00C10E56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C10E56" w14:paraId="294DB33F" w14:textId="77777777">
        <w:trPr>
          <w:jc w:val="center"/>
        </w:trPr>
        <w:tc>
          <w:tcPr>
            <w:tcW w:w="4896" w:type="dxa"/>
            <w:shd w:val="clear" w:color="auto" w:fill="EAF0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0FC4B" w14:textId="77777777" w:rsidR="00C10E56" w:rsidRDefault="00000000">
            <w:r>
              <w:rPr>
                <w:b/>
              </w:rPr>
              <w:t>Purpose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BC914" w14:textId="77777777" w:rsidR="00C10E56" w:rsidRDefault="00000000">
            <w:r>
              <w:t>Provide a coder-facing methodology for consistently extracting one OAuth-enabled abuse chain per row and producing defensible prevalence, matrix, and control-mapping outputs.</w:t>
            </w:r>
          </w:p>
        </w:tc>
      </w:tr>
      <w:tr w:rsidR="00C10E56" w14:paraId="6FF57624" w14:textId="77777777">
        <w:trPr>
          <w:jc w:val="center"/>
        </w:trPr>
        <w:tc>
          <w:tcPr>
            <w:tcW w:w="4896" w:type="dxa"/>
            <w:shd w:val="clear" w:color="auto" w:fill="EAF0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24D75" w14:textId="77777777" w:rsidR="00C10E56" w:rsidRDefault="00000000">
            <w:r>
              <w:rPr>
                <w:b/>
              </w:rPr>
              <w:t>What this revision clarifies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2459E" w14:textId="77777777" w:rsidR="00C10E56" w:rsidRDefault="00000000">
            <w:r>
              <w:t>Attack_Type vs. Entry_Vector, unit of analysis, when to split incidents, meaning of primary vs. material secondary fields, and how _1-only versus _1 OR _2 views are used in analysis.</w:t>
            </w:r>
          </w:p>
        </w:tc>
      </w:tr>
    </w:tbl>
    <w:p w14:paraId="36C248AD" w14:textId="77777777" w:rsidR="00C10E56" w:rsidRDefault="00C10E56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C10E56" w14:paraId="5E903067" w14:textId="77777777">
        <w:trPr>
          <w:jc w:val="center"/>
        </w:trPr>
        <w:tc>
          <w:tcPr>
            <w:tcW w:w="9792" w:type="dxa"/>
            <w:shd w:val="clear" w:color="auto" w:fill="EE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AE997" w14:textId="77777777" w:rsidR="00C10E56" w:rsidRDefault="00000000">
            <w:pPr>
              <w:pStyle w:val="NoteText"/>
            </w:pPr>
            <w:r>
              <w:t>Use the workbook Codebook worksheet as the day-to-day coder reference. Use this schema document as the authoritative rationale, tie-break guide, and field-definition source.</w:t>
            </w:r>
          </w:p>
        </w:tc>
      </w:tr>
    </w:tbl>
    <w:p w14:paraId="5C9DC47F" w14:textId="77777777" w:rsidR="00C10E56" w:rsidRDefault="00C10E56"/>
    <w:p w14:paraId="2B881740" w14:textId="77777777" w:rsidR="00C10E56" w:rsidRDefault="00000000">
      <w:pPr>
        <w:pStyle w:val="Heading1"/>
      </w:pPr>
      <w:r>
        <w:t>1. Core coding philosophy</w:t>
      </w:r>
    </w:p>
    <w:p w14:paraId="1EF0C74C" w14:textId="77777777" w:rsidR="00C10E56" w:rsidRDefault="00000000">
      <w:pPr>
        <w:spacing w:after="40"/>
        <w:ind w:left="288" w:hanging="259"/>
      </w:pPr>
      <w:r>
        <w:rPr>
          <w:b/>
        </w:rPr>
        <w:t xml:space="preserve">1. </w:t>
      </w:r>
      <w:r>
        <w:t>One row should represent one OAuth-enabled attack chain in a publicly reported incident, campaign, or case study.</w:t>
      </w:r>
    </w:p>
    <w:p w14:paraId="161A684F" w14:textId="77777777" w:rsidR="00C10E56" w:rsidRDefault="00000000">
      <w:pPr>
        <w:spacing w:after="40"/>
        <w:ind w:left="288" w:hanging="259"/>
      </w:pPr>
      <w:r>
        <w:rPr>
          <w:b/>
        </w:rPr>
        <w:t xml:space="preserve">2. </w:t>
      </w:r>
      <w:r>
        <w:t>Attack_Type codes the OAuth abuse mechanism being analyzed in the row, not the earliest non-OAuth precursor that started the incident.</w:t>
      </w:r>
    </w:p>
    <w:p w14:paraId="0E204CEF" w14:textId="77777777" w:rsidR="00C10E56" w:rsidRDefault="00000000">
      <w:pPr>
        <w:spacing w:after="40"/>
        <w:ind w:left="288" w:hanging="259"/>
      </w:pPr>
      <w:r>
        <w:rPr>
          <w:b/>
        </w:rPr>
        <w:t xml:space="preserve">3. </w:t>
      </w:r>
      <w:r>
        <w:t>Entry_Vector separately records how the attacker first obtained the access, authorization material, or position used to launch the OAuth abuse.</w:t>
      </w:r>
    </w:p>
    <w:p w14:paraId="08342313" w14:textId="77777777" w:rsidR="00C10E56" w:rsidRDefault="00000000">
      <w:pPr>
        <w:spacing w:after="40"/>
        <w:ind w:left="288" w:hanging="259"/>
      </w:pPr>
      <w:r>
        <w:rPr>
          <w:b/>
        </w:rPr>
        <w:t xml:space="preserve">4. </w:t>
      </w:r>
      <w:r>
        <w:t>Each row should have one dominant explanation for prevalence purposes, while still allowing one additional material co-enabler when warranted.</w:t>
      </w:r>
    </w:p>
    <w:p w14:paraId="533256DC" w14:textId="77777777" w:rsidR="00C10E56" w:rsidRDefault="00000000">
      <w:pPr>
        <w:spacing w:after="40"/>
        <w:ind w:left="288" w:hanging="259"/>
      </w:pPr>
      <w:r>
        <w:rPr>
          <w:b/>
        </w:rPr>
        <w:t xml:space="preserve">5. </w:t>
      </w:r>
      <w:r>
        <w:t>When a report cannot support a defensible Attack_Type, the incident should be reconsidered for inclusion rather than routinely coded as Other / Unknown.</w:t>
      </w:r>
    </w:p>
    <w:p w14:paraId="4D3B1049" w14:textId="77777777" w:rsidR="00C10E56" w:rsidRDefault="00000000">
      <w:pPr>
        <w:pStyle w:val="Heading2"/>
      </w:pPr>
      <w:r>
        <w:t>Core adjudication rules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6120"/>
      </w:tblGrid>
      <w:tr w:rsidR="00C10E56" w14:paraId="357413D4" w14:textId="77777777">
        <w:trPr>
          <w:jc w:val="center"/>
        </w:trPr>
        <w:tc>
          <w:tcPr>
            <w:tcW w:w="3384" w:type="dxa"/>
            <w:shd w:val="clear" w:color="auto" w:fill="D9E5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C9C9B" w14:textId="77777777" w:rsidR="00C10E56" w:rsidRDefault="00000000">
            <w:r>
              <w:rPr>
                <w:b/>
              </w:rPr>
              <w:t>Question</w:t>
            </w:r>
          </w:p>
        </w:tc>
        <w:tc>
          <w:tcPr>
            <w:tcW w:w="6120" w:type="dxa"/>
            <w:shd w:val="clear" w:color="auto" w:fill="D9E5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0C937" w14:textId="77777777" w:rsidR="00C10E56" w:rsidRDefault="00000000">
            <w:r>
              <w:rPr>
                <w:b/>
              </w:rPr>
              <w:t>Working rule</w:t>
            </w:r>
          </w:p>
        </w:tc>
      </w:tr>
      <w:tr w:rsidR="00C10E56" w14:paraId="2546435F" w14:textId="77777777">
        <w:trPr>
          <w:jc w:val="center"/>
        </w:trPr>
        <w:tc>
          <w:tcPr>
            <w:tcW w:w="3384" w:type="dxa"/>
          </w:tcPr>
          <w:p w14:paraId="4129857B" w14:textId="77777777" w:rsidR="00C10E56" w:rsidRDefault="00000000">
            <w:r>
              <w:t>What is being coded?</w:t>
            </w:r>
          </w:p>
        </w:tc>
        <w:tc>
          <w:tcPr>
            <w:tcW w:w="6120" w:type="dxa"/>
          </w:tcPr>
          <w:p w14:paraId="70F294E0" w14:textId="77777777" w:rsidR="00C10E56" w:rsidRDefault="00000000">
            <w:r>
              <w:t>The primary OAuth-enabled abuse chain in the row.</w:t>
            </w:r>
          </w:p>
        </w:tc>
      </w:tr>
      <w:tr w:rsidR="00C10E56" w14:paraId="5AF46638" w14:textId="77777777">
        <w:trPr>
          <w:jc w:val="center"/>
        </w:trPr>
        <w:tc>
          <w:tcPr>
            <w:tcW w:w="3384" w:type="dxa"/>
          </w:tcPr>
          <w:p w14:paraId="13935FDE" w14:textId="77777777" w:rsidR="00C10E56" w:rsidRDefault="00000000">
            <w:r>
              <w:t>What belongs in Attack_Type?</w:t>
            </w:r>
          </w:p>
        </w:tc>
        <w:tc>
          <w:tcPr>
            <w:tcW w:w="6120" w:type="dxa"/>
          </w:tcPr>
          <w:p w14:paraId="17D17EA6" w14:textId="77777777" w:rsidR="00C10E56" w:rsidRDefault="00000000">
            <w:r>
              <w:t>The OAuth abuse mechanism that established, preserved, or scaled unauthorized SaaS access.</w:t>
            </w:r>
          </w:p>
        </w:tc>
      </w:tr>
      <w:tr w:rsidR="00C10E56" w14:paraId="066B3E3F" w14:textId="77777777">
        <w:trPr>
          <w:jc w:val="center"/>
        </w:trPr>
        <w:tc>
          <w:tcPr>
            <w:tcW w:w="3384" w:type="dxa"/>
          </w:tcPr>
          <w:p w14:paraId="6D0249DC" w14:textId="77777777" w:rsidR="00C10E56" w:rsidRDefault="00000000">
            <w:r>
              <w:lastRenderedPageBreak/>
              <w:t>What belongs in Entry_Vector?</w:t>
            </w:r>
          </w:p>
        </w:tc>
        <w:tc>
          <w:tcPr>
            <w:tcW w:w="6120" w:type="dxa"/>
          </w:tcPr>
          <w:p w14:paraId="0BD85CC2" w14:textId="77777777" w:rsidR="00C10E56" w:rsidRDefault="00000000">
            <w:r>
              <w:t>The earliest access/authorization acquisition step that enabled the OAuth abuse chain.</w:t>
            </w:r>
          </w:p>
        </w:tc>
      </w:tr>
      <w:tr w:rsidR="00C10E56" w14:paraId="6E4B369E" w14:textId="77777777">
        <w:trPr>
          <w:jc w:val="center"/>
        </w:trPr>
        <w:tc>
          <w:tcPr>
            <w:tcW w:w="3384" w:type="dxa"/>
          </w:tcPr>
          <w:p w14:paraId="5B3F9A1A" w14:textId="77777777" w:rsidR="00C10E56" w:rsidRDefault="00000000">
            <w:r>
              <w:t>When should a report be split into multiple rows?</w:t>
            </w:r>
          </w:p>
        </w:tc>
        <w:tc>
          <w:tcPr>
            <w:tcW w:w="6120" w:type="dxa"/>
          </w:tcPr>
          <w:p w14:paraId="3207BF86" w14:textId="77777777" w:rsidR="00C10E56" w:rsidRDefault="00000000">
            <w:r>
              <w:t>Only when the source clearly documents distinct campaigns or distinct OAuth attack chains with different mechanics.</w:t>
            </w:r>
          </w:p>
        </w:tc>
      </w:tr>
      <w:tr w:rsidR="00C10E56" w14:paraId="21F32247" w14:textId="77777777">
        <w:trPr>
          <w:jc w:val="center"/>
        </w:trPr>
        <w:tc>
          <w:tcPr>
            <w:tcW w:w="3384" w:type="dxa"/>
          </w:tcPr>
          <w:p w14:paraId="567B3B6A" w14:textId="77777777" w:rsidR="00C10E56" w:rsidRDefault="00000000">
            <w:r>
              <w:t>What does _2 mean?</w:t>
            </w:r>
          </w:p>
        </w:tc>
        <w:tc>
          <w:tcPr>
            <w:tcW w:w="6120" w:type="dxa"/>
          </w:tcPr>
          <w:p w14:paraId="50A340A0" w14:textId="77777777" w:rsidR="00C10E56" w:rsidRDefault="00000000">
            <w:r>
              <w:t>A material co-enabler or co-gap, not optional nuance.</w:t>
            </w:r>
          </w:p>
        </w:tc>
      </w:tr>
      <w:tr w:rsidR="00C10E56" w14:paraId="660A6E27" w14:textId="77777777">
        <w:trPr>
          <w:jc w:val="center"/>
        </w:trPr>
        <w:tc>
          <w:tcPr>
            <w:tcW w:w="3384" w:type="dxa"/>
          </w:tcPr>
          <w:p w14:paraId="0776C3B4" w14:textId="77777777" w:rsidR="00C10E56" w:rsidRDefault="00000000">
            <w:r>
              <w:t>How are outputs analyzed?</w:t>
            </w:r>
          </w:p>
        </w:tc>
        <w:tc>
          <w:tcPr>
            <w:tcW w:w="6120" w:type="dxa"/>
          </w:tcPr>
          <w:p w14:paraId="723E95EC" w14:textId="77777777" w:rsidR="00C10E56" w:rsidRDefault="00000000">
            <w:r>
              <w:t>Use _1 for prevalence/ranking; use _1 OR _2 for sensitivity checks, matrices, and defense mapping.</w:t>
            </w:r>
          </w:p>
        </w:tc>
      </w:tr>
    </w:tbl>
    <w:p w14:paraId="3930ABE7" w14:textId="77777777" w:rsidR="00C10E56" w:rsidRDefault="00000000">
      <w:pPr>
        <w:pStyle w:val="Heading1"/>
      </w:pPr>
      <w:r>
        <w:t>2. Unit of analysis and incident splitting</w:t>
      </w:r>
    </w:p>
    <w:p w14:paraId="1B3F9FAD" w14:textId="77777777" w:rsidR="00C10E56" w:rsidRDefault="00000000">
      <w:pPr>
        <w:pStyle w:val="Heading2"/>
      </w:pPr>
      <w:r>
        <w:t>Unit of analysis</w:t>
      </w:r>
    </w:p>
    <w:p w14:paraId="72DD72C1" w14:textId="77777777" w:rsidR="00C10E56" w:rsidRDefault="00000000">
      <w:r>
        <w:t>One row equals one publicly reported incident, campaign, or case study that includes OAuth-enabled abuse, persistence, or delegated access misuse in a SaaS/IdP context.</w:t>
      </w:r>
    </w:p>
    <w:p w14:paraId="34885E2F" w14:textId="77777777" w:rsidR="00C10E56" w:rsidRDefault="00000000">
      <w:pPr>
        <w:pStyle w:val="Heading2"/>
      </w:pPr>
      <w:r>
        <w:t>Split a source into multiple rows only when at least one of the following is true:</w:t>
      </w:r>
    </w:p>
    <w:p w14:paraId="6E920584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The source explicitly describes multiple distinct campaigns or actor operations with different mechanics.</w:t>
      </w:r>
    </w:p>
    <w:p w14:paraId="72EA8DFD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The source documents two independent OAuth-enabled footholds or authorization paths that could stand as separate coded cases.</w:t>
      </w:r>
    </w:p>
    <w:p w14:paraId="2B5618A0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The source separates the activity by different app contexts, different victim populations, or materially different attack chains.</w:t>
      </w:r>
    </w:p>
    <w:p w14:paraId="20FB7364" w14:textId="77777777" w:rsidR="00C10E56" w:rsidRDefault="00000000">
      <w:pPr>
        <w:pStyle w:val="Heading2"/>
      </w:pPr>
      <w:r>
        <w:t>Do not split a row merely because:</w:t>
      </w:r>
    </w:p>
    <w:p w14:paraId="69867ED2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The incident has multiple stages within the same chain.</w:t>
      </w:r>
    </w:p>
    <w:p w14:paraId="67BC20AB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A non-OAuth precursor (such as credential theft or account compromise) occurred before the OAuth abuse.</w:t>
      </w:r>
    </w:p>
    <w:p w14:paraId="373E2CEB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The same chain produced more than one downstream impact.</w:t>
      </w:r>
    </w:p>
    <w:p w14:paraId="674E0351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Both a dominant enabler and a material co-enabler were present; those belong in _1 and _2, not in separate rows.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C10E56" w14:paraId="1ED930B5" w14:textId="77777777">
        <w:trPr>
          <w:jc w:val="center"/>
        </w:trPr>
        <w:tc>
          <w:tcPr>
            <w:tcW w:w="9792" w:type="dxa"/>
            <w:shd w:val="clear" w:color="auto" w:fill="EE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2335C" w14:textId="77777777" w:rsidR="00C10E56" w:rsidRDefault="00000000">
            <w:pPr>
              <w:pStyle w:val="NoteText"/>
            </w:pPr>
            <w:r>
              <w:t>Decision test: if removing one described technique would still leave the same coded OAuth abuse chain intact, that technique is probably a supporting mechanic rather than a separate row.</w:t>
            </w:r>
          </w:p>
        </w:tc>
      </w:tr>
    </w:tbl>
    <w:p w14:paraId="0D2E52E5" w14:textId="77777777" w:rsidR="00C10E56" w:rsidRDefault="00C10E56"/>
    <w:p w14:paraId="452EC514" w14:textId="77777777" w:rsidR="00C10E56" w:rsidRDefault="00000000">
      <w:pPr>
        <w:pStyle w:val="Heading1"/>
      </w:pPr>
      <w:r>
        <w:t>3. Attack_Type versus Entry_Vector</w:t>
      </w:r>
    </w:p>
    <w:p w14:paraId="2E4B5859" w14:textId="77777777" w:rsidR="00C10E56" w:rsidRDefault="00000000">
      <w:r>
        <w:t>These two fields must stay separate. Most coder confusion occurs when the beginning of the incident is mistaken for the OAuth mechanism being studied.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312"/>
        <w:gridCol w:w="4536"/>
      </w:tblGrid>
      <w:tr w:rsidR="00C10E56" w14:paraId="798F695C" w14:textId="77777777">
        <w:trPr>
          <w:jc w:val="center"/>
        </w:trPr>
        <w:tc>
          <w:tcPr>
            <w:tcW w:w="1656" w:type="dxa"/>
            <w:shd w:val="clear" w:color="auto" w:fill="D9E5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91E22" w14:textId="77777777" w:rsidR="00C10E56" w:rsidRDefault="00000000">
            <w:r>
              <w:rPr>
                <w:b/>
              </w:rPr>
              <w:t>Field</w:t>
            </w:r>
          </w:p>
        </w:tc>
        <w:tc>
          <w:tcPr>
            <w:tcW w:w="3312" w:type="dxa"/>
            <w:shd w:val="clear" w:color="auto" w:fill="D9E5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5C2FC" w14:textId="77777777" w:rsidR="00C10E56" w:rsidRDefault="00000000">
            <w:r>
              <w:rPr>
                <w:b/>
              </w:rPr>
              <w:t>Question answered</w:t>
            </w:r>
          </w:p>
        </w:tc>
        <w:tc>
          <w:tcPr>
            <w:tcW w:w="4536" w:type="dxa"/>
            <w:shd w:val="clear" w:color="auto" w:fill="D9E5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62612" w14:textId="77777777" w:rsidR="00C10E56" w:rsidRDefault="00000000">
            <w:r>
              <w:rPr>
                <w:b/>
              </w:rPr>
              <w:t>Coder instruction</w:t>
            </w:r>
          </w:p>
        </w:tc>
      </w:tr>
      <w:tr w:rsidR="00C10E56" w14:paraId="2A8F3479" w14:textId="77777777">
        <w:trPr>
          <w:jc w:val="center"/>
        </w:trPr>
        <w:tc>
          <w:tcPr>
            <w:tcW w:w="1656" w:type="dxa"/>
          </w:tcPr>
          <w:p w14:paraId="0DC9F30C" w14:textId="77777777" w:rsidR="00C10E56" w:rsidRDefault="00000000">
            <w:r>
              <w:t>Attack_Type</w:t>
            </w:r>
          </w:p>
        </w:tc>
        <w:tc>
          <w:tcPr>
            <w:tcW w:w="3312" w:type="dxa"/>
          </w:tcPr>
          <w:p w14:paraId="177DDA52" w14:textId="77777777" w:rsidR="00C10E56" w:rsidRDefault="00000000">
            <w:r>
              <w:t>What OAuth-enabled abuse mechanism is this row about?</w:t>
            </w:r>
          </w:p>
        </w:tc>
        <w:tc>
          <w:tcPr>
            <w:tcW w:w="4536" w:type="dxa"/>
          </w:tcPr>
          <w:p w14:paraId="522D2FCA" w14:textId="77777777" w:rsidR="00C10E56" w:rsidRDefault="00000000">
            <w:r>
              <w:t>Code the OAuth mechanism that established, preserved, or scaled unauthorized SaaS access.</w:t>
            </w:r>
          </w:p>
        </w:tc>
      </w:tr>
      <w:tr w:rsidR="00C10E56" w14:paraId="7EEA7B73" w14:textId="77777777">
        <w:trPr>
          <w:jc w:val="center"/>
        </w:trPr>
        <w:tc>
          <w:tcPr>
            <w:tcW w:w="1656" w:type="dxa"/>
          </w:tcPr>
          <w:p w14:paraId="52DCC280" w14:textId="77777777" w:rsidR="00C10E56" w:rsidRDefault="00000000">
            <w:r>
              <w:lastRenderedPageBreak/>
              <w:t>Entry_Vector</w:t>
            </w:r>
          </w:p>
        </w:tc>
        <w:tc>
          <w:tcPr>
            <w:tcW w:w="3312" w:type="dxa"/>
          </w:tcPr>
          <w:p w14:paraId="7A1E7958" w14:textId="77777777" w:rsidR="00C10E56" w:rsidRDefault="00000000">
            <w:r>
              <w:t>How did the attacker first get the position or material needed to launch that mechanism?</w:t>
            </w:r>
          </w:p>
        </w:tc>
        <w:tc>
          <w:tcPr>
            <w:tcW w:w="4536" w:type="dxa"/>
          </w:tcPr>
          <w:p w14:paraId="7E2224CB" w14:textId="77777777" w:rsidR="00C10E56" w:rsidRDefault="00000000">
            <w:r>
              <w:t>Code the earliest access/authorization acquisition step, even if it occurred before the OAuth abuse.</w:t>
            </w:r>
          </w:p>
        </w:tc>
      </w:tr>
    </w:tbl>
    <w:p w14:paraId="048EE6CA" w14:textId="77777777" w:rsidR="00C10E56" w:rsidRDefault="00000000">
      <w:pPr>
        <w:pStyle w:val="Heading2"/>
      </w:pPr>
      <w:r>
        <w:t>Examples</w:t>
      </w:r>
    </w:p>
    <w:p w14:paraId="7938782B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If credentials are stolen and then used to grant malicious delegated consent, code Entry_Vector = Compromised account and Attack_Type = OAuth consent phishing (malicious app) only if the report indicates the meaningful OAuth abuse mechanism was malicious consent.</w:t>
      </w:r>
    </w:p>
    <w:p w14:paraId="066710F2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If a victim is tricked into completing a device code flow, code Attack_Type = Device code phishing and Entry_Vector according to who performed the action (user interaction or admin interaction).</w:t>
      </w:r>
    </w:p>
    <w:p w14:paraId="3B01C930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If a refresh token is stolen from an endpoint and replayed, code Attack_Type = Bearer token replay and Entry_Vector = Token stolen (endpoint/logs/session artifacts).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C10E56" w14:paraId="08A4DBC5" w14:textId="77777777">
        <w:trPr>
          <w:jc w:val="center"/>
        </w:trPr>
        <w:tc>
          <w:tcPr>
            <w:tcW w:w="9792" w:type="dxa"/>
            <w:shd w:val="clear" w:color="auto" w:fill="EE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015E5" w14:textId="77777777" w:rsidR="00C10E56" w:rsidRDefault="00000000">
            <w:pPr>
              <w:pStyle w:val="NoteText"/>
            </w:pPr>
            <w:r>
              <w:t>For included incidents, Attack_Type should normally be codable. Use Other / Unknown sparingly and only when the source still clearly meets inclusion criteria but the mechanism cannot be cleanly mapped.</w:t>
            </w:r>
          </w:p>
        </w:tc>
      </w:tr>
    </w:tbl>
    <w:p w14:paraId="378FC56C" w14:textId="77777777" w:rsidR="00C10E56" w:rsidRDefault="00C10E56"/>
    <w:p w14:paraId="21958432" w14:textId="77777777" w:rsidR="00C10E56" w:rsidRDefault="00000000">
      <w:pPr>
        <w:pStyle w:val="Heading1"/>
      </w:pPr>
      <w:r>
        <w:t>4. Inclusion criteria and minimum evidence threshold</w:t>
      </w:r>
    </w:p>
    <w:p w14:paraId="7FFD4255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The public report must explicitly describe OAuth application abuse, delegated permission abuse, token theft/replay/misuse, workload identity abuse, or another OAuth-enabled post-SSO mechanism.</w:t>
      </w:r>
    </w:p>
    <w:p w14:paraId="31E6C4B8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The source must support coding at least: Attack_Type, context, impact, and one misconfiguration or control gap.</w:t>
      </w:r>
    </w:p>
    <w:p w14:paraId="7D159AD6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Use Confidence to reflect uncertainty. Do not compensate for weak evidence by over-filling secondary fields.</w:t>
      </w:r>
    </w:p>
    <w:p w14:paraId="40E1F555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Prefer 2022–2026 cases for prevalence work, but earlier cases may be used if they illustrate a distinct or recurring category.</w:t>
      </w:r>
    </w:p>
    <w:p w14:paraId="378DA5CE" w14:textId="77777777" w:rsidR="00C10E56" w:rsidRDefault="00000000">
      <w:pPr>
        <w:pStyle w:val="Heading1"/>
      </w:pPr>
      <w:r>
        <w:t>5. Primary and material secondary fields</w:t>
      </w:r>
    </w:p>
    <w:p w14:paraId="501EA734" w14:textId="77777777" w:rsidR="00C10E56" w:rsidRDefault="00000000">
      <w:pPr>
        <w:pStyle w:val="Heading2"/>
      </w:pPr>
      <w:r>
        <w:t>Meaning of _1 and _2</w:t>
      </w:r>
    </w:p>
    <w:p w14:paraId="430147CA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_1 is the dominant enabler or dominant control gap: the single category that best explains why the coded OAuth abuse chain succeeded at the key step.</w:t>
      </w:r>
    </w:p>
    <w:p w14:paraId="232BD851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_2 is a material co-enabler or co-gap: a second distinct category that meaningfully contributed to success, privilege, persistence, scale, or blast radius.</w:t>
      </w:r>
    </w:p>
    <w:p w14:paraId="64165D49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_2 is not decorative nuance. If it is present, it should reflect a real coded signal supported by the source or strongly supported by the incident logic.</w:t>
      </w:r>
    </w:p>
    <w:p w14:paraId="4905ACC2" w14:textId="77777777" w:rsidR="00C10E56" w:rsidRDefault="00000000">
      <w:pPr>
        <w:pStyle w:val="Heading2"/>
      </w:pPr>
      <w:r>
        <w:t>Threshold for filling _2</w:t>
      </w:r>
    </w:p>
    <w:p w14:paraId="79C17640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Fill _2 only when removing that second factor would plausibly and materially change the incident.</w:t>
      </w:r>
    </w:p>
    <w:p w14:paraId="0DE2650C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A blank _2 does not mean no other best practices apply. It means no second category cleared the materiality threshold.</w:t>
      </w:r>
    </w:p>
    <w:p w14:paraId="414B3123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Do not duplicate the same category in _1 and _2.</w:t>
      </w:r>
    </w:p>
    <w:p w14:paraId="7CA8D2E5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If the source supports only one defensible category, leave _2 blank.</w:t>
      </w:r>
    </w:p>
    <w:p w14:paraId="73AF8A75" w14:textId="77777777" w:rsidR="00C10E56" w:rsidRDefault="00000000">
      <w:pPr>
        <w:spacing w:after="40"/>
        <w:ind w:left="288" w:hanging="259"/>
      </w:pPr>
      <w:r>
        <w:rPr>
          <w:b/>
        </w:rPr>
        <w:lastRenderedPageBreak/>
        <w:t xml:space="preserve">• </w:t>
      </w:r>
      <w:r>
        <w:t>If more than two categories seem relevant, record the dominant category in _1, the strongest material co-enabler in _2, and place remaining nuance in Notes.</w:t>
      </w:r>
    </w:p>
    <w:p w14:paraId="305FA0AB" w14:textId="77777777" w:rsidR="00C10E56" w:rsidRDefault="00000000">
      <w:pPr>
        <w:pStyle w:val="Heading2"/>
      </w:pPr>
      <w:r>
        <w:t>Counterfactual test for _2</w:t>
      </w:r>
    </w:p>
    <w:p w14:paraId="5FA384D4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Would the OAuth foothold likely have failed without this second factor?</w:t>
      </w:r>
    </w:p>
    <w:p w14:paraId="1F2BA883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If not, would the attacker have lost meaningful privilege, persistence, scale, or blast radius without it?</w:t>
      </w:r>
    </w:p>
    <w:p w14:paraId="68EC67DA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If neither answer is yes, leave _2 blank.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C10E56" w14:paraId="0469BC7B" w14:textId="77777777">
        <w:trPr>
          <w:jc w:val="center"/>
        </w:trPr>
        <w:tc>
          <w:tcPr>
            <w:tcW w:w="9792" w:type="dxa"/>
            <w:shd w:val="clear" w:color="auto" w:fill="EE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91439" w14:textId="77777777" w:rsidR="00C10E56" w:rsidRDefault="00000000">
            <w:pPr>
              <w:pStyle w:val="NoteText"/>
            </w:pPr>
            <w:r>
              <w:t>Recommended coder language: think of _1 as the dominant enabler and _2 as a material co-enabler. That framing is more accurate than treating _2 as a weak or optional afterthought.</w:t>
            </w:r>
          </w:p>
        </w:tc>
      </w:tr>
    </w:tbl>
    <w:p w14:paraId="67707221" w14:textId="77777777" w:rsidR="00C10E56" w:rsidRDefault="00C10E56"/>
    <w:p w14:paraId="5FD745B6" w14:textId="77777777" w:rsidR="00C10E56" w:rsidRDefault="00000000">
      <w:pPr>
        <w:pStyle w:val="Heading1"/>
      </w:pPr>
      <w:r>
        <w:t>6. How coded fields are used in analysis</w:t>
      </w:r>
    </w:p>
    <w:p w14:paraId="609A3C45" w14:textId="77777777" w:rsidR="00C10E56" w:rsidRDefault="00000000">
      <w:pPr>
        <w:pStyle w:val="Heading2"/>
      </w:pPr>
      <w:r>
        <w:t>Two views are intentionally used downstream: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528"/>
        <w:gridCol w:w="4176"/>
      </w:tblGrid>
      <w:tr w:rsidR="00C10E56" w14:paraId="01E7E271" w14:textId="77777777">
        <w:trPr>
          <w:jc w:val="center"/>
        </w:trPr>
        <w:tc>
          <w:tcPr>
            <w:tcW w:w="1800" w:type="dxa"/>
            <w:shd w:val="clear" w:color="auto" w:fill="D9E5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70526" w14:textId="77777777" w:rsidR="00C10E56" w:rsidRDefault="00000000">
            <w:r>
              <w:rPr>
                <w:b/>
              </w:rPr>
              <w:t>View</w:t>
            </w:r>
          </w:p>
        </w:tc>
        <w:tc>
          <w:tcPr>
            <w:tcW w:w="3528" w:type="dxa"/>
            <w:shd w:val="clear" w:color="auto" w:fill="D9E5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D53BA" w14:textId="77777777" w:rsidR="00C10E56" w:rsidRDefault="00000000">
            <w:r>
              <w:rPr>
                <w:b/>
              </w:rPr>
              <w:t>Uses</w:t>
            </w:r>
          </w:p>
        </w:tc>
        <w:tc>
          <w:tcPr>
            <w:tcW w:w="4176" w:type="dxa"/>
            <w:shd w:val="clear" w:color="auto" w:fill="D9E5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1E700" w14:textId="77777777" w:rsidR="00C10E56" w:rsidRDefault="00000000">
            <w:r>
              <w:rPr>
                <w:b/>
              </w:rPr>
              <w:t>Rule</w:t>
            </w:r>
          </w:p>
        </w:tc>
      </w:tr>
      <w:tr w:rsidR="00C10E56" w14:paraId="6155EAAE" w14:textId="77777777">
        <w:trPr>
          <w:jc w:val="center"/>
        </w:trPr>
        <w:tc>
          <w:tcPr>
            <w:tcW w:w="1800" w:type="dxa"/>
          </w:tcPr>
          <w:p w14:paraId="37E6AAD8" w14:textId="77777777" w:rsidR="00C10E56" w:rsidRDefault="00000000">
            <w:r>
              <w:t>Primary-only</w:t>
            </w:r>
          </w:p>
        </w:tc>
        <w:tc>
          <w:tcPr>
            <w:tcW w:w="3528" w:type="dxa"/>
          </w:tcPr>
          <w:p w14:paraId="2734F73D" w14:textId="77777777" w:rsidR="00C10E56" w:rsidRDefault="00000000">
            <w:r>
              <w:t>Prevalence, ranking, dominant-pattern summaries</w:t>
            </w:r>
          </w:p>
        </w:tc>
        <w:tc>
          <w:tcPr>
            <w:tcW w:w="4176" w:type="dxa"/>
          </w:tcPr>
          <w:p w14:paraId="35FDB6AD" w14:textId="77777777" w:rsidR="00C10E56" w:rsidRDefault="00000000">
            <w:r>
              <w:t>Use Misconfig_1 and Controls_1 only.</w:t>
            </w:r>
          </w:p>
        </w:tc>
      </w:tr>
      <w:tr w:rsidR="00C10E56" w14:paraId="26BA1FE8" w14:textId="77777777">
        <w:trPr>
          <w:jc w:val="center"/>
        </w:trPr>
        <w:tc>
          <w:tcPr>
            <w:tcW w:w="1800" w:type="dxa"/>
          </w:tcPr>
          <w:p w14:paraId="3818FB44" w14:textId="77777777" w:rsidR="00C10E56" w:rsidRDefault="00000000">
            <w:r>
              <w:t>Any-occurrence</w:t>
            </w:r>
          </w:p>
        </w:tc>
        <w:tc>
          <w:tcPr>
            <w:tcW w:w="3528" w:type="dxa"/>
          </w:tcPr>
          <w:p w14:paraId="316C2251" w14:textId="77777777" w:rsidR="00C10E56" w:rsidRDefault="00000000">
            <w:r>
              <w:t>Sensitivity checks, Misconfiguration Matrix, Defense Coverage Matrix, control mapping</w:t>
            </w:r>
          </w:p>
        </w:tc>
        <w:tc>
          <w:tcPr>
            <w:tcW w:w="4176" w:type="dxa"/>
          </w:tcPr>
          <w:p w14:paraId="1C6D4343" w14:textId="77777777" w:rsidR="00C10E56" w:rsidRDefault="00000000">
            <w:r>
              <w:t>Treat a category as present if it appears in _1 OR _2.</w:t>
            </w:r>
          </w:p>
        </w:tc>
      </w:tr>
    </w:tbl>
    <w:p w14:paraId="4D66D475" w14:textId="77777777" w:rsidR="00C10E56" w:rsidRDefault="00000000">
      <w:r>
        <w:t>This means _2 should count as present for matrix-style analysis, but it does not override or dilute the dominant explanatory role of _1 in prevalence summaries.</w:t>
      </w:r>
    </w:p>
    <w:p w14:paraId="7CF169C9" w14:textId="77777777" w:rsidR="00C10E56" w:rsidRDefault="00000000">
      <w:pPr>
        <w:pStyle w:val="Heading1"/>
      </w:pPr>
      <w:r>
        <w:t>7. Recommended coder workflow</w:t>
      </w:r>
    </w:p>
    <w:p w14:paraId="547449B1" w14:textId="77777777" w:rsidR="00C10E56" w:rsidRDefault="00000000">
      <w:pPr>
        <w:spacing w:after="40"/>
        <w:ind w:left="288" w:hanging="259"/>
      </w:pPr>
      <w:r>
        <w:rPr>
          <w:b/>
        </w:rPr>
        <w:t xml:space="preserve">1. </w:t>
      </w:r>
      <w:r>
        <w:t>Confirm the report meets inclusion criteria and appears to contain one codable OAuth-enabled abuse chain.</w:t>
      </w:r>
    </w:p>
    <w:p w14:paraId="0C3BE6F1" w14:textId="77777777" w:rsidR="00C10E56" w:rsidRDefault="00000000">
      <w:pPr>
        <w:spacing w:after="40"/>
        <w:ind w:left="288" w:hanging="259"/>
      </w:pPr>
      <w:r>
        <w:rPr>
          <w:b/>
        </w:rPr>
        <w:t xml:space="preserve">2. </w:t>
      </w:r>
      <w:r>
        <w:t>Identify the OAuth mechanism being studied and code Attack_Type.</w:t>
      </w:r>
    </w:p>
    <w:p w14:paraId="711764A5" w14:textId="77777777" w:rsidR="00C10E56" w:rsidRDefault="00000000">
      <w:pPr>
        <w:spacing w:after="40"/>
        <w:ind w:left="288" w:hanging="259"/>
      </w:pPr>
      <w:r>
        <w:rPr>
          <w:b/>
        </w:rPr>
        <w:t xml:space="preserve">3. </w:t>
      </w:r>
      <w:r>
        <w:t>Identify how the attacker first obtained the access, authorization material, or position used for that mechanism and code Entry_Vector.</w:t>
      </w:r>
    </w:p>
    <w:p w14:paraId="297CF784" w14:textId="77777777" w:rsidR="00C10E56" w:rsidRDefault="00000000">
      <w:pPr>
        <w:spacing w:after="40"/>
        <w:ind w:left="288" w:hanging="259"/>
      </w:pPr>
      <w:r>
        <w:rPr>
          <w:b/>
        </w:rPr>
        <w:t xml:space="preserve">4. </w:t>
      </w:r>
      <w:r>
        <w:t>Code impact and context fields.</w:t>
      </w:r>
    </w:p>
    <w:p w14:paraId="3A305A3F" w14:textId="77777777" w:rsidR="00C10E56" w:rsidRDefault="00000000">
      <w:pPr>
        <w:spacing w:after="40"/>
        <w:ind w:left="288" w:hanging="259"/>
      </w:pPr>
      <w:r>
        <w:rPr>
          <w:b/>
        </w:rPr>
        <w:t xml:space="preserve">5. </w:t>
      </w:r>
      <w:r>
        <w:t>Select one dominant misconfiguration and one dominant control gap in _1 fields.</w:t>
      </w:r>
    </w:p>
    <w:p w14:paraId="6C02EDD0" w14:textId="77777777" w:rsidR="00C10E56" w:rsidRDefault="00000000">
      <w:pPr>
        <w:spacing w:after="40"/>
        <w:ind w:left="288" w:hanging="259"/>
      </w:pPr>
      <w:r>
        <w:rPr>
          <w:b/>
        </w:rPr>
        <w:t xml:space="preserve">6. </w:t>
      </w:r>
      <w:r>
        <w:t>Ask whether a second distinct factor materially changed viability, privilege, persistence, scale, or blast radius. If yes, code _2. If no, leave _2 blank.</w:t>
      </w:r>
    </w:p>
    <w:p w14:paraId="476A36FA" w14:textId="77777777" w:rsidR="00C10E56" w:rsidRDefault="00000000">
      <w:pPr>
        <w:spacing w:after="40"/>
        <w:ind w:left="288" w:hanging="259"/>
      </w:pPr>
      <w:r>
        <w:rPr>
          <w:b/>
        </w:rPr>
        <w:t xml:space="preserve">7. </w:t>
      </w:r>
      <w:r>
        <w:t>Use Notes for vendor-specific terms, caveats, cross-references, and additional nuance that does not justify another coded category.</w:t>
      </w:r>
    </w:p>
    <w:p w14:paraId="50CBFCBF" w14:textId="77777777" w:rsidR="00C10E56" w:rsidRDefault="00000000">
      <w:pPr>
        <w:pStyle w:val="Heading1"/>
      </w:pPr>
      <w:r>
        <w:t>8. Core fields (minimum viable schema)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168"/>
        <w:gridCol w:w="3960"/>
      </w:tblGrid>
      <w:tr w:rsidR="00C10E56" w14:paraId="03964F0C" w14:textId="77777777">
        <w:trPr>
          <w:jc w:val="center"/>
        </w:trPr>
        <w:tc>
          <w:tcPr>
            <w:tcW w:w="2016" w:type="dxa"/>
            <w:shd w:val="clear" w:color="auto" w:fill="D9E5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C02C1" w14:textId="77777777" w:rsidR="00C10E56" w:rsidRDefault="00000000">
            <w:r>
              <w:rPr>
                <w:b/>
              </w:rPr>
              <w:t>Field</w:t>
            </w:r>
          </w:p>
        </w:tc>
        <w:tc>
          <w:tcPr>
            <w:tcW w:w="3168" w:type="dxa"/>
            <w:shd w:val="clear" w:color="auto" w:fill="D9E5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27803" w14:textId="77777777" w:rsidR="00C10E56" w:rsidRDefault="00000000">
            <w:r>
              <w:rPr>
                <w:b/>
              </w:rPr>
              <w:t>Definition</w:t>
            </w:r>
          </w:p>
        </w:tc>
        <w:tc>
          <w:tcPr>
            <w:tcW w:w="3960" w:type="dxa"/>
            <w:shd w:val="clear" w:color="auto" w:fill="D9E5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2D305" w14:textId="77777777" w:rsidR="00C10E56" w:rsidRDefault="00000000">
            <w:r>
              <w:rPr>
                <w:b/>
              </w:rPr>
              <w:t>Coding note</w:t>
            </w:r>
          </w:p>
        </w:tc>
      </w:tr>
      <w:tr w:rsidR="00C10E56" w14:paraId="23A436B4" w14:textId="77777777">
        <w:trPr>
          <w:jc w:val="center"/>
        </w:trPr>
        <w:tc>
          <w:tcPr>
            <w:tcW w:w="2016" w:type="dxa"/>
          </w:tcPr>
          <w:p w14:paraId="386325E0" w14:textId="77777777" w:rsidR="00C10E56" w:rsidRDefault="00000000">
            <w:r>
              <w:lastRenderedPageBreak/>
              <w:t>Incident_ID</w:t>
            </w:r>
          </w:p>
        </w:tc>
        <w:tc>
          <w:tcPr>
            <w:tcW w:w="3168" w:type="dxa"/>
          </w:tcPr>
          <w:p w14:paraId="4EB0C3C9" w14:textId="77777777" w:rsidR="00C10E56" w:rsidRDefault="00000000">
            <w:r>
              <w:t>Unique identifier assigned by the coder.</w:t>
            </w:r>
          </w:p>
        </w:tc>
        <w:tc>
          <w:tcPr>
            <w:tcW w:w="3960" w:type="dxa"/>
          </w:tcPr>
          <w:p w14:paraId="6E53E5CF" w14:textId="77777777" w:rsidR="00C10E56" w:rsidRDefault="00000000">
            <w:r>
              <w:t>Example: IR-0001 or date-based incident ID.</w:t>
            </w:r>
          </w:p>
        </w:tc>
      </w:tr>
      <w:tr w:rsidR="00C10E56" w14:paraId="117D9736" w14:textId="77777777">
        <w:trPr>
          <w:jc w:val="center"/>
        </w:trPr>
        <w:tc>
          <w:tcPr>
            <w:tcW w:w="2016" w:type="dxa"/>
          </w:tcPr>
          <w:p w14:paraId="6DD35EA5" w14:textId="77777777" w:rsidR="00C10E56" w:rsidRDefault="00000000">
            <w:r>
              <w:t>Incident_Name</w:t>
            </w:r>
          </w:p>
        </w:tc>
        <w:tc>
          <w:tcPr>
            <w:tcW w:w="3168" w:type="dxa"/>
          </w:tcPr>
          <w:p w14:paraId="60E2D62D" w14:textId="77777777" w:rsidR="00C10E56" w:rsidRDefault="00000000">
            <w:r>
              <w:t>Short human-readable case name.</w:t>
            </w:r>
          </w:p>
        </w:tc>
        <w:tc>
          <w:tcPr>
            <w:tcW w:w="3960" w:type="dxa"/>
          </w:tcPr>
          <w:p w14:paraId="793F6E76" w14:textId="77777777" w:rsidR="00C10E56" w:rsidRDefault="00000000">
            <w:r>
              <w:t>Use a stable label, not a narrative sentence.</w:t>
            </w:r>
          </w:p>
        </w:tc>
      </w:tr>
      <w:tr w:rsidR="00C10E56" w14:paraId="0CEF4D8A" w14:textId="77777777">
        <w:trPr>
          <w:jc w:val="center"/>
        </w:trPr>
        <w:tc>
          <w:tcPr>
            <w:tcW w:w="2016" w:type="dxa"/>
          </w:tcPr>
          <w:p w14:paraId="1A1EAD4A" w14:textId="77777777" w:rsidR="00C10E56" w:rsidRDefault="00000000">
            <w:r>
              <w:t>Source_Type</w:t>
            </w:r>
          </w:p>
        </w:tc>
        <w:tc>
          <w:tcPr>
            <w:tcW w:w="3168" w:type="dxa"/>
          </w:tcPr>
          <w:p w14:paraId="25EAABFA" w14:textId="77777777" w:rsidR="00C10E56" w:rsidRDefault="00000000">
            <w:r>
              <w:t>Type of source.</w:t>
            </w:r>
          </w:p>
        </w:tc>
        <w:tc>
          <w:tcPr>
            <w:tcW w:w="3960" w:type="dxa"/>
          </w:tcPr>
          <w:p w14:paraId="36D46339" w14:textId="77777777" w:rsidR="00C10E56" w:rsidRDefault="00000000">
            <w:r>
              <w:t>Examples: vendor blog, SOC report, threat-intel blog, academic paper.</w:t>
            </w:r>
          </w:p>
        </w:tc>
      </w:tr>
      <w:tr w:rsidR="00C10E56" w14:paraId="7D960DFD" w14:textId="77777777">
        <w:trPr>
          <w:jc w:val="center"/>
        </w:trPr>
        <w:tc>
          <w:tcPr>
            <w:tcW w:w="2016" w:type="dxa"/>
          </w:tcPr>
          <w:p w14:paraId="537E53B7" w14:textId="77777777" w:rsidR="00C10E56" w:rsidRDefault="00000000">
            <w:r>
              <w:t>Source_Title</w:t>
            </w:r>
          </w:p>
        </w:tc>
        <w:tc>
          <w:tcPr>
            <w:tcW w:w="3168" w:type="dxa"/>
          </w:tcPr>
          <w:p w14:paraId="305E703E" w14:textId="77777777" w:rsidR="00C10E56" w:rsidRDefault="00000000">
            <w:r>
              <w:t>Title of the source report.</w:t>
            </w:r>
          </w:p>
        </w:tc>
        <w:tc>
          <w:tcPr>
            <w:tcW w:w="3960" w:type="dxa"/>
          </w:tcPr>
          <w:p w14:paraId="3204CF6B" w14:textId="77777777" w:rsidR="00C10E56" w:rsidRDefault="00000000">
            <w:r>
              <w:t>Use the source title exactly enough to relocate it.</w:t>
            </w:r>
          </w:p>
        </w:tc>
      </w:tr>
      <w:tr w:rsidR="00C10E56" w14:paraId="6FE810AB" w14:textId="77777777">
        <w:trPr>
          <w:jc w:val="center"/>
        </w:trPr>
        <w:tc>
          <w:tcPr>
            <w:tcW w:w="2016" w:type="dxa"/>
          </w:tcPr>
          <w:p w14:paraId="00A3A61D" w14:textId="77777777" w:rsidR="00C10E56" w:rsidRDefault="00000000">
            <w:r>
              <w:t>Source_Org</w:t>
            </w:r>
          </w:p>
        </w:tc>
        <w:tc>
          <w:tcPr>
            <w:tcW w:w="3168" w:type="dxa"/>
          </w:tcPr>
          <w:p w14:paraId="21285C1C" w14:textId="77777777" w:rsidR="00C10E56" w:rsidRDefault="00000000">
            <w:r>
              <w:t>Publisher / authoring organization.</w:t>
            </w:r>
          </w:p>
        </w:tc>
        <w:tc>
          <w:tcPr>
            <w:tcW w:w="3960" w:type="dxa"/>
          </w:tcPr>
          <w:p w14:paraId="24627325" w14:textId="77777777" w:rsidR="00C10E56" w:rsidRDefault="00000000">
            <w:r>
              <w:t>Vendor, IR firm, security blog, academic venue, etc.</w:t>
            </w:r>
          </w:p>
        </w:tc>
      </w:tr>
      <w:tr w:rsidR="00C10E56" w14:paraId="004E9EF4" w14:textId="77777777">
        <w:trPr>
          <w:jc w:val="center"/>
        </w:trPr>
        <w:tc>
          <w:tcPr>
            <w:tcW w:w="2016" w:type="dxa"/>
          </w:tcPr>
          <w:p w14:paraId="34D4577C" w14:textId="77777777" w:rsidR="00C10E56" w:rsidRDefault="00000000">
            <w:r>
              <w:t>Source_Date</w:t>
            </w:r>
          </w:p>
        </w:tc>
        <w:tc>
          <w:tcPr>
            <w:tcW w:w="3168" w:type="dxa"/>
          </w:tcPr>
          <w:p w14:paraId="512D0CBC" w14:textId="77777777" w:rsidR="00C10E56" w:rsidRDefault="00000000">
            <w:r>
              <w:t>Publication date.</w:t>
            </w:r>
          </w:p>
        </w:tc>
        <w:tc>
          <w:tcPr>
            <w:tcW w:w="3960" w:type="dxa"/>
          </w:tcPr>
          <w:p w14:paraId="484E5639" w14:textId="77777777" w:rsidR="00C10E56" w:rsidRDefault="00000000">
            <w:r>
              <w:t>Use YYYY-MM-DD when available.</w:t>
            </w:r>
          </w:p>
        </w:tc>
      </w:tr>
      <w:tr w:rsidR="00C10E56" w14:paraId="7F6CDC73" w14:textId="77777777">
        <w:trPr>
          <w:jc w:val="center"/>
        </w:trPr>
        <w:tc>
          <w:tcPr>
            <w:tcW w:w="2016" w:type="dxa"/>
          </w:tcPr>
          <w:p w14:paraId="6334ACBD" w14:textId="77777777" w:rsidR="00C10E56" w:rsidRDefault="00000000">
            <w:r>
              <w:t>Source_URL</w:t>
            </w:r>
          </w:p>
        </w:tc>
        <w:tc>
          <w:tcPr>
            <w:tcW w:w="3168" w:type="dxa"/>
          </w:tcPr>
          <w:p w14:paraId="76D3AE0B" w14:textId="77777777" w:rsidR="00C10E56" w:rsidRDefault="00000000">
            <w:r>
              <w:t>Direct URL to the report.</w:t>
            </w:r>
          </w:p>
        </w:tc>
        <w:tc>
          <w:tcPr>
            <w:tcW w:w="3960" w:type="dxa"/>
          </w:tcPr>
          <w:p w14:paraId="31C8CCFD" w14:textId="77777777" w:rsidR="00C10E56" w:rsidRDefault="00000000">
            <w:r>
              <w:t>Prefer the original source over mirrors.</w:t>
            </w:r>
          </w:p>
        </w:tc>
      </w:tr>
      <w:tr w:rsidR="00C10E56" w14:paraId="07250A26" w14:textId="77777777">
        <w:trPr>
          <w:jc w:val="center"/>
        </w:trPr>
        <w:tc>
          <w:tcPr>
            <w:tcW w:w="2016" w:type="dxa"/>
          </w:tcPr>
          <w:p w14:paraId="0E52201E" w14:textId="77777777" w:rsidR="00C10E56" w:rsidRDefault="00000000">
            <w:r>
              <w:t>IdP_Context</w:t>
            </w:r>
          </w:p>
        </w:tc>
        <w:tc>
          <w:tcPr>
            <w:tcW w:w="3168" w:type="dxa"/>
          </w:tcPr>
          <w:p w14:paraId="7FA6C795" w14:textId="77777777" w:rsidR="00C10E56" w:rsidRDefault="00000000">
            <w:r>
              <w:t>Identity provider involved.</w:t>
            </w:r>
          </w:p>
        </w:tc>
        <w:tc>
          <w:tcPr>
            <w:tcW w:w="3960" w:type="dxa"/>
          </w:tcPr>
          <w:p w14:paraId="3C43912C" w14:textId="77777777" w:rsidR="00C10E56" w:rsidRDefault="00000000">
            <w:r>
              <w:t>Use standardized picklist labels.</w:t>
            </w:r>
          </w:p>
        </w:tc>
      </w:tr>
      <w:tr w:rsidR="00C10E56" w14:paraId="4B812C1E" w14:textId="77777777">
        <w:trPr>
          <w:jc w:val="center"/>
        </w:trPr>
        <w:tc>
          <w:tcPr>
            <w:tcW w:w="2016" w:type="dxa"/>
          </w:tcPr>
          <w:p w14:paraId="3302FA05" w14:textId="77777777" w:rsidR="00C10E56" w:rsidRDefault="00000000">
            <w:r>
              <w:t>SaaS_Context</w:t>
            </w:r>
          </w:p>
        </w:tc>
        <w:tc>
          <w:tcPr>
            <w:tcW w:w="3168" w:type="dxa"/>
          </w:tcPr>
          <w:p w14:paraId="143E5DB9" w14:textId="77777777" w:rsidR="00C10E56" w:rsidRDefault="00000000">
            <w:r>
              <w:t>Target SaaS application(s).</w:t>
            </w:r>
          </w:p>
        </w:tc>
        <w:tc>
          <w:tcPr>
            <w:tcW w:w="3960" w:type="dxa"/>
          </w:tcPr>
          <w:p w14:paraId="379E35C2" w14:textId="77777777" w:rsidR="00C10E56" w:rsidRDefault="00000000">
            <w:r>
              <w:t>Use concise platform labels; add detail in Notes if needed.</w:t>
            </w:r>
          </w:p>
        </w:tc>
      </w:tr>
      <w:tr w:rsidR="00C10E56" w14:paraId="3E986EEC" w14:textId="77777777">
        <w:trPr>
          <w:jc w:val="center"/>
        </w:trPr>
        <w:tc>
          <w:tcPr>
            <w:tcW w:w="2016" w:type="dxa"/>
          </w:tcPr>
          <w:p w14:paraId="3586502B" w14:textId="77777777" w:rsidR="00C10E56" w:rsidRDefault="00000000">
            <w:r>
              <w:t>Attack_Type</w:t>
            </w:r>
          </w:p>
        </w:tc>
        <w:tc>
          <w:tcPr>
            <w:tcW w:w="3168" w:type="dxa"/>
          </w:tcPr>
          <w:p w14:paraId="7CBE5038" w14:textId="77777777" w:rsidR="00C10E56" w:rsidRDefault="00000000">
            <w:r>
              <w:t>OAuth-enabled abuse mechanism being coded in the row.</w:t>
            </w:r>
          </w:p>
        </w:tc>
        <w:tc>
          <w:tcPr>
            <w:tcW w:w="3960" w:type="dxa"/>
          </w:tcPr>
          <w:p w14:paraId="2C1862F0" w14:textId="77777777" w:rsidR="00C10E56" w:rsidRDefault="00000000">
            <w:r>
              <w:t>This should normally be codable for included incidents.</w:t>
            </w:r>
          </w:p>
        </w:tc>
      </w:tr>
      <w:tr w:rsidR="00C10E56" w14:paraId="72E21F78" w14:textId="77777777">
        <w:trPr>
          <w:jc w:val="center"/>
        </w:trPr>
        <w:tc>
          <w:tcPr>
            <w:tcW w:w="2016" w:type="dxa"/>
          </w:tcPr>
          <w:p w14:paraId="78E4367D" w14:textId="77777777" w:rsidR="00C10E56" w:rsidRDefault="00000000">
            <w:r>
              <w:t>Entry_Vector</w:t>
            </w:r>
          </w:p>
        </w:tc>
        <w:tc>
          <w:tcPr>
            <w:tcW w:w="3168" w:type="dxa"/>
          </w:tcPr>
          <w:p w14:paraId="660B42AF" w14:textId="77777777" w:rsidR="00C10E56" w:rsidRDefault="00000000">
            <w:r>
              <w:t>Earliest access/authorization acquisition step used to launch that mechanism.</w:t>
            </w:r>
          </w:p>
        </w:tc>
        <w:tc>
          <w:tcPr>
            <w:tcW w:w="3960" w:type="dxa"/>
          </w:tcPr>
          <w:p w14:paraId="590A155B" w14:textId="77777777" w:rsidR="00C10E56" w:rsidRDefault="00000000">
            <w:r>
              <w:t>Do not collapse this into Attack_Type.</w:t>
            </w:r>
          </w:p>
        </w:tc>
      </w:tr>
      <w:tr w:rsidR="00C10E56" w14:paraId="1E2E561D" w14:textId="77777777">
        <w:trPr>
          <w:jc w:val="center"/>
        </w:trPr>
        <w:tc>
          <w:tcPr>
            <w:tcW w:w="2016" w:type="dxa"/>
          </w:tcPr>
          <w:p w14:paraId="67DE2F82" w14:textId="77777777" w:rsidR="00C10E56" w:rsidRDefault="00000000">
            <w:r>
              <w:t>OAuth_Flow</w:t>
            </w:r>
          </w:p>
        </w:tc>
        <w:tc>
          <w:tcPr>
            <w:tcW w:w="3168" w:type="dxa"/>
          </w:tcPr>
          <w:p w14:paraId="51D1843D" w14:textId="77777777" w:rsidR="00C10E56" w:rsidRDefault="00000000">
            <w:r>
              <w:t>Grant type or OAuth flow if stated.</w:t>
            </w:r>
          </w:p>
        </w:tc>
        <w:tc>
          <w:tcPr>
            <w:tcW w:w="3960" w:type="dxa"/>
          </w:tcPr>
          <w:p w14:paraId="6DCAF538" w14:textId="77777777" w:rsidR="00C10E56" w:rsidRDefault="00000000">
            <w:r>
              <w:t>Examples: authorization code, device code, client credentials.</w:t>
            </w:r>
          </w:p>
        </w:tc>
      </w:tr>
      <w:tr w:rsidR="00C10E56" w14:paraId="346F8C2F" w14:textId="77777777">
        <w:trPr>
          <w:jc w:val="center"/>
        </w:trPr>
        <w:tc>
          <w:tcPr>
            <w:tcW w:w="2016" w:type="dxa"/>
          </w:tcPr>
          <w:p w14:paraId="72AA583F" w14:textId="77777777" w:rsidR="00C10E56" w:rsidRDefault="00000000">
            <w:r>
              <w:t>Scopes_and_Permissions</w:t>
            </w:r>
          </w:p>
        </w:tc>
        <w:tc>
          <w:tcPr>
            <w:tcW w:w="3168" w:type="dxa"/>
          </w:tcPr>
          <w:p w14:paraId="0C084E31" w14:textId="77777777" w:rsidR="00C10E56" w:rsidRDefault="00000000">
            <w:r>
              <w:t>Granted scopes/permissions if stated.</w:t>
            </w:r>
          </w:p>
        </w:tc>
        <w:tc>
          <w:tcPr>
            <w:tcW w:w="3960" w:type="dxa"/>
          </w:tcPr>
          <w:p w14:paraId="35AC7775" w14:textId="77777777" w:rsidR="00C10E56" w:rsidRDefault="00000000">
            <w:r>
              <w:t>Use semicolons to separate examples.</w:t>
            </w:r>
          </w:p>
        </w:tc>
      </w:tr>
      <w:tr w:rsidR="00C10E56" w14:paraId="00E1840C" w14:textId="77777777">
        <w:trPr>
          <w:jc w:val="center"/>
        </w:trPr>
        <w:tc>
          <w:tcPr>
            <w:tcW w:w="2016" w:type="dxa"/>
          </w:tcPr>
          <w:p w14:paraId="3661C842" w14:textId="77777777" w:rsidR="00C10E56" w:rsidRDefault="00000000">
            <w:r>
              <w:t>Token_Artifacts</w:t>
            </w:r>
          </w:p>
        </w:tc>
        <w:tc>
          <w:tcPr>
            <w:tcW w:w="3168" w:type="dxa"/>
          </w:tcPr>
          <w:p w14:paraId="604C5601" w14:textId="77777777" w:rsidR="00C10E56" w:rsidRDefault="00000000">
            <w:r>
              <w:t>Token or credential artifact involved.</w:t>
            </w:r>
          </w:p>
        </w:tc>
        <w:tc>
          <w:tcPr>
            <w:tcW w:w="3960" w:type="dxa"/>
          </w:tcPr>
          <w:p w14:paraId="6B8C4FE2" w14:textId="77777777" w:rsidR="00C10E56" w:rsidRDefault="00000000">
            <w:r>
              <w:t>Examples: access token, refresh token, client secret, certificate.</w:t>
            </w:r>
          </w:p>
        </w:tc>
      </w:tr>
      <w:tr w:rsidR="00C10E56" w14:paraId="2DCDD5AF" w14:textId="77777777">
        <w:trPr>
          <w:jc w:val="center"/>
        </w:trPr>
        <w:tc>
          <w:tcPr>
            <w:tcW w:w="2016" w:type="dxa"/>
          </w:tcPr>
          <w:p w14:paraId="6693660C" w14:textId="77777777" w:rsidR="00C10E56" w:rsidRDefault="00000000">
            <w:r>
              <w:t>Misconfig_1</w:t>
            </w:r>
          </w:p>
        </w:tc>
        <w:tc>
          <w:tcPr>
            <w:tcW w:w="3168" w:type="dxa"/>
          </w:tcPr>
          <w:p w14:paraId="3FBEC236" w14:textId="77777777" w:rsidR="00C10E56" w:rsidRDefault="00000000">
            <w:r>
              <w:t>Dominant enabling misconfiguration.</w:t>
            </w:r>
          </w:p>
        </w:tc>
        <w:tc>
          <w:tcPr>
            <w:tcW w:w="3960" w:type="dxa"/>
          </w:tcPr>
          <w:p w14:paraId="142D6D7B" w14:textId="77777777" w:rsidR="00C10E56" w:rsidRDefault="00000000">
            <w:r>
              <w:t>Exactly one picklist value.</w:t>
            </w:r>
          </w:p>
        </w:tc>
      </w:tr>
      <w:tr w:rsidR="00C10E56" w14:paraId="47A16ACB" w14:textId="77777777">
        <w:trPr>
          <w:jc w:val="center"/>
        </w:trPr>
        <w:tc>
          <w:tcPr>
            <w:tcW w:w="2016" w:type="dxa"/>
          </w:tcPr>
          <w:p w14:paraId="4C8B77C9" w14:textId="77777777" w:rsidR="00C10E56" w:rsidRDefault="00000000">
            <w:r>
              <w:t>Misconfig_2</w:t>
            </w:r>
          </w:p>
        </w:tc>
        <w:tc>
          <w:tcPr>
            <w:tcW w:w="3168" w:type="dxa"/>
          </w:tcPr>
          <w:p w14:paraId="1D7F325D" w14:textId="77777777" w:rsidR="00C10E56" w:rsidRDefault="00000000">
            <w:r>
              <w:t>Material co-enabling misconfiguration.</w:t>
            </w:r>
          </w:p>
        </w:tc>
        <w:tc>
          <w:tcPr>
            <w:tcW w:w="3960" w:type="dxa"/>
          </w:tcPr>
          <w:p w14:paraId="33BBD32E" w14:textId="77777777" w:rsidR="00C10E56" w:rsidRDefault="00000000">
            <w:r>
              <w:t>Blank unless a second category clears the materiality threshold.</w:t>
            </w:r>
          </w:p>
        </w:tc>
      </w:tr>
      <w:tr w:rsidR="00C10E56" w14:paraId="0B0ED5A5" w14:textId="77777777">
        <w:trPr>
          <w:jc w:val="center"/>
        </w:trPr>
        <w:tc>
          <w:tcPr>
            <w:tcW w:w="2016" w:type="dxa"/>
          </w:tcPr>
          <w:p w14:paraId="168ADAD8" w14:textId="77777777" w:rsidR="00C10E56" w:rsidRDefault="00000000">
            <w:r>
              <w:t>Controls_1</w:t>
            </w:r>
          </w:p>
        </w:tc>
        <w:tc>
          <w:tcPr>
            <w:tcW w:w="3168" w:type="dxa"/>
          </w:tcPr>
          <w:p w14:paraId="67FA55ED" w14:textId="77777777" w:rsidR="00C10E56" w:rsidRDefault="00000000">
            <w:r>
              <w:t>Dominant missing/weak control class.</w:t>
            </w:r>
          </w:p>
        </w:tc>
        <w:tc>
          <w:tcPr>
            <w:tcW w:w="3960" w:type="dxa"/>
          </w:tcPr>
          <w:p w14:paraId="09BF4D8D" w14:textId="77777777" w:rsidR="00C10E56" w:rsidRDefault="00000000">
            <w:r>
              <w:t>Exactly one picklist value.</w:t>
            </w:r>
          </w:p>
        </w:tc>
      </w:tr>
      <w:tr w:rsidR="00C10E56" w14:paraId="32A66FF3" w14:textId="77777777">
        <w:trPr>
          <w:jc w:val="center"/>
        </w:trPr>
        <w:tc>
          <w:tcPr>
            <w:tcW w:w="2016" w:type="dxa"/>
          </w:tcPr>
          <w:p w14:paraId="5326CFFD" w14:textId="77777777" w:rsidR="00C10E56" w:rsidRDefault="00000000">
            <w:r>
              <w:t>Controls_2</w:t>
            </w:r>
          </w:p>
        </w:tc>
        <w:tc>
          <w:tcPr>
            <w:tcW w:w="3168" w:type="dxa"/>
          </w:tcPr>
          <w:p w14:paraId="13060DD5" w14:textId="77777777" w:rsidR="00C10E56" w:rsidRDefault="00000000">
            <w:r>
              <w:t>Material co-gap in controls.</w:t>
            </w:r>
          </w:p>
        </w:tc>
        <w:tc>
          <w:tcPr>
            <w:tcW w:w="3960" w:type="dxa"/>
          </w:tcPr>
          <w:p w14:paraId="6A4D4D96" w14:textId="77777777" w:rsidR="00C10E56" w:rsidRDefault="00000000">
            <w:r>
              <w:t>Blank unless a second category materially contributed.</w:t>
            </w:r>
          </w:p>
        </w:tc>
      </w:tr>
      <w:tr w:rsidR="00C10E56" w14:paraId="269B5092" w14:textId="77777777">
        <w:trPr>
          <w:jc w:val="center"/>
        </w:trPr>
        <w:tc>
          <w:tcPr>
            <w:tcW w:w="2016" w:type="dxa"/>
          </w:tcPr>
          <w:p w14:paraId="36218BCE" w14:textId="77777777" w:rsidR="00C10E56" w:rsidRDefault="00000000">
            <w:r>
              <w:lastRenderedPageBreak/>
              <w:t>Impact_Primary</w:t>
            </w:r>
          </w:p>
        </w:tc>
        <w:tc>
          <w:tcPr>
            <w:tcW w:w="3168" w:type="dxa"/>
          </w:tcPr>
          <w:p w14:paraId="3FFD1F19" w14:textId="77777777" w:rsidR="00C10E56" w:rsidRDefault="00000000">
            <w:r>
              <w:t>Main business or operational impact.</w:t>
            </w:r>
          </w:p>
        </w:tc>
        <w:tc>
          <w:tcPr>
            <w:tcW w:w="3960" w:type="dxa"/>
          </w:tcPr>
          <w:p w14:paraId="6C9EE3F0" w14:textId="77777777" w:rsidR="00C10E56" w:rsidRDefault="00000000">
            <w:r>
              <w:t>Examples: data exfiltration, spam, admin takeover, financial fraud.</w:t>
            </w:r>
          </w:p>
        </w:tc>
      </w:tr>
      <w:tr w:rsidR="00C10E56" w14:paraId="426125AE" w14:textId="77777777">
        <w:trPr>
          <w:jc w:val="center"/>
        </w:trPr>
        <w:tc>
          <w:tcPr>
            <w:tcW w:w="2016" w:type="dxa"/>
          </w:tcPr>
          <w:p w14:paraId="2F6EB78C" w14:textId="77777777" w:rsidR="00C10E56" w:rsidRDefault="00000000">
            <w:r>
              <w:t>Confidence</w:t>
            </w:r>
          </w:p>
        </w:tc>
        <w:tc>
          <w:tcPr>
            <w:tcW w:w="3168" w:type="dxa"/>
          </w:tcPr>
          <w:p w14:paraId="45844CC7" w14:textId="77777777" w:rsidR="00C10E56" w:rsidRDefault="00000000">
            <w:r>
              <w:t>Evidence strength for the coded row.</w:t>
            </w:r>
          </w:p>
        </w:tc>
        <w:tc>
          <w:tcPr>
            <w:tcW w:w="3960" w:type="dxa"/>
          </w:tcPr>
          <w:p w14:paraId="7F823CBD" w14:textId="77777777" w:rsidR="00C10E56" w:rsidRDefault="00000000">
            <w:r>
              <w:t>High = explicit; Medium = strongly implied; Low = inferred or unclear.</w:t>
            </w:r>
          </w:p>
        </w:tc>
      </w:tr>
      <w:tr w:rsidR="00C10E56" w14:paraId="48EE9B1C" w14:textId="77777777">
        <w:trPr>
          <w:jc w:val="center"/>
        </w:trPr>
        <w:tc>
          <w:tcPr>
            <w:tcW w:w="2016" w:type="dxa"/>
          </w:tcPr>
          <w:p w14:paraId="23EF6A57" w14:textId="77777777" w:rsidR="00C10E56" w:rsidRDefault="00000000">
            <w:r>
              <w:t>Detection_Signals</w:t>
            </w:r>
          </w:p>
        </w:tc>
        <w:tc>
          <w:tcPr>
            <w:tcW w:w="3168" w:type="dxa"/>
          </w:tcPr>
          <w:p w14:paraId="32CF5530" w14:textId="77777777" w:rsidR="00C10E56" w:rsidRDefault="00000000">
            <w:r>
              <w:t>What defenders could or should observe.</w:t>
            </w:r>
          </w:p>
        </w:tc>
        <w:tc>
          <w:tcPr>
            <w:tcW w:w="3960" w:type="dxa"/>
          </w:tcPr>
          <w:p w14:paraId="5703D426" w14:textId="77777777" w:rsidR="00C10E56" w:rsidRDefault="00000000">
            <w:r>
              <w:t>Keep concise and operational.</w:t>
            </w:r>
          </w:p>
        </w:tc>
      </w:tr>
      <w:tr w:rsidR="00C10E56" w14:paraId="5C23AEDC" w14:textId="77777777">
        <w:trPr>
          <w:jc w:val="center"/>
        </w:trPr>
        <w:tc>
          <w:tcPr>
            <w:tcW w:w="2016" w:type="dxa"/>
          </w:tcPr>
          <w:p w14:paraId="04C14AD5" w14:textId="77777777" w:rsidR="00C10E56" w:rsidRDefault="00000000">
            <w:r>
              <w:t>Response_Actions</w:t>
            </w:r>
          </w:p>
        </w:tc>
        <w:tc>
          <w:tcPr>
            <w:tcW w:w="3168" w:type="dxa"/>
          </w:tcPr>
          <w:p w14:paraId="06606FB3" w14:textId="77777777" w:rsidR="00C10E56" w:rsidRDefault="00000000">
            <w:r>
              <w:t>Containment/revocation actions described.</w:t>
            </w:r>
          </w:p>
        </w:tc>
        <w:tc>
          <w:tcPr>
            <w:tcW w:w="3960" w:type="dxa"/>
          </w:tcPr>
          <w:p w14:paraId="3CA9E0D9" w14:textId="77777777" w:rsidR="00C10E56" w:rsidRDefault="00000000">
            <w:r>
              <w:t>Examples: revoke tokens, disable app, rotate secret.</w:t>
            </w:r>
          </w:p>
        </w:tc>
      </w:tr>
      <w:tr w:rsidR="00C10E56" w14:paraId="1028AA44" w14:textId="77777777">
        <w:trPr>
          <w:jc w:val="center"/>
        </w:trPr>
        <w:tc>
          <w:tcPr>
            <w:tcW w:w="2016" w:type="dxa"/>
          </w:tcPr>
          <w:p w14:paraId="5FF81971" w14:textId="77777777" w:rsidR="00C10E56" w:rsidRDefault="00000000">
            <w:r>
              <w:t>Notes</w:t>
            </w:r>
          </w:p>
        </w:tc>
        <w:tc>
          <w:tcPr>
            <w:tcW w:w="3168" w:type="dxa"/>
          </w:tcPr>
          <w:p w14:paraId="4BF4F6FE" w14:textId="77777777" w:rsidR="00C10E56" w:rsidRDefault="00000000">
            <w:r>
              <w:t>Free-text nuance, caveats, and vendor-specific terminology.</w:t>
            </w:r>
          </w:p>
        </w:tc>
        <w:tc>
          <w:tcPr>
            <w:tcW w:w="3960" w:type="dxa"/>
          </w:tcPr>
          <w:p w14:paraId="0FB43A2E" w14:textId="77777777" w:rsidR="00C10E56" w:rsidRDefault="00000000">
            <w:r>
              <w:t>Use this for detail that does not justify another coded category.</w:t>
            </w:r>
          </w:p>
        </w:tc>
      </w:tr>
    </w:tbl>
    <w:p w14:paraId="0318A4FC" w14:textId="77777777" w:rsidR="00C10E56" w:rsidRDefault="00000000">
      <w:pPr>
        <w:pStyle w:val="Heading1"/>
      </w:pPr>
      <w:r>
        <w:t>9. Suggested controlled vocabulary</w:t>
      </w:r>
    </w:p>
    <w:p w14:paraId="637E0673" w14:textId="77777777" w:rsidR="00C10E56" w:rsidRDefault="00000000">
      <w:pPr>
        <w:pStyle w:val="Heading2"/>
      </w:pPr>
      <w:r>
        <w:t>Attack_Type</w:t>
      </w:r>
    </w:p>
    <w:p w14:paraId="74CA5EBD" w14:textId="79AFFC20" w:rsidR="00C10E56" w:rsidRDefault="000E5BF7">
      <w:r w:rsidRPr="000E5BF7">
        <w:rPr>
          <w:b/>
        </w:rPr>
        <w:t>Malicious OAuth app / delegated consent abuse</w:t>
      </w:r>
      <w:r>
        <w:rPr>
          <w:b/>
        </w:rPr>
        <w:t xml:space="preserve">: </w:t>
      </w:r>
      <w:r>
        <w:t xml:space="preserve">Victim is tricked into granting delegated permissions to an attacker-controlled OAuth app. </w:t>
      </w:r>
      <w:r>
        <w:rPr>
          <w:i/>
        </w:rPr>
        <w:t>Use when consent is the key enabling step.</w:t>
      </w:r>
    </w:p>
    <w:p w14:paraId="12A17E43" w14:textId="77777777" w:rsidR="00C10E56" w:rsidRDefault="00000000">
      <w:r>
        <w:rPr>
          <w:b/>
        </w:rPr>
        <w:t xml:space="preserve">Compromised legitimate OAuth app (trusted integration abuse): </w:t>
      </w:r>
      <w:r>
        <w:t xml:space="preserve">A legitimate, already-trusted integration is abused via stolen tokens, secrets, or vendor compromise. </w:t>
      </w:r>
      <w:r>
        <w:rPr>
          <w:i/>
        </w:rPr>
        <w:t>Use when the abused identity is an existing trusted integration rather than a newly malicious app.</w:t>
      </w:r>
    </w:p>
    <w:p w14:paraId="58757EB8" w14:textId="77777777" w:rsidR="00C10E56" w:rsidRDefault="00000000">
      <w:r>
        <w:rPr>
          <w:b/>
        </w:rPr>
        <w:t xml:space="preserve">Bearer token replay (stolen access/refresh token): </w:t>
      </w:r>
      <w:r>
        <w:t xml:space="preserve">Attacker reuses a stolen bearer artifact to access APIs or resources. </w:t>
      </w:r>
      <w:r>
        <w:rPr>
          <w:i/>
        </w:rPr>
        <w:t>Use when replay of a user/session token is the core mechanism.</w:t>
      </w:r>
    </w:p>
    <w:p w14:paraId="2E8B4365" w14:textId="77777777" w:rsidR="00C10E56" w:rsidRDefault="00000000">
      <w:r>
        <w:rPr>
          <w:b/>
        </w:rPr>
        <w:t xml:space="preserve">Device code phishing (device authorization grant abuse): </w:t>
      </w:r>
      <w:r>
        <w:t xml:space="preserve">Victim completes a device-code flow using an attacker-provided code. </w:t>
      </w:r>
      <w:r>
        <w:rPr>
          <w:i/>
        </w:rPr>
        <w:t>Use when device authorization is the mechanism that yields tokens to the attacker.</w:t>
      </w:r>
    </w:p>
    <w:p w14:paraId="2FA53868" w14:textId="77777777" w:rsidR="00C10E56" w:rsidRDefault="00000000">
      <w:r>
        <w:rPr>
          <w:b/>
        </w:rPr>
        <w:t xml:space="preserve">Authorization code interception attack (redirect/code interception): </w:t>
      </w:r>
      <w:r>
        <w:t xml:space="preserve">Authorization code or response is captured before token issuance. </w:t>
      </w:r>
      <w:r>
        <w:rPr>
          <w:i/>
        </w:rPr>
        <w:t>Use when the primary mechanism is redirect/code interception, open redirect chaining, or missing PKCE-style hardening.</w:t>
      </w:r>
    </w:p>
    <w:p w14:paraId="7071C8E4" w14:textId="77777777" w:rsidR="00C10E56" w:rsidRDefault="00000000">
      <w:r>
        <w:rPr>
          <w:b/>
        </w:rPr>
        <w:t xml:space="preserve">Client credentials compromise (client secret/certificate): </w:t>
      </w:r>
      <w:r>
        <w:t xml:space="preserve">A workload or app credential is compromised and used for unattended API access. </w:t>
      </w:r>
      <w:r>
        <w:rPr>
          <w:i/>
        </w:rPr>
        <w:t>Use when the secret or certificate compromise is the mechanism being abused.</w:t>
      </w:r>
    </w:p>
    <w:p w14:paraId="5834CE3C" w14:textId="77777777" w:rsidR="00C10E56" w:rsidRDefault="00000000">
      <w:r>
        <w:rPr>
          <w:b/>
        </w:rPr>
        <w:t xml:space="preserve">Workload identity abuse (domain-wide delegation/service principal): </w:t>
      </w:r>
      <w:r>
        <w:t xml:space="preserve">High-privilege workload identity mechanisms are abused to access APIs at scale. </w:t>
      </w:r>
      <w:r>
        <w:rPr>
          <w:i/>
        </w:rPr>
        <w:t>Use when privileged delegation or app-only/service principal access is the core abuse mechanism.</w:t>
      </w:r>
    </w:p>
    <w:p w14:paraId="493DEC1B" w14:textId="77777777" w:rsidR="004E1F80" w:rsidRDefault="00000000">
      <w:pPr>
        <w:rPr>
          <w:i/>
        </w:rPr>
      </w:pPr>
      <w:r>
        <w:rPr>
          <w:b/>
        </w:rPr>
        <w:t xml:space="preserve">Cross-app OAuth attack (COAT/CORF) via integration platform: </w:t>
      </w:r>
      <w:r>
        <w:t xml:space="preserve">An integration hub design flaw enables cross-app pivoting or authorization confusion. </w:t>
      </w:r>
      <w:r>
        <w:rPr>
          <w:i/>
        </w:rPr>
        <w:t>Use only when an integration platform mediates the abuse across connected apps.</w:t>
      </w:r>
    </w:p>
    <w:p w14:paraId="7CD8B3ED" w14:textId="3DB41F67" w:rsidR="00C10E56" w:rsidRPr="004E1F80" w:rsidRDefault="004E1F80">
      <w:pPr>
        <w:rPr>
          <w:iCs/>
        </w:rPr>
      </w:pPr>
      <w:r w:rsidRPr="004E1F80">
        <w:rPr>
          <w:b/>
          <w:bCs/>
          <w:iCs/>
        </w:rPr>
        <w:t>Token forgery / signing-key abuse (forged JWT/bearer token)</w:t>
      </w:r>
      <w:r>
        <w:rPr>
          <w:b/>
          <w:bCs/>
          <w:iCs/>
        </w:rPr>
        <w:t xml:space="preserve">: </w:t>
      </w:r>
    </w:p>
    <w:p w14:paraId="207B8D07" w14:textId="77777777" w:rsidR="00C10E56" w:rsidRDefault="00000000">
      <w:r>
        <w:rPr>
          <w:b/>
        </w:rPr>
        <w:lastRenderedPageBreak/>
        <w:t xml:space="preserve">Other / Unknown: </w:t>
      </w:r>
      <w:r>
        <w:t xml:space="preserve">Mechanism cannot be confidently mapped to the categories above. </w:t>
      </w:r>
      <w:r>
        <w:rPr>
          <w:i/>
        </w:rPr>
        <w:t>Use sparingly.</w:t>
      </w:r>
    </w:p>
    <w:p w14:paraId="3EDDF7D2" w14:textId="77777777" w:rsidR="00C10E56" w:rsidRDefault="00000000">
      <w:pPr>
        <w:pStyle w:val="Heading3"/>
      </w:pPr>
      <w:r>
        <w:t>Decision rules for common Attack_Type confusion</w:t>
      </w:r>
    </w:p>
    <w:p w14:paraId="6479088E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COAT/CORF vs. trusted integration abuse: use cross-app OAuth attack only when the incident depends on an integration-platform design flaw that lets the attacker pivot across connected apps without compromising the target app directly.</w:t>
      </w:r>
    </w:p>
    <w:p w14:paraId="124A248D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Bearer token replay vs. trusted integration abuse: use bearer token replay for stolen user/session-level artifacts; use trusted integration abuse when the abused identity is explicitly a legitimate third-party integration or workload identity.</w:t>
      </w:r>
    </w:p>
    <w:p w14:paraId="4168FD74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Consent phishing vs. authorization-code interception: use consent phishing when consent is the critical enabling step; use code interception when the authorization response is captured before token issuance.</w:t>
      </w:r>
    </w:p>
    <w:p w14:paraId="73D028E0" w14:textId="77777777" w:rsidR="00C10E56" w:rsidRDefault="00000000">
      <w:pPr>
        <w:pStyle w:val="Heading2"/>
      </w:pPr>
      <w:r>
        <w:t>Entry_Vector</w:t>
      </w:r>
    </w:p>
    <w:p w14:paraId="13BCFC22" w14:textId="77777777" w:rsidR="00C10E56" w:rsidRDefault="00000000">
      <w:r>
        <w:rPr>
          <w:b/>
        </w:rPr>
        <w:t xml:space="preserve">User interaction (phishing/social engineering): </w:t>
      </w:r>
      <w:r>
        <w:t xml:space="preserve">Victim user performs an action to complete authentication or authorization. </w:t>
      </w:r>
      <w:r>
        <w:rPr>
          <w:i/>
        </w:rPr>
        <w:t>Includes malicious links, prompts, vishing, or device-code instructions for non-admin users.</w:t>
      </w:r>
    </w:p>
    <w:p w14:paraId="54216769" w14:textId="77777777" w:rsidR="00C10E56" w:rsidRDefault="00000000">
      <w:r>
        <w:rPr>
          <w:b/>
        </w:rPr>
        <w:t xml:space="preserve">Admin interaction (consent/social engineering): </w:t>
      </w:r>
      <w:r>
        <w:t xml:space="preserve">The action is performed by an administrator or high-privilege role. </w:t>
      </w:r>
      <w:r>
        <w:rPr>
          <w:i/>
        </w:rPr>
        <w:t>Use when admin consent or admin-completed authentication is central.</w:t>
      </w:r>
    </w:p>
    <w:p w14:paraId="208916CA" w14:textId="77777777" w:rsidR="00C10E56" w:rsidRDefault="00000000">
      <w:r>
        <w:rPr>
          <w:b/>
        </w:rPr>
        <w:t xml:space="preserve">Compromised account: </w:t>
      </w:r>
      <w:r>
        <w:t xml:space="preserve">Attacker gains control of a user or admin account and uses it to modify apps, grant consent, or access SaaS data. </w:t>
      </w:r>
      <w:r>
        <w:rPr>
          <w:i/>
        </w:rPr>
        <w:t>Note privilege level in Notes when known.</w:t>
      </w:r>
    </w:p>
    <w:p w14:paraId="463C0F96" w14:textId="77777777" w:rsidR="00C10E56" w:rsidRDefault="00000000">
      <w:r>
        <w:rPr>
          <w:b/>
        </w:rPr>
        <w:t xml:space="preserve">Token stolen (endpoint/logs/session artifacts): </w:t>
      </w:r>
      <w:r>
        <w:t xml:space="preserve">Attacker obtains tokens or session artifacts without requiring a fresh user action. </w:t>
      </w:r>
      <w:r>
        <w:rPr>
          <w:i/>
        </w:rPr>
        <w:t>Examples: browser storage, logs, proxy tooling, endpoint compromise.</w:t>
      </w:r>
    </w:p>
    <w:p w14:paraId="092EBCEB" w14:textId="77777777" w:rsidR="00C10E56" w:rsidRDefault="00000000">
      <w:r>
        <w:rPr>
          <w:b/>
        </w:rPr>
        <w:t xml:space="preserve">Leaked client secret / credential: </w:t>
      </w:r>
      <w:r>
        <w:t xml:space="preserve">Attacker obtains a workload or app credential. </w:t>
      </w:r>
      <w:r>
        <w:rPr>
          <w:i/>
        </w:rPr>
        <w:t>Examples: client secret, certificate, API key, service principal credential.</w:t>
      </w:r>
    </w:p>
    <w:p w14:paraId="61124B86" w14:textId="77777777" w:rsidR="00C10E56" w:rsidRDefault="00000000">
      <w:pPr>
        <w:rPr>
          <w:i/>
        </w:rPr>
      </w:pPr>
      <w:r>
        <w:rPr>
          <w:b/>
        </w:rPr>
        <w:t xml:space="preserve">Third-party integration compromise: </w:t>
      </w:r>
      <w:r>
        <w:t xml:space="preserve">Access originates from compromise of a legitimate vendor or integration with existing tenant access. </w:t>
      </w:r>
      <w:r>
        <w:rPr>
          <w:i/>
        </w:rPr>
        <w:t>Use for supply-chain or integration blast-radius scenarios.</w:t>
      </w:r>
    </w:p>
    <w:p w14:paraId="147E3EBB" w14:textId="627DA3AF" w:rsidR="003B1777" w:rsidRPr="003B1777" w:rsidRDefault="003B1777">
      <w:r w:rsidRPr="003B1777">
        <w:rPr>
          <w:b/>
          <w:bCs/>
        </w:rPr>
        <w:t>Provider / IdP-side key or credential compromise</w:t>
      </w:r>
      <w:r>
        <w:rPr>
          <w:b/>
          <w:bCs/>
        </w:rPr>
        <w:t xml:space="preserve">: </w:t>
      </w:r>
    </w:p>
    <w:p w14:paraId="15E850D0" w14:textId="77777777" w:rsidR="00C10E56" w:rsidRDefault="00000000">
      <w:r>
        <w:rPr>
          <w:b/>
        </w:rPr>
        <w:t xml:space="preserve">Other / Unknown: </w:t>
      </w:r>
      <w:r>
        <w:t xml:space="preserve">Not enough detail to classify. </w:t>
      </w:r>
      <w:r>
        <w:rPr>
          <w:i/>
        </w:rPr>
        <w:t>Use only when the report still supports inclusion overall.</w:t>
      </w:r>
    </w:p>
    <w:p w14:paraId="0C70FC14" w14:textId="77777777" w:rsidR="00C10E56" w:rsidRDefault="00000000">
      <w:pPr>
        <w:pStyle w:val="Heading2"/>
      </w:pPr>
      <w:r>
        <w:t>Misconfig</w:t>
      </w:r>
    </w:p>
    <w:p w14:paraId="65834DCD" w14:textId="030D407D" w:rsidR="00C10E56" w:rsidRDefault="00605913">
      <w:r>
        <w:rPr>
          <w:b/>
        </w:rPr>
        <w:t xml:space="preserve">User consent policy too permissive: </w:t>
      </w:r>
      <w:r>
        <w:t xml:space="preserve">Delegated consent is allowed too broadly, enabling attacker-controlled apps to gain meaningful access via consent. </w:t>
      </w:r>
      <w:r>
        <w:rPr>
          <w:i/>
        </w:rPr>
        <w:t>Use when user consent is enabled for risky scopes or low-friction approval.</w:t>
      </w:r>
    </w:p>
    <w:p w14:paraId="794C96B3" w14:textId="77777777" w:rsidR="00C10E56" w:rsidRDefault="00000000">
      <w:r>
        <w:rPr>
          <w:b/>
        </w:rPr>
        <w:t xml:space="preserve">Admin consent governance weak: </w:t>
      </w:r>
      <w:r>
        <w:t xml:space="preserve">Admin consent can be granted too easily or without adequate review. </w:t>
      </w:r>
      <w:r>
        <w:rPr>
          <w:i/>
        </w:rPr>
        <w:t>Use when admin approval is the pivotal enabling step.</w:t>
      </w:r>
    </w:p>
    <w:p w14:paraId="0A3E3A15" w14:textId="6D540102" w:rsidR="00C10E56" w:rsidRDefault="00605913">
      <w:r>
        <w:rPr>
          <w:b/>
        </w:rPr>
        <w:t xml:space="preserve">App trust restrictions weak: </w:t>
      </w:r>
      <w:r>
        <w:t xml:space="preserve">Trust signals such as publisher verification, allowlisting, or tenant restrictions are not used to scrutinize risky apps. </w:t>
      </w:r>
      <w:r>
        <w:rPr>
          <w:i/>
        </w:rPr>
        <w:t>Use when an untrusted or weakly verified app could operate because trust gates were missing.</w:t>
      </w:r>
    </w:p>
    <w:p w14:paraId="1046DE38" w14:textId="2D1CCBDE" w:rsidR="00C10E56" w:rsidRDefault="00000000">
      <w:r>
        <w:rPr>
          <w:b/>
        </w:rPr>
        <w:t xml:space="preserve">Over-privileged scopes/roles: </w:t>
      </w:r>
      <w:r w:rsidR="00E75AEA" w:rsidRPr="00E75AEA">
        <w:t xml:space="preserve">OAuth permissions, app-only permissions, impersonation rights, or cloud roles exceed business need and materially increase what the attacker can do after access is obtained. </w:t>
      </w:r>
      <w:r w:rsidR="00E75AEA" w:rsidRPr="00E75AEA">
        <w:rPr>
          <w:i/>
          <w:iCs/>
        </w:rPr>
        <w:t xml:space="preserve">Use when </w:t>
      </w:r>
      <w:r w:rsidR="00E75AEA" w:rsidRPr="00E75AEA">
        <w:rPr>
          <w:i/>
          <w:iCs/>
        </w:rPr>
        <w:lastRenderedPageBreak/>
        <w:t>excessive delegated scopes, app-only mailbox/API permissions, impersonation-style privileges, or high cloud roles drive privilege, reach, or blast radius more than the identity model itself.</w:t>
      </w:r>
    </w:p>
    <w:p w14:paraId="09C7D2BA" w14:textId="77777777" w:rsidR="00C10E56" w:rsidRDefault="00000000">
      <w:r>
        <w:rPr>
          <w:b/>
        </w:rPr>
        <w:t xml:space="preserve">Token lifecycle controls weak: </w:t>
      </w:r>
      <w:r>
        <w:t xml:space="preserve">Token lifetime, reuse, or revocation behavior materially extends attacker access. </w:t>
      </w:r>
      <w:r>
        <w:rPr>
          <w:i/>
        </w:rPr>
        <w:t>Use when refresh-token persistence or revocation limitations are central.</w:t>
      </w:r>
    </w:p>
    <w:p w14:paraId="51EBEEE1" w14:textId="717535C4" w:rsidR="00C10E56" w:rsidRDefault="004F413A">
      <w:r w:rsidRPr="004F413A">
        <w:rPr>
          <w:b/>
        </w:rPr>
        <w:t>Credential / key material hygiene weak</w:t>
      </w:r>
      <w:r>
        <w:rPr>
          <w:b/>
        </w:rPr>
        <w:t xml:space="preserve">: </w:t>
      </w:r>
      <w:r>
        <w:t xml:space="preserve">Client secrets/certificates are poorly protected, managed, or rotated. </w:t>
      </w:r>
      <w:r>
        <w:rPr>
          <w:i/>
        </w:rPr>
        <w:t>Use when secret or certificate handling is the enabling condition.</w:t>
      </w:r>
    </w:p>
    <w:p w14:paraId="63380840" w14:textId="77777777" w:rsidR="00C10E56" w:rsidRDefault="00000000">
      <w:r>
        <w:rPr>
          <w:b/>
        </w:rPr>
        <w:t xml:space="preserve">OAuth flow / client hardening gaps: </w:t>
      </w:r>
      <w:r>
        <w:t xml:space="preserve">Risky flows or weak client constraints enable token acquisition or misuse. </w:t>
      </w:r>
      <w:r>
        <w:rPr>
          <w:i/>
        </w:rPr>
        <w:t>Use when device code abuse, missing PKCE, weak redirect URI constraints, or legacy flow enablement dominate.</w:t>
      </w:r>
    </w:p>
    <w:p w14:paraId="77A16945" w14:textId="77777777" w:rsidR="00C10E56" w:rsidRDefault="00000000">
      <w:r>
        <w:rPr>
          <w:b/>
        </w:rPr>
        <w:t xml:space="preserve">Workload identity / domain-wide delegation risky: </w:t>
      </w:r>
      <w:r>
        <w:t xml:space="preserve">High-privilege workload identity patterns are enabled without sufficient guardrails. </w:t>
      </w:r>
      <w:r>
        <w:rPr>
          <w:i/>
        </w:rPr>
        <w:t>Use when tenant-wide app access or delegated workload patterns are the core enabler.</w:t>
      </w:r>
    </w:p>
    <w:p w14:paraId="06507D19" w14:textId="77777777" w:rsidR="00C10E56" w:rsidRDefault="00000000">
      <w:r>
        <w:rPr>
          <w:b/>
        </w:rPr>
        <w:t xml:space="preserve">Third-party integration governance weak: </w:t>
      </w:r>
      <w:r>
        <w:t xml:space="preserve">Trusted integrations are not sufficiently inventoried, constrained, or re-certified. </w:t>
      </w:r>
      <w:r>
        <w:rPr>
          <w:i/>
        </w:rPr>
        <w:t>Use when a legitimate integration’s posture or governance is the real gap.</w:t>
      </w:r>
    </w:p>
    <w:p w14:paraId="58DBD377" w14:textId="77777777" w:rsidR="00C10E56" w:rsidRDefault="00000000">
      <w:pPr>
        <w:rPr>
          <w:i/>
        </w:rPr>
      </w:pPr>
      <w:r>
        <w:rPr>
          <w:b/>
        </w:rPr>
        <w:t xml:space="preserve">Monitoring / audit visibility insufficient: </w:t>
      </w:r>
      <w:r>
        <w:t xml:space="preserve">Logging, retention, or visibility is inadequate to surface suspicious OAuth/app activity or downstream API abuse. </w:t>
      </w:r>
      <w:r>
        <w:rPr>
          <w:i/>
        </w:rPr>
        <w:t>Use only when the report explicitly makes visibility a material issue rather than a generic recommendation.</w:t>
      </w:r>
    </w:p>
    <w:p w14:paraId="4C9247B3" w14:textId="4F53EDDF" w:rsidR="00B9072A" w:rsidRPr="00B9072A" w:rsidRDefault="00B9072A">
      <w:r w:rsidRPr="00B9072A">
        <w:rPr>
          <w:b/>
          <w:bCs/>
        </w:rPr>
        <w:t>Token validation / issuer trust failure:</w:t>
      </w:r>
      <w:r>
        <w:t xml:space="preserve"> </w:t>
      </w:r>
    </w:p>
    <w:p w14:paraId="6C4103C9" w14:textId="7E529B0E" w:rsidR="00B9072A" w:rsidRPr="00B9072A" w:rsidRDefault="00B9072A">
      <w:r w:rsidRPr="00B9072A">
        <w:rPr>
          <w:b/>
          <w:bCs/>
        </w:rPr>
        <w:t>OAuth app governance weak</w:t>
      </w:r>
      <w:r>
        <w:rPr>
          <w:b/>
          <w:bCs/>
        </w:rPr>
        <w:t>:</w:t>
      </w:r>
      <w:r>
        <w:t xml:space="preserve"> </w:t>
      </w:r>
      <w:r w:rsidRPr="00B9072A">
        <w:t xml:space="preserve">Governance over who can create, register, credential, or materially modify OAuth applications is insufficient. </w:t>
      </w:r>
      <w:r w:rsidRPr="00B9072A">
        <w:rPr>
          <w:i/>
          <w:iCs/>
        </w:rPr>
        <w:t>Use when attacker success depends on easy app creation, app credential addition, or weak review of app-object changes, rather than on broad consent policy or missing trust gates alone.</w:t>
      </w:r>
    </w:p>
    <w:p w14:paraId="044C5C98" w14:textId="77777777" w:rsidR="00C10E56" w:rsidRDefault="00000000">
      <w:r>
        <w:rPr>
          <w:b/>
        </w:rPr>
        <w:t xml:space="preserve">Other / Unknown: </w:t>
      </w:r>
      <w:r>
        <w:t xml:space="preserve">The source does not provide enough detail to map confidently. </w:t>
      </w:r>
      <w:r>
        <w:rPr>
          <w:i/>
        </w:rPr>
        <w:t>Use sparingly.</w:t>
      </w:r>
    </w:p>
    <w:p w14:paraId="0088D6F7" w14:textId="77777777" w:rsidR="00C10E56" w:rsidRDefault="00000000">
      <w:pPr>
        <w:pStyle w:val="Heading3"/>
      </w:pPr>
      <w:r>
        <w:t>Special caution: Monitoring / audit visibility insufficient</w:t>
      </w:r>
    </w:p>
    <w:p w14:paraId="1CAB677F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Use this category only when the source explicitly describes a real visibility failure mode, missing logging/retention, attacker evasion of logs, or specific monitoring guidance treated as central to the incident.</w:t>
      </w:r>
    </w:p>
    <w:p w14:paraId="76AE3B97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Do not use it merely because the source ends with a generic recommendation to monitor logs.</w:t>
      </w:r>
    </w:p>
    <w:p w14:paraId="15310E00" w14:textId="77777777" w:rsidR="00C10E56" w:rsidRDefault="00000000">
      <w:pPr>
        <w:pStyle w:val="Heading2"/>
      </w:pPr>
      <w:r>
        <w:t>Controls</w:t>
      </w:r>
    </w:p>
    <w:p w14:paraId="15F2D4B8" w14:textId="5AFB48EA" w:rsidR="00C10E56" w:rsidRDefault="00C330BA">
      <w:r w:rsidRPr="00C330BA">
        <w:rPr>
          <w:b/>
        </w:rPr>
        <w:t>User consent restrictions / risk-based approval</w:t>
      </w:r>
      <w:r>
        <w:rPr>
          <w:b/>
        </w:rPr>
        <w:t xml:space="preserve">: </w:t>
      </w:r>
      <w:r>
        <w:t xml:space="preserve">Controls that constrain delegated user consent via restrictions, approval workflows, or risk-based gating. </w:t>
      </w:r>
      <w:r>
        <w:rPr>
          <w:i/>
        </w:rPr>
        <w:t>Use when user consent was too easy.</w:t>
      </w:r>
    </w:p>
    <w:p w14:paraId="1FD74B98" w14:textId="77777777" w:rsidR="00C10E56" w:rsidRDefault="00000000">
      <w:r>
        <w:rPr>
          <w:b/>
        </w:rPr>
        <w:t xml:space="preserve">Admin consent approval workflow: </w:t>
      </w:r>
      <w:r>
        <w:t xml:space="preserve">Controls that impose review, verification, and approval gates for privileged consent. </w:t>
      </w:r>
      <w:r>
        <w:rPr>
          <w:i/>
        </w:rPr>
        <w:t>Use when admin-granted permissions were central.</w:t>
      </w:r>
    </w:p>
    <w:p w14:paraId="217BDB44" w14:textId="77777777" w:rsidR="00C10E56" w:rsidRDefault="00000000">
      <w:r>
        <w:rPr>
          <w:b/>
        </w:rPr>
        <w:t xml:space="preserve">Periodic OAuth app access review (inventory + recertification): </w:t>
      </w:r>
      <w:r>
        <w:t xml:space="preserve">Routine inventorying and recertification of OAuth apps, integrations, and permissions. </w:t>
      </w:r>
      <w:r>
        <w:rPr>
          <w:i/>
        </w:rPr>
        <w:t>Use when trusted access persisted without periodic review.</w:t>
      </w:r>
    </w:p>
    <w:p w14:paraId="27977966" w14:textId="77777777" w:rsidR="00C10E56" w:rsidRDefault="00000000">
      <w:r>
        <w:rPr>
          <w:b/>
        </w:rPr>
        <w:t xml:space="preserve">App allowlisting / tenant restrictions: </w:t>
      </w:r>
      <w:r>
        <w:t xml:space="preserve">Only specific apps, tenants, or publishers are permitted. </w:t>
      </w:r>
      <w:r>
        <w:rPr>
          <w:i/>
        </w:rPr>
        <w:t>Use when arbitrary apps or tenants should not have been allowed.</w:t>
      </w:r>
    </w:p>
    <w:p w14:paraId="791912A5" w14:textId="77777777" w:rsidR="00C10E56" w:rsidRDefault="00000000">
      <w:r>
        <w:rPr>
          <w:b/>
        </w:rPr>
        <w:t xml:space="preserve">Trusted publisher enforcement (publisher verification): </w:t>
      </w:r>
      <w:r>
        <w:t xml:space="preserve">Trust gating based on verified publisher identity or equivalent signals. </w:t>
      </w:r>
      <w:r>
        <w:rPr>
          <w:i/>
        </w:rPr>
        <w:t>Use when unverified publishers or weak trust signals enabled the abuse.</w:t>
      </w:r>
    </w:p>
    <w:p w14:paraId="51ED46EA" w14:textId="77777777" w:rsidR="00C10E56" w:rsidRDefault="00000000">
      <w:r>
        <w:rPr>
          <w:b/>
        </w:rPr>
        <w:lastRenderedPageBreak/>
        <w:t xml:space="preserve">Restrict who can register OAuth apps: </w:t>
      </w:r>
      <w:r>
        <w:t xml:space="preserve">Tenant policy limits who can create or register OAuth clients. </w:t>
      </w:r>
      <w:r>
        <w:rPr>
          <w:i/>
        </w:rPr>
        <w:t>Use when low-privilege or inappropriate actors could register apps.</w:t>
      </w:r>
    </w:p>
    <w:p w14:paraId="16C66C55" w14:textId="77777777" w:rsidR="00C10E56" w:rsidRDefault="00000000">
      <w:r>
        <w:rPr>
          <w:b/>
        </w:rPr>
        <w:t xml:space="preserve">Least-privilege scope policy (limit high-risk scopes): </w:t>
      </w:r>
      <w:r>
        <w:t xml:space="preserve">Policies and processes constrain permissions and roles to business need. </w:t>
      </w:r>
      <w:r>
        <w:rPr>
          <w:i/>
        </w:rPr>
        <w:t>Use when impact depends on excessive delegated or app-only rights.</w:t>
      </w:r>
    </w:p>
    <w:p w14:paraId="5536ACE1" w14:textId="77777777" w:rsidR="00C10E56" w:rsidRDefault="00000000">
      <w:r>
        <w:rPr>
          <w:b/>
        </w:rPr>
        <w:t xml:space="preserve">Conditional Access / policy-based access restrictions: </w:t>
      </w:r>
      <w:r>
        <w:t xml:space="preserve">Policy-based restrictions on sessions, device conditions, location, and flow usage. </w:t>
      </w:r>
      <w:r>
        <w:rPr>
          <w:i/>
        </w:rPr>
        <w:t>Use when prevention depends on policy conditions or blocking risky flows.</w:t>
      </w:r>
    </w:p>
    <w:p w14:paraId="2D930FD4" w14:textId="77777777" w:rsidR="00C10E56" w:rsidRDefault="00000000">
      <w:r>
        <w:rPr>
          <w:b/>
        </w:rPr>
        <w:t xml:space="preserve">Token revocation + session termination playbook: </w:t>
      </w:r>
      <w:r>
        <w:t xml:space="preserve">Operational ability to rapidly revoke tokens and terminate sessions. </w:t>
      </w:r>
      <w:r>
        <w:rPr>
          <w:i/>
        </w:rPr>
        <w:t>Use when containment speed or practiced playbooks mattered.</w:t>
      </w:r>
    </w:p>
    <w:p w14:paraId="7DD2F48E" w14:textId="77777777" w:rsidR="00C10E56" w:rsidRDefault="00000000">
      <w:r>
        <w:rPr>
          <w:b/>
        </w:rPr>
        <w:t xml:space="preserve">Refresh token lifetime / rotation policy: </w:t>
      </w:r>
      <w:r>
        <w:t xml:space="preserve">Controls that reduce refresh-token persistence value. </w:t>
      </w:r>
      <w:r>
        <w:rPr>
          <w:i/>
        </w:rPr>
        <w:t>Use when refresh-token longevity or rotation is central.</w:t>
      </w:r>
    </w:p>
    <w:p w14:paraId="20FCE2CD" w14:textId="751A1A0C" w:rsidR="00C10E56" w:rsidRDefault="00DC0FE9">
      <w:r w:rsidRPr="00DC0FE9">
        <w:rPr>
          <w:b/>
        </w:rPr>
        <w:t>Credential / key material management (storage + rotation)</w:t>
      </w:r>
      <w:r>
        <w:rPr>
          <w:b/>
        </w:rPr>
        <w:t xml:space="preserve">: </w:t>
      </w:r>
      <w:r>
        <w:t xml:space="preserve">Secure storage, restricted access, rotation cadence, and monitoring for client credentials. </w:t>
      </w:r>
      <w:r>
        <w:rPr>
          <w:i/>
        </w:rPr>
        <w:t>Use when secret or certificate compromise is causal.</w:t>
      </w:r>
    </w:p>
    <w:p w14:paraId="209585A7" w14:textId="77777777" w:rsidR="00C10E56" w:rsidRDefault="00000000">
      <w:r>
        <w:rPr>
          <w:b/>
        </w:rPr>
        <w:t xml:space="preserve">OAuth client hardening (PKCE, redirect URI constraints, disable legacy flows): </w:t>
      </w:r>
      <w:r>
        <w:t xml:space="preserve">Client-configuration hardening to prevent unsafe flows or response interception. </w:t>
      </w:r>
      <w:r>
        <w:rPr>
          <w:i/>
        </w:rPr>
        <w:t>Use when flow/client hardening is the prevention story.</w:t>
      </w:r>
    </w:p>
    <w:p w14:paraId="23350D78" w14:textId="46DA828F" w:rsidR="00C10E56" w:rsidRPr="00E75AEA" w:rsidRDefault="00000000">
      <w:r>
        <w:rPr>
          <w:b/>
        </w:rPr>
        <w:t xml:space="preserve">Domain-wide delegation / workload identity governance: </w:t>
      </w:r>
      <w:r w:rsidR="00E75AEA" w:rsidRPr="00E75AEA">
        <w:t xml:space="preserve">Guardrails on privileged workload identities, app-only access, service principals, or tenant-wide delegated access are insufficient. </w:t>
      </w:r>
      <w:r w:rsidR="00E75AEA" w:rsidRPr="00E75AEA">
        <w:rPr>
          <w:i/>
          <w:iCs/>
        </w:rPr>
        <w:t>Use when the core problem is that a workload identity mechanism itself is too powerful, too broadly available, or too weakly governed, enabling durable or scalable access independent of ordinary user context.</w:t>
      </w:r>
    </w:p>
    <w:p w14:paraId="4552781B" w14:textId="77777777" w:rsidR="00C10E56" w:rsidRDefault="00000000">
      <w:r>
        <w:rPr>
          <w:b/>
        </w:rPr>
        <w:t xml:space="preserve">Logging enabled + adequate retention: </w:t>
      </w:r>
      <w:r>
        <w:t xml:space="preserve">Relevant audit logging is enabled and retained long enough for detection and investigation. </w:t>
      </w:r>
      <w:r>
        <w:rPr>
          <w:i/>
        </w:rPr>
        <w:t>Use when logging gaps hurt detection or response.</w:t>
      </w:r>
    </w:p>
    <w:p w14:paraId="07D6708A" w14:textId="77777777" w:rsidR="00C10E56" w:rsidRDefault="00000000">
      <w:r>
        <w:rPr>
          <w:b/>
        </w:rPr>
        <w:t xml:space="preserve">Alerting on consent/app changes: </w:t>
      </w:r>
      <w:r>
        <w:t xml:space="preserve">Alerts on app registration, consent grants, permission changes, or credential additions. </w:t>
      </w:r>
      <w:r>
        <w:rPr>
          <w:i/>
        </w:rPr>
        <w:t>Use when material configuration changes occurred without timely alerts.</w:t>
      </w:r>
    </w:p>
    <w:p w14:paraId="48A8119C" w14:textId="77777777" w:rsidR="00C10E56" w:rsidRDefault="00000000">
      <w:pPr>
        <w:rPr>
          <w:i/>
        </w:rPr>
      </w:pPr>
      <w:r>
        <w:rPr>
          <w:b/>
        </w:rPr>
        <w:t xml:space="preserve">Detection on anomalous OAuth/API behavior: </w:t>
      </w:r>
      <w:r>
        <w:t xml:space="preserve">Behavioral detection and hunting for suspicious OAuth usage and abnormal API activity. </w:t>
      </w:r>
      <w:r>
        <w:rPr>
          <w:i/>
        </w:rPr>
        <w:t>Use when anomaly-based detection is the key missing layer.</w:t>
      </w:r>
    </w:p>
    <w:p w14:paraId="208FAAEB" w14:textId="31867744" w:rsidR="00C8535D" w:rsidRPr="00C8535D" w:rsidRDefault="00C8535D">
      <w:r w:rsidRPr="00C8535D">
        <w:rPr>
          <w:b/>
          <w:bCs/>
        </w:rPr>
        <w:t>Token validation / issuer-binding hardening:</w:t>
      </w:r>
      <w:r>
        <w:rPr>
          <w:b/>
          <w:bCs/>
        </w:rPr>
        <w:t xml:space="preserve"> </w:t>
      </w:r>
    </w:p>
    <w:p w14:paraId="72B85F57" w14:textId="77777777" w:rsidR="00C10E56" w:rsidRDefault="00000000">
      <w:r>
        <w:rPr>
          <w:b/>
        </w:rPr>
        <w:t xml:space="preserve">Other / Unknown: </w:t>
      </w:r>
      <w:r>
        <w:t xml:space="preserve">Defensive gap is implied but not specific enough to map. </w:t>
      </w:r>
      <w:r>
        <w:rPr>
          <w:i/>
        </w:rPr>
        <w:t>Use sparingly.</w:t>
      </w:r>
    </w:p>
    <w:p w14:paraId="262E8C5C" w14:textId="77777777" w:rsidR="00C10E56" w:rsidRDefault="00000000">
      <w:pPr>
        <w:pStyle w:val="Heading2"/>
      </w:pPr>
      <w:r>
        <w:t>Confidence</w:t>
      </w:r>
    </w:p>
    <w:p w14:paraId="62CB73B8" w14:textId="77777777" w:rsidR="00C10E56" w:rsidRDefault="00000000">
      <w:r>
        <w:rPr>
          <w:b/>
        </w:rPr>
        <w:t xml:space="preserve">High: </w:t>
      </w:r>
      <w:r>
        <w:t>Explicitly stated by the source.</w:t>
      </w:r>
    </w:p>
    <w:p w14:paraId="322352EE" w14:textId="77777777" w:rsidR="00C10E56" w:rsidRDefault="00000000">
      <w:r>
        <w:rPr>
          <w:b/>
        </w:rPr>
        <w:t xml:space="preserve">Medium: </w:t>
      </w:r>
      <w:r>
        <w:t>Strongly implied by the source or by the incident timeline.</w:t>
      </w:r>
    </w:p>
    <w:p w14:paraId="10313C52" w14:textId="77777777" w:rsidR="00C10E56" w:rsidRDefault="00000000">
      <w:r>
        <w:rPr>
          <w:b/>
        </w:rPr>
        <w:t xml:space="preserve">Low: </w:t>
      </w:r>
      <w:r>
        <w:t>Inferred or unclear; use sparingly and explain in Notes when needed.</w:t>
      </w:r>
    </w:p>
    <w:p w14:paraId="4BE3D0AF" w14:textId="77777777" w:rsidR="00C10E56" w:rsidRDefault="00000000">
      <w:pPr>
        <w:pStyle w:val="Heading1"/>
      </w:pPr>
      <w:r>
        <w:t>10. Final reminders for coders</w:t>
      </w:r>
    </w:p>
    <w:p w14:paraId="7DC99A91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Prefer vendor-neutral coded labels; preserve vendor-specific wording in Notes.</w:t>
      </w:r>
    </w:p>
    <w:p w14:paraId="3A3BBA71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Use Notes to capture nuance, not to compensate for weak reasoning in structured fields.</w:t>
      </w:r>
    </w:p>
    <w:p w14:paraId="206C4E01" w14:textId="77777777" w:rsidR="00C10E56" w:rsidRDefault="00000000">
      <w:pPr>
        <w:spacing w:after="40"/>
        <w:ind w:left="288" w:hanging="259"/>
      </w:pPr>
      <w:r>
        <w:rPr>
          <w:b/>
        </w:rPr>
        <w:lastRenderedPageBreak/>
        <w:t xml:space="preserve">• </w:t>
      </w:r>
      <w:r>
        <w:t>When uncertain between two categories, prefer the one most proximal to the coded OAuth abuse chain’s key authorization, token acquisition, or persistence step.</w:t>
      </w:r>
    </w:p>
    <w:p w14:paraId="75F944BE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Do not overuse _2. A sparse but defensible secondary field is better than an inflated taxonomy.</w:t>
      </w:r>
    </w:p>
    <w:p w14:paraId="76CF18B1" w14:textId="77777777" w:rsidR="00C10E56" w:rsidRDefault="00000000">
      <w:pPr>
        <w:spacing w:after="40"/>
        <w:ind w:left="288" w:hanging="259"/>
      </w:pPr>
      <w:r>
        <w:rPr>
          <w:b/>
        </w:rPr>
        <w:t xml:space="preserve">• </w:t>
      </w:r>
      <w:r>
        <w:t>When presenting results, always specify whether the view is primary-only or any-occurrence.</w:t>
      </w:r>
    </w:p>
    <w:sectPr w:rsidR="00C10E56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710856">
    <w:abstractNumId w:val="8"/>
  </w:num>
  <w:num w:numId="2" w16cid:durableId="1776559804">
    <w:abstractNumId w:val="6"/>
  </w:num>
  <w:num w:numId="3" w16cid:durableId="294456783">
    <w:abstractNumId w:val="5"/>
  </w:num>
  <w:num w:numId="4" w16cid:durableId="194120886">
    <w:abstractNumId w:val="4"/>
  </w:num>
  <w:num w:numId="5" w16cid:durableId="1558471493">
    <w:abstractNumId w:val="7"/>
  </w:num>
  <w:num w:numId="6" w16cid:durableId="901987647">
    <w:abstractNumId w:val="3"/>
  </w:num>
  <w:num w:numId="7" w16cid:durableId="1511291081">
    <w:abstractNumId w:val="2"/>
  </w:num>
  <w:num w:numId="8" w16cid:durableId="672682345">
    <w:abstractNumId w:val="1"/>
  </w:num>
  <w:num w:numId="9" w16cid:durableId="679552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E06"/>
    <w:rsid w:val="000E5BF7"/>
    <w:rsid w:val="0015074B"/>
    <w:rsid w:val="0029639D"/>
    <w:rsid w:val="00326F90"/>
    <w:rsid w:val="003751BD"/>
    <w:rsid w:val="003B1777"/>
    <w:rsid w:val="004E1F80"/>
    <w:rsid w:val="004F413A"/>
    <w:rsid w:val="00605913"/>
    <w:rsid w:val="0072608C"/>
    <w:rsid w:val="00872038"/>
    <w:rsid w:val="009D188B"/>
    <w:rsid w:val="00AA1D8D"/>
    <w:rsid w:val="00B47730"/>
    <w:rsid w:val="00B9072A"/>
    <w:rsid w:val="00C10E56"/>
    <w:rsid w:val="00C330BA"/>
    <w:rsid w:val="00C8535D"/>
    <w:rsid w:val="00CB0664"/>
    <w:rsid w:val="00D1116C"/>
    <w:rsid w:val="00DC0FE9"/>
    <w:rsid w:val="00E75AEA"/>
    <w:rsid w:val="00F01364"/>
    <w:rsid w:val="00F15203"/>
    <w:rsid w:val="00F40A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6DF1F"/>
  <w14:defaultImageDpi w14:val="330"/>
  <w15:docId w15:val="{7EFCDD85-2341-46A0-A662-16890C7B4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rPr>
      <w:color w:val="666666"/>
      <w:sz w:val="18"/>
    </w:rPr>
  </w:style>
  <w:style w:type="paragraph" w:customStyle="1" w:styleId="NoteText">
    <w:name w:val="Note Text"/>
    <w:basedOn w:val="Normal"/>
    <w:pPr>
      <w:spacing w:before="40" w:after="40"/>
      <w:ind w:left="144" w:right="144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3268</Words>
  <Characters>18633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jap007</dc:creator>
  <cp:keywords/>
  <dc:description/>
  <cp:lastModifiedBy>jap007</cp:lastModifiedBy>
  <cp:revision>2</cp:revision>
  <dcterms:created xsi:type="dcterms:W3CDTF">2026-04-23T18:05:00Z</dcterms:created>
  <dcterms:modified xsi:type="dcterms:W3CDTF">2026-04-23T18:05:00Z</dcterms:modified>
  <cp:category/>
</cp:coreProperties>
</file>