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jc w:val="left"/>
      </w:pPr>
      <w:r>
        <w:rPr>
          <w:rFonts w:ascii="Arial" w:cs="Arial" w:eastAsia="Arial" w:hAnsi="Arial"/>
          <w:b/>
          <w:bCs/>
          <w:color w:val="1F6FEB"/>
          <w:spacing w:val="40"/>
          <w:sz w:val="22"/>
          <w:szCs w:val="22"/>
        </w:rPr>
        <w:t xml:space="preserve">PRODUCT REQUIREMENTS DOCUMENT</w:t>
      </w:r>
    </w:p>
    <w:p>
      <w:pPr>
        <w:spacing w:after="80"/>
      </w:pPr>
      <w:r>
        <w:rPr>
          <w:rFonts w:ascii="Arial" w:cs="Arial" w:eastAsia="Arial" w:hAnsi="Arial"/>
          <w:b/>
          <w:bCs/>
          <w:color w:val="0B2545"/>
          <w:sz w:val="56"/>
          <w:szCs w:val="56"/>
        </w:rPr>
        <w:t xml:space="preserve">HVAC MCP Server</w:t>
      </w:r>
    </w:p>
    <w:p>
      <w:pPr>
        <w:spacing w:after="400"/>
      </w:pPr>
      <w:r>
        <w:rPr>
          <w:rFonts w:ascii="Arial" w:cs="Arial" w:eastAsia="Arial" w:hAnsi="Arial"/>
          <w:i/>
          <w:iCs/>
          <w:color w:val="555555"/>
          <w:sz w:val="26"/>
          <w:szCs w:val="26"/>
        </w:rPr>
        <w:t xml:space="preserve">A vertical Model Context Protocol server for field-service trades</w:t>
      </w:r>
    </w:p>
    <w:p>
      <w:pPr>
        <w:pBdr>
          <w:top w:val="single" w:color="1F6FEB" w:sz="8" w:space="4"/>
        </w:pBdr>
        <w:spacing w:after="120" w:before="200"/>
      </w:pPr>
      <w: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600"/>
        <w:gridCol w:w="6760"/>
      </w:tblGrid>
      <w:tr>
        <w:trPr>
          <w:tblHeader/>
        </w:trPr>
        <w:tc>
          <w:tcPr>
            <w:tcW w:type="dxa" w:w="2600"/>
            <w:tcBorders>
              <w:top w:val="single" w:color="CCCCCC" w:sz="6"/>
              <w:left w:val="single" w:color="CCCCCC" w:sz="6"/>
              <w:bottom w:val="single" w:color="CCCCCC" w:sz="6"/>
              <w:right w:val="single" w:color="CCCCCC" w:sz="6"/>
            </w:tcBorders>
            <w:shd w:fill="0B2545" w:val="clear"/>
            <w:tcMar>
              <w:top w:type="dxa" w:w="100"/>
              <w:left w:type="dxa" w:w="140"/>
              <w:bottom w:type="dxa" w:w="100"/>
              <w:right w:type="dxa" w:w="140"/>
            </w:tcMar>
          </w:tcPr>
          <w:p>
            <w:pPr>
              <w:spacing w:after="0"/>
            </w:pPr>
            <w:r>
              <w:rPr>
                <w:rFonts w:ascii="Arial" w:cs="Arial" w:eastAsia="Arial" w:hAnsi="Arial"/>
                <w:b/>
                <w:bCs/>
                <w:color w:val="FFFFFF"/>
                <w:sz w:val="22"/>
                <w:szCs w:val="22"/>
              </w:rPr>
              <w:t xml:space="preserve">Field</w:t>
            </w:r>
          </w:p>
        </w:tc>
        <w:tc>
          <w:tcPr>
            <w:tcW w:type="dxa" w:w="6760"/>
            <w:tcBorders>
              <w:top w:val="single" w:color="CCCCCC" w:sz="6"/>
              <w:left w:val="single" w:color="CCCCCC" w:sz="6"/>
              <w:bottom w:val="single" w:color="CCCCCC" w:sz="6"/>
              <w:right w:val="single" w:color="CCCCCC" w:sz="6"/>
            </w:tcBorders>
            <w:shd w:fill="0B2545" w:val="clear"/>
            <w:tcMar>
              <w:top w:type="dxa" w:w="100"/>
              <w:left w:type="dxa" w:w="140"/>
              <w:bottom w:type="dxa" w:w="100"/>
              <w:right w:type="dxa" w:w="140"/>
            </w:tcMar>
          </w:tcPr>
          <w:p>
            <w:pPr>
              <w:spacing w:after="0"/>
            </w:pPr>
            <w:r>
              <w:rPr>
                <w:rFonts w:ascii="Arial" w:cs="Arial" w:eastAsia="Arial" w:hAnsi="Arial"/>
                <w:b/>
                <w:bCs/>
                <w:color w:val="FFFFFF"/>
                <w:sz w:val="22"/>
                <w:szCs w:val="22"/>
              </w:rPr>
              <w:t xml:space="preserve">Value</w:t>
            </w:r>
          </w:p>
        </w:tc>
      </w:tr>
      <w:tr>
        <w:trPr>
          <w:tblHeader w:val="false"/>
        </w:trPr>
        <w:tc>
          <w:tcPr>
            <w:tcW w:type="dxa" w:w="26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Document</w:t>
            </w:r>
          </w:p>
        </w:tc>
        <w:tc>
          <w:tcPr>
            <w:tcW w:type="dxa" w:w="676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PRD v1.0</w:t>
            </w:r>
          </w:p>
        </w:tc>
      </w:tr>
      <w:tr>
        <w:trPr>
          <w:tblHeader w:val="false"/>
        </w:trPr>
        <w:tc>
          <w:tcPr>
            <w:tcW w:type="dxa" w:w="260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Owner</w:t>
            </w:r>
          </w:p>
        </w:tc>
        <w:tc>
          <w:tcPr>
            <w:tcW w:type="dxa" w:w="676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Kollin Croyle (cybertec44@yahoo.com)</w:t>
            </w:r>
          </w:p>
        </w:tc>
      </w:tr>
      <w:tr>
        <w:trPr>
          <w:tblHeader w:val="false"/>
        </w:trPr>
        <w:tc>
          <w:tcPr>
            <w:tcW w:type="dxa" w:w="26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Date</w:t>
            </w:r>
          </w:p>
        </w:tc>
        <w:tc>
          <w:tcPr>
            <w:tcW w:type="dxa" w:w="676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April 17, 2026</w:t>
            </w:r>
          </w:p>
        </w:tc>
      </w:tr>
      <w:tr>
        <w:trPr>
          <w:tblHeader w:val="false"/>
        </w:trPr>
        <w:tc>
          <w:tcPr>
            <w:tcW w:type="dxa" w:w="260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Status</w:t>
            </w:r>
          </w:p>
        </w:tc>
        <w:tc>
          <w:tcPr>
            <w:tcW w:type="dxa" w:w="676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Draft — ready for build</w:t>
            </w:r>
          </w:p>
        </w:tc>
      </w:tr>
      <w:tr>
        <w:trPr>
          <w:tblHeader w:val="false"/>
        </w:trPr>
        <w:tc>
          <w:tcPr>
            <w:tcW w:type="dxa" w:w="26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Codename</w:t>
            </w:r>
          </w:p>
        </w:tc>
        <w:tc>
          <w:tcPr>
            <w:tcW w:type="dxa" w:w="676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hvac_mcp</w:t>
            </w:r>
          </w:p>
        </w:tc>
      </w:tr>
      <w:tr>
        <w:trPr>
          <w:tblHeader w:val="false"/>
        </w:trPr>
        <w:tc>
          <w:tcPr>
            <w:tcW w:type="dxa" w:w="260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Repo</w:t>
            </w:r>
          </w:p>
        </w:tc>
        <w:tc>
          <w:tcPr>
            <w:tcW w:type="dxa" w:w="676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github.com/cybertec44/hvac-mcp (TBD)</w:t>
            </w:r>
          </w:p>
        </w:tc>
      </w:tr>
      <w:tr>
        <w:trPr>
          <w:tblHeader w:val="false"/>
        </w:trPr>
        <w:tc>
          <w:tcPr>
            <w:tcW w:type="dxa" w:w="26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Landing</w:t>
            </w:r>
          </w:p>
        </w:tc>
        <w:tc>
          <w:tcPr>
            <w:tcW w:type="dxa" w:w="676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hvac-mcp.nightfast.tech (TBD)</w:t>
            </w:r>
          </w:p>
        </w:tc>
      </w:tr>
      <w:tr>
        <w:trPr>
          <w:tblHeader w:val="false"/>
        </w:trPr>
        <w:tc>
          <w:tcPr>
            <w:tcW w:type="dxa" w:w="260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Target v1 ship</w:t>
            </w:r>
          </w:p>
        </w:tc>
        <w:tc>
          <w:tcPr>
            <w:tcW w:type="dxa" w:w="676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7 days from kickoff</w:t>
            </w:r>
          </w:p>
        </w:tc>
      </w:tr>
    </w:tbl>
    <w:p>
      <w:r>
        <w:br w:type="page"/>
      </w:r>
    </w:p>
    <w:p>
      <w:pPr>
        <w:pStyle w:val="Heading1"/>
        <w:spacing w:after="200" w:before="400"/>
      </w:pPr>
      <w:r>
        <w:rPr>
          <w:rFonts w:ascii="Arial" w:cs="Arial" w:eastAsia="Arial" w:hAnsi="Arial"/>
          <w:b/>
          <w:bCs/>
          <w:color w:val="0B2545"/>
          <w:sz w:val="36"/>
          <w:szCs w:val="36"/>
        </w:rPr>
        <w:t xml:space="preserve">1. Executive Summary</w:t>
      </w:r>
    </w:p>
    <w:p>
      <w:pPr>
        <w:spacing w:after="120"/>
      </w:pPr>
      <w:r>
        <w:rPr>
          <w:rFonts w:ascii="Arial" w:cs="Arial" w:eastAsia="Arial" w:hAnsi="Arial"/>
          <w:sz w:val="22"/>
          <w:szCs w:val="22"/>
        </w:rPr>
        <w:t xml:space="preserve">HVAC MCP Server is a vertical Model Context Protocol server targeting solo and small-crew HVAC and plumbing technicians who already use an AI assistant (Claude, ChatGPT, Cursor) on their phones or tablets. Today those assistants are generalists — they do not know refrigerant pressure-temperature tables, Florida plumbing code amendments, or how to diagnose a superheat reading on a TXV system. This product turns any MCP-compatible client into a field-service-aware assistant by exposing trade-specific tools over a stable, open protocol.</w:t>
      </w:r>
    </w:p>
    <w:p>
      <w:pPr>
        <w:spacing w:after="120"/>
      </w:pPr>
      <w:r>
        <w:rPr>
          <w:rFonts w:ascii="Arial" w:cs="Arial" w:eastAsia="Arial" w:hAnsi="Arial"/>
          <w:sz w:val="22"/>
          <w:szCs w:val="22"/>
        </w:rPr>
        <w:t xml:space="preserve">The open-core tier ships free on GitHub and PyPI. The hosted premium tier charges $29/month for a URL that plugs directly into Claude Desktop, the Claude app, or ChatGPT custom connectors — no install, no configuration. Target launch is within seven days of build kickoff.</w:t>
      </w:r>
    </w:p>
    <w:p>
      <w:pPr>
        <w:pStyle w:val="Heading2"/>
        <w:spacing w:after="160" w:before="320"/>
      </w:pPr>
      <w:r>
        <w:rPr>
          <w:rFonts w:ascii="Arial" w:cs="Arial" w:eastAsia="Arial" w:hAnsi="Arial"/>
          <w:b/>
          <w:bCs/>
          <w:color w:val="0B2545"/>
          <w:sz w:val="28"/>
          <w:szCs w:val="28"/>
        </w:rPr>
        <w:t xml:space="preserve">1.1 Why this will work</w:t>
      </w:r>
    </w:p>
    <w:p>
      <w:pPr>
        <w:pStyle w:val="ListParagraph"/>
        <w:numPr>
          <w:ilvl w:val="0"/>
          <w:numId w:val="2"/>
        </w:numPr>
        <w:spacing w:after="80"/>
      </w:pPr>
      <w:r>
        <w:rPr>
          <w:rFonts w:ascii="Arial" w:cs="Arial" w:eastAsia="Arial" w:hAnsi="Arial"/>
          <w:sz w:val="22"/>
          <w:szCs w:val="22"/>
        </w:rPr>
        <w:t xml:space="preserve">No competing MCP server exists today for HVAC or plumbing trades — verified by searching awesome-mcp-servers lists and the MCP registry.</w:t>
      </w:r>
    </w:p>
    <w:p>
      <w:pPr>
        <w:pStyle w:val="ListParagraph"/>
        <w:numPr>
          <w:ilvl w:val="0"/>
          <w:numId w:val="2"/>
        </w:numPr>
        <w:spacing w:after="80"/>
      </w:pPr>
      <w:r>
        <w:rPr>
          <w:rFonts w:ascii="Arial" w:cs="Arial" w:eastAsia="Arial" w:hAnsi="Arial"/>
          <w:sz w:val="22"/>
          <w:szCs w:val="22"/>
        </w:rPr>
        <w:t xml:space="preserve">The operator is a working technician with EPA 608 Universal certification and 8+ years in the field. That credibility cannot be cloned by a generic SaaS team.</w:t>
      </w:r>
    </w:p>
    <w:p>
      <w:pPr>
        <w:pStyle w:val="ListParagraph"/>
        <w:numPr>
          <w:ilvl w:val="0"/>
          <w:numId w:val="2"/>
        </w:numPr>
        <w:spacing w:after="80"/>
      </w:pPr>
      <w:r>
        <w:rPr>
          <w:rFonts w:ascii="Arial" w:cs="Arial" w:eastAsia="Arial" w:hAnsi="Arial"/>
          <w:sz w:val="22"/>
          <w:szCs w:val="22"/>
        </w:rPr>
        <w:t xml:space="preserve">MCP adoption is rising fast through Claude Desktop, the Claude app, Claude Code, ChatGPT connectors, and Cursor. A vertical MCP is a one-time build that distributes across every one of those surfaces.</w:t>
      </w:r>
    </w:p>
    <w:p>
      <w:pPr>
        <w:pStyle w:val="ListParagraph"/>
        <w:numPr>
          <w:ilvl w:val="0"/>
          <w:numId w:val="2"/>
        </w:numPr>
        <w:spacing w:after="80"/>
      </w:pPr>
      <w:r>
        <w:rPr>
          <w:rFonts w:ascii="Arial" w:cs="Arial" w:eastAsia="Arial" w:hAnsi="Arial"/>
          <w:sz w:val="22"/>
          <w:szCs w:val="22"/>
        </w:rPr>
        <w:t xml:space="preserve">Contractors already pay for tools that save ten minutes on a job. A single avoided callback covers several months of subscription.</w:t>
      </w:r>
    </w:p>
    <w:p>
      <w:pPr>
        <w:pStyle w:val="Heading2"/>
        <w:spacing w:after="160" w:before="320"/>
      </w:pPr>
      <w:r>
        <w:rPr>
          <w:rFonts w:ascii="Arial" w:cs="Arial" w:eastAsia="Arial" w:hAnsi="Arial"/>
          <w:b/>
          <w:bCs/>
          <w:color w:val="0B2545"/>
          <w:sz w:val="28"/>
          <w:szCs w:val="28"/>
        </w:rPr>
        <w:t xml:space="preserve">1.2 Success definition for v1</w:t>
      </w:r>
    </w:p>
    <w:p>
      <w:pPr>
        <w:pStyle w:val="ListParagraph"/>
        <w:numPr>
          <w:ilvl w:val="0"/>
          <w:numId w:val="2"/>
        </w:numPr>
        <w:spacing w:after="80"/>
      </w:pPr>
      <w:r>
        <w:rPr>
          <w:rFonts w:ascii="Arial" w:cs="Arial" w:eastAsia="Arial" w:hAnsi="Arial"/>
          <w:sz w:val="22"/>
          <w:szCs w:val="22"/>
        </w:rPr>
        <w:t xml:space="preserve">Seven free-tier tools shipped, tested, and reachable from Claude Desktop over stdio.</w:t>
      </w:r>
    </w:p>
    <w:p>
      <w:pPr>
        <w:pStyle w:val="ListParagraph"/>
        <w:numPr>
          <w:ilvl w:val="0"/>
          <w:numId w:val="2"/>
        </w:numPr>
        <w:spacing w:after="80"/>
      </w:pPr>
      <w:r>
        <w:rPr>
          <w:rFonts w:ascii="Arial" w:cs="Arial" w:eastAsia="Arial" w:hAnsi="Arial"/>
          <w:sz w:val="22"/>
          <w:szCs w:val="22"/>
        </w:rPr>
        <w:t xml:space="preserve">Hosted HTTP endpoint live behind a license check on Railway or Fly.</w:t>
      </w:r>
    </w:p>
    <w:p>
      <w:pPr>
        <w:pStyle w:val="ListParagraph"/>
        <w:numPr>
          <w:ilvl w:val="0"/>
          <w:numId w:val="2"/>
        </w:numPr>
        <w:spacing w:after="80"/>
      </w:pPr>
      <w:r>
        <w:rPr>
          <w:rFonts w:ascii="Arial" w:cs="Arial" w:eastAsia="Arial" w:hAnsi="Arial"/>
          <w:sz w:val="22"/>
          <w:szCs w:val="22"/>
        </w:rPr>
        <w:t xml:space="preserve">Ten paying customers in the first 30 days post-launch ($290 MRR).</w:t>
      </w:r>
    </w:p>
    <w:p>
      <w:pPr>
        <w:pStyle w:val="ListParagraph"/>
        <w:numPr>
          <w:ilvl w:val="0"/>
          <w:numId w:val="2"/>
        </w:numPr>
        <w:spacing w:after="80"/>
      </w:pPr>
      <w:r>
        <w:rPr>
          <w:rFonts w:ascii="Arial" w:cs="Arial" w:eastAsia="Arial" w:hAnsi="Arial"/>
          <w:sz w:val="22"/>
          <w:szCs w:val="22"/>
        </w:rPr>
        <w:t xml:space="preserve">Public GitHub repo above 100 stars within 60 days.</w:t>
      </w:r>
    </w:p>
    <w:p>
      <w:r>
        <w:br w:type="page"/>
      </w:r>
    </w:p>
    <w:p>
      <w:pPr>
        <w:pStyle w:val="Heading1"/>
        <w:spacing w:after="200" w:before="400"/>
      </w:pPr>
      <w:r>
        <w:rPr>
          <w:rFonts w:ascii="Arial" w:cs="Arial" w:eastAsia="Arial" w:hAnsi="Arial"/>
          <w:b/>
          <w:bCs/>
          <w:color w:val="0B2545"/>
          <w:sz w:val="36"/>
          <w:szCs w:val="36"/>
        </w:rPr>
        <w:t xml:space="preserve">2. Problem Statement</w:t>
      </w:r>
    </w:p>
    <w:p>
      <w:pPr>
        <w:spacing w:after="120"/>
      </w:pPr>
      <w:r>
        <w:rPr>
          <w:rFonts w:ascii="Arial" w:cs="Arial" w:eastAsia="Arial" w:hAnsi="Arial"/>
          <w:sz w:val="22"/>
          <w:szCs w:val="22"/>
        </w:rPr>
        <w:t xml:space="preserve">A field technician working alone on a service call today has three bad options when they hit a question they cannot immediately answer:</w:t>
      </w:r>
    </w:p>
    <w:p>
      <w:pPr>
        <w:pStyle w:val="ListParagraph"/>
        <w:numPr>
          <w:ilvl w:val="0"/>
          <w:numId w:val="3"/>
        </w:numPr>
        <w:spacing w:after="80"/>
      </w:pPr>
      <w:r>
        <w:rPr>
          <w:rFonts w:ascii="Arial" w:cs="Arial" w:eastAsia="Arial" w:hAnsi="Arial"/>
          <w:sz w:val="22"/>
          <w:szCs w:val="22"/>
        </w:rPr>
        <w:t xml:space="preserve">Call a senior tech or the office, burning that person's time and slowing down the job.</w:t>
      </w:r>
    </w:p>
    <w:p>
      <w:pPr>
        <w:pStyle w:val="ListParagraph"/>
        <w:numPr>
          <w:ilvl w:val="0"/>
          <w:numId w:val="3"/>
        </w:numPr>
        <w:spacing w:after="80"/>
      </w:pPr>
      <w:r>
        <w:rPr>
          <w:rFonts w:ascii="Arial" w:cs="Arial" w:eastAsia="Arial" w:hAnsi="Arial"/>
          <w:sz w:val="22"/>
          <w:szCs w:val="22"/>
        </w:rPr>
        <w:t xml:space="preserve">Open a manufacturer app or PDF on their phone and hunt through a 200-page manual one-handed.</w:t>
      </w:r>
    </w:p>
    <w:p>
      <w:pPr>
        <w:pStyle w:val="ListParagraph"/>
        <w:numPr>
          <w:ilvl w:val="0"/>
          <w:numId w:val="3"/>
        </w:numPr>
        <w:spacing w:after="80"/>
      </w:pPr>
      <w:r>
        <w:rPr>
          <w:rFonts w:ascii="Arial" w:cs="Arial" w:eastAsia="Arial" w:hAnsi="Arial"/>
          <w:sz w:val="22"/>
          <w:szCs w:val="22"/>
        </w:rPr>
        <w:t xml:space="preserve">Ask ChatGPT or Claude and get a plausible-sounding generalist answer that may or may not be correct for the specific refrigerant, brand, or jurisdiction.</w:t>
      </w:r>
    </w:p>
    <w:p>
      <w:pPr>
        <w:spacing w:after="120"/>
      </w:pPr>
      <w:r>
        <w:rPr>
          <w:rFonts w:ascii="Arial" w:cs="Arial" w:eastAsia="Arial" w:hAnsi="Arial"/>
          <w:sz w:val="22"/>
          <w:szCs w:val="22"/>
        </w:rPr>
        <w:t xml:space="preserve">The third option is the fastest by far, and it is what technicians are already doing. But generalist LLMs hallucinate on refrigerant saturation values, misquote code sections, and mix up fault code systems between brands. They also cannot perform simple deterministic calculations — superheat, subcool, duct sizing, fixture unit pipe sizing — without a structured tool behind them.</w:t>
      </w:r>
    </w:p>
    <w:p>
      <w:pPr>
        <w:spacing w:after="120"/>
      </w:pPr>
      <w:r>
        <w:rPr>
          <w:rFonts w:ascii="Arial" w:cs="Arial" w:eastAsia="Arial" w:hAnsi="Arial"/>
          <w:sz w:val="22"/>
          <w:szCs w:val="22"/>
        </w:rPr>
        <w:t xml:space="preserve">HVAC MCP Server fills that gap. It gives the assistant the tool calls it needs to produce answers a working technician can actually trust.</w:t>
      </w:r>
    </w:p>
    <w:p>
      <w:pPr>
        <w:pStyle w:val="Heading1"/>
        <w:spacing w:after="200" w:before="400"/>
      </w:pPr>
      <w:r>
        <w:rPr>
          <w:rFonts w:ascii="Arial" w:cs="Arial" w:eastAsia="Arial" w:hAnsi="Arial"/>
          <w:b/>
          <w:bCs/>
          <w:color w:val="0B2545"/>
          <w:sz w:val="36"/>
          <w:szCs w:val="36"/>
        </w:rPr>
        <w:t xml:space="preserve">3. Target User</w:t>
      </w:r>
    </w:p>
    <w:p>
      <w:pPr>
        <w:pStyle w:val="Heading2"/>
        <w:spacing w:after="160" w:before="320"/>
      </w:pPr>
      <w:r>
        <w:rPr>
          <w:rFonts w:ascii="Arial" w:cs="Arial" w:eastAsia="Arial" w:hAnsi="Arial"/>
          <w:b/>
          <w:bCs/>
          <w:color w:val="0B2545"/>
          <w:sz w:val="28"/>
          <w:szCs w:val="28"/>
        </w:rPr>
        <w:t xml:space="preserve">3.1 Primary persona</w:t>
      </w:r>
    </w:p>
    <w:p>
      <w:pPr>
        <w:spacing w:after="120"/>
      </w:pPr>
      <w:r>
        <w:rPr>
          <w:rFonts w:ascii="Arial" w:cs="Arial" w:eastAsia="Arial" w:hAnsi="Arial"/>
          <w:sz w:val="22"/>
          <w:szCs w:val="22"/>
        </w:rPr>
        <w:t xml:space="preserve">"Mike, the owner-operator."</w:t>
      </w:r>
    </w:p>
    <w:p>
      <w:pPr>
        <w:pStyle w:val="ListParagraph"/>
        <w:numPr>
          <w:ilvl w:val="0"/>
          <w:numId w:val="2"/>
        </w:numPr>
        <w:spacing w:after="80"/>
      </w:pPr>
      <w:r>
        <w:rPr>
          <w:rFonts w:ascii="Arial" w:cs="Arial" w:eastAsia="Arial" w:hAnsi="Arial"/>
          <w:sz w:val="22"/>
          <w:szCs w:val="22"/>
        </w:rPr>
        <w:t xml:space="preserve">35–55 years old, 10–25 years in the trade, runs a one-to-three-person shop.</w:t>
      </w:r>
    </w:p>
    <w:p>
      <w:pPr>
        <w:pStyle w:val="ListParagraph"/>
        <w:numPr>
          <w:ilvl w:val="0"/>
          <w:numId w:val="2"/>
        </w:numPr>
        <w:spacing w:after="80"/>
      </w:pPr>
      <w:r>
        <w:rPr>
          <w:rFonts w:ascii="Arial" w:cs="Arial" w:eastAsia="Arial" w:hAnsi="Arial"/>
          <w:sz w:val="22"/>
          <w:szCs w:val="22"/>
        </w:rPr>
        <w:t xml:space="preserve">Already pays for Google Workspace, QuickBooks, and a field-service app (Jobber, Housecall Pro, ServiceTitan, or FieldPulse).</w:t>
      </w:r>
    </w:p>
    <w:p>
      <w:pPr>
        <w:pStyle w:val="ListParagraph"/>
        <w:numPr>
          <w:ilvl w:val="0"/>
          <w:numId w:val="2"/>
        </w:numPr>
        <w:spacing w:after="80"/>
      </w:pPr>
      <w:r>
        <w:rPr>
          <w:rFonts w:ascii="Arial" w:cs="Arial" w:eastAsia="Arial" w:hAnsi="Arial"/>
          <w:sz w:val="22"/>
          <w:szCs w:val="22"/>
        </w:rPr>
        <w:t xml:space="preserve">Uses ChatGPT or Claude on their phone several times a day — to draft quotes, check codes, and explain things to customers.</w:t>
      </w:r>
    </w:p>
    <w:p>
      <w:pPr>
        <w:pStyle w:val="ListParagraph"/>
        <w:numPr>
          <w:ilvl w:val="0"/>
          <w:numId w:val="2"/>
        </w:numPr>
        <w:spacing w:after="80"/>
      </w:pPr>
      <w:r>
        <w:rPr>
          <w:rFonts w:ascii="Arial" w:cs="Arial" w:eastAsia="Arial" w:hAnsi="Arial"/>
          <w:sz w:val="22"/>
          <w:szCs w:val="22"/>
        </w:rPr>
        <w:t xml:space="preserve">Cost-sensitive but not cheap: will pay $29–$99/month for something that saves him fifteen minutes a day.</w:t>
      </w:r>
    </w:p>
    <w:p>
      <w:pPr>
        <w:pStyle w:val="Heading2"/>
        <w:spacing w:after="160" w:before="320"/>
      </w:pPr>
      <w:r>
        <w:rPr>
          <w:rFonts w:ascii="Arial" w:cs="Arial" w:eastAsia="Arial" w:hAnsi="Arial"/>
          <w:b/>
          <w:bCs/>
          <w:color w:val="0B2545"/>
          <w:sz w:val="28"/>
          <w:szCs w:val="28"/>
        </w:rPr>
        <w:t xml:space="preserve">3.2 Secondary personas</w:t>
      </w:r>
    </w:p>
    <w:p>
      <w:pPr>
        <w:pStyle w:val="ListParagraph"/>
        <w:numPr>
          <w:ilvl w:val="0"/>
          <w:numId w:val="2"/>
        </w:numPr>
        <w:spacing w:after="80"/>
      </w:pPr>
      <w:r>
        <w:rPr>
          <w:rFonts w:ascii="Arial" w:cs="Arial" w:eastAsia="Arial" w:hAnsi="Arial"/>
          <w:sz w:val="22"/>
          <w:szCs w:val="22"/>
        </w:rPr>
        <w:t xml:space="preserve">Apprentices and second-year techs who are still learning diagnostics and need a fast sanity check before pulling the trigger on a repair.</w:t>
      </w:r>
    </w:p>
    <w:p>
      <w:pPr>
        <w:pStyle w:val="ListParagraph"/>
        <w:numPr>
          <w:ilvl w:val="0"/>
          <w:numId w:val="2"/>
        </w:numPr>
        <w:spacing w:after="80"/>
      </w:pPr>
      <w:r>
        <w:rPr>
          <w:rFonts w:ascii="Arial" w:cs="Arial" w:eastAsia="Arial" w:hAnsi="Arial"/>
          <w:sz w:val="22"/>
          <w:szCs w:val="22"/>
        </w:rPr>
        <w:t xml:space="preserve">Tool-forward AI enthusiasts building contractor-facing Claude workflows who want a ready-made trade knowledge source.</w:t>
      </w:r>
    </w:p>
    <w:p>
      <w:pPr>
        <w:pStyle w:val="ListParagraph"/>
        <w:numPr>
          <w:ilvl w:val="0"/>
          <w:numId w:val="2"/>
        </w:numPr>
        <w:spacing w:after="80"/>
      </w:pPr>
      <w:r>
        <w:rPr>
          <w:rFonts w:ascii="Arial" w:cs="Arial" w:eastAsia="Arial" w:hAnsi="Arial"/>
          <w:sz w:val="22"/>
          <w:szCs w:val="22"/>
        </w:rPr>
        <w:t xml:space="preserve">Property managers and facilities leads doing light in-house maintenance who need code and sizing guidance.</w:t>
      </w:r>
    </w:p>
    <w:p>
      <w:pPr>
        <w:pStyle w:val="Heading2"/>
        <w:spacing w:after="160" w:before="320"/>
      </w:pPr>
      <w:r>
        <w:rPr>
          <w:rFonts w:ascii="Arial" w:cs="Arial" w:eastAsia="Arial" w:hAnsi="Arial"/>
          <w:b/>
          <w:bCs/>
          <w:color w:val="0B2545"/>
          <w:sz w:val="28"/>
          <w:szCs w:val="28"/>
        </w:rPr>
        <w:t xml:space="preserve">3.3 Out of scope for v1</w:t>
      </w:r>
    </w:p>
    <w:p>
      <w:pPr>
        <w:pStyle w:val="ListParagraph"/>
        <w:numPr>
          <w:ilvl w:val="0"/>
          <w:numId w:val="2"/>
        </w:numPr>
        <w:spacing w:after="80"/>
      </w:pPr>
      <w:r>
        <w:rPr>
          <w:rFonts w:ascii="Arial" w:cs="Arial" w:eastAsia="Arial" w:hAnsi="Arial"/>
          <w:sz w:val="22"/>
          <w:szCs w:val="22"/>
        </w:rPr>
        <w:t xml:space="preserve">Large commercial mechanical contractors. They already run Trimble, Procore, or similar stacks.</w:t>
      </w:r>
    </w:p>
    <w:p>
      <w:pPr>
        <w:pStyle w:val="ListParagraph"/>
        <w:numPr>
          <w:ilvl w:val="0"/>
          <w:numId w:val="2"/>
        </w:numPr>
        <w:spacing w:after="80"/>
      </w:pPr>
      <w:r>
        <w:rPr>
          <w:rFonts w:ascii="Arial" w:cs="Arial" w:eastAsia="Arial" w:hAnsi="Arial"/>
          <w:sz w:val="22"/>
          <w:szCs w:val="22"/>
        </w:rPr>
        <w:t xml:space="preserve">Pure DIY homeowners. Willingness to pay is too low and the liability surface is wrong.</w:t>
      </w:r>
    </w:p>
    <w:p>
      <w:pPr>
        <w:pStyle w:val="ListParagraph"/>
        <w:numPr>
          <w:ilvl w:val="0"/>
          <w:numId w:val="2"/>
        </w:numPr>
        <w:spacing w:after="80"/>
      </w:pPr>
      <w:r>
        <w:rPr>
          <w:rFonts w:ascii="Arial" w:cs="Arial" w:eastAsia="Arial" w:hAnsi="Arial"/>
          <w:sz w:val="22"/>
          <w:szCs w:val="22"/>
        </w:rPr>
        <w:t xml:space="preserve">International users. Code, refrigerant, and voltage conventions differ. US-only for v1.</w:t>
      </w:r>
    </w:p>
    <w:p>
      <w:r>
        <w:br w:type="page"/>
      </w:r>
    </w:p>
    <w:p>
      <w:pPr>
        <w:pStyle w:val="Heading1"/>
        <w:spacing w:after="200" w:before="400"/>
      </w:pPr>
      <w:r>
        <w:rPr>
          <w:rFonts w:ascii="Arial" w:cs="Arial" w:eastAsia="Arial" w:hAnsi="Arial"/>
          <w:b/>
          <w:bCs/>
          <w:color w:val="0B2545"/>
          <w:sz w:val="36"/>
          <w:szCs w:val="36"/>
        </w:rPr>
        <w:t xml:space="preserve">4. Goals and Non-Goals</w:t>
      </w:r>
    </w:p>
    <w:p>
      <w:pPr>
        <w:pStyle w:val="Heading2"/>
        <w:spacing w:after="160" w:before="320"/>
      </w:pPr>
      <w:r>
        <w:rPr>
          <w:rFonts w:ascii="Arial" w:cs="Arial" w:eastAsia="Arial" w:hAnsi="Arial"/>
          <w:b/>
          <w:bCs/>
          <w:color w:val="0B2545"/>
          <w:sz w:val="28"/>
          <w:szCs w:val="28"/>
        </w:rPr>
        <w:t xml:space="preserve">4.1 Goals</w:t>
      </w:r>
    </w:p>
    <w:p>
      <w:pPr>
        <w:pStyle w:val="ListParagraph"/>
        <w:numPr>
          <w:ilvl w:val="0"/>
          <w:numId w:val="2"/>
        </w:numPr>
        <w:spacing w:after="80"/>
      </w:pPr>
      <w:r>
        <w:rPr>
          <w:rFonts w:ascii="Arial" w:cs="Arial" w:eastAsia="Arial" w:hAnsi="Arial"/>
          <w:sz w:val="22"/>
          <w:szCs w:val="22"/>
        </w:rPr>
        <w:t xml:space="preserve">Ship a working, installable MCP server within 7 days of build start.</w:t>
      </w:r>
    </w:p>
    <w:p>
      <w:pPr>
        <w:pStyle w:val="ListParagraph"/>
        <w:numPr>
          <w:ilvl w:val="0"/>
          <w:numId w:val="2"/>
        </w:numPr>
        <w:spacing w:after="80"/>
      </w:pPr>
      <w:r>
        <w:rPr>
          <w:rFonts w:ascii="Arial" w:cs="Arial" w:eastAsia="Arial" w:hAnsi="Arial"/>
          <w:sz w:val="22"/>
          <w:szCs w:val="22"/>
        </w:rPr>
        <w:t xml:space="preserve">Provide seven trade-accurate free tools that meaningfully improve an LLM's output on real field questions.</w:t>
      </w:r>
    </w:p>
    <w:p>
      <w:pPr>
        <w:pStyle w:val="ListParagraph"/>
        <w:numPr>
          <w:ilvl w:val="0"/>
          <w:numId w:val="2"/>
        </w:numPr>
        <w:spacing w:after="80"/>
      </w:pPr>
      <w:r>
        <w:rPr>
          <w:rFonts w:ascii="Arial" w:cs="Arial" w:eastAsia="Arial" w:hAnsi="Arial"/>
          <w:sz w:val="22"/>
          <w:szCs w:val="22"/>
        </w:rPr>
        <w:t xml:space="preserve">Offer a hosted connector URL that a non-developer customer can add to Claude Desktop, the Claude app, or ChatGPT without touching a terminal.</w:t>
      </w:r>
    </w:p>
    <w:p>
      <w:pPr>
        <w:pStyle w:val="ListParagraph"/>
        <w:numPr>
          <w:ilvl w:val="0"/>
          <w:numId w:val="2"/>
        </w:numPr>
        <w:spacing w:after="80"/>
      </w:pPr>
      <w:r>
        <w:rPr>
          <w:rFonts w:ascii="Arial" w:cs="Arial" w:eastAsia="Arial" w:hAnsi="Arial"/>
          <w:sz w:val="22"/>
          <w:szCs w:val="22"/>
        </w:rPr>
        <w:t xml:space="preserve">Build an open-core reputation on GitHub that drives organic inbound within 60 days.</w:t>
      </w:r>
    </w:p>
    <w:p>
      <w:pPr>
        <w:pStyle w:val="ListParagraph"/>
        <w:numPr>
          <w:ilvl w:val="0"/>
          <w:numId w:val="2"/>
        </w:numPr>
        <w:spacing w:after="80"/>
      </w:pPr>
      <w:r>
        <w:rPr>
          <w:rFonts w:ascii="Arial" w:cs="Arial" w:eastAsia="Arial" w:hAnsi="Arial"/>
          <w:sz w:val="22"/>
          <w:szCs w:val="22"/>
        </w:rPr>
        <w:t xml:space="preserve">Reach $290 MRR (10 customers) within 30 days of public launch.</w:t>
      </w:r>
    </w:p>
    <w:p>
      <w:pPr>
        <w:pStyle w:val="Heading2"/>
        <w:spacing w:after="160" w:before="320"/>
      </w:pPr>
      <w:r>
        <w:rPr>
          <w:rFonts w:ascii="Arial" w:cs="Arial" w:eastAsia="Arial" w:hAnsi="Arial"/>
          <w:b/>
          <w:bCs/>
          <w:color w:val="0B2545"/>
          <w:sz w:val="28"/>
          <w:szCs w:val="28"/>
        </w:rPr>
        <w:t xml:space="preserve">4.2 Non-goals</w:t>
      </w:r>
    </w:p>
    <w:p>
      <w:pPr>
        <w:pStyle w:val="ListParagraph"/>
        <w:numPr>
          <w:ilvl w:val="0"/>
          <w:numId w:val="2"/>
        </w:numPr>
        <w:spacing w:after="80"/>
      </w:pPr>
      <w:r>
        <w:rPr>
          <w:rFonts w:ascii="Arial" w:cs="Arial" w:eastAsia="Arial" w:hAnsi="Arial"/>
          <w:sz w:val="22"/>
          <w:szCs w:val="22"/>
        </w:rPr>
        <w:t xml:space="preserve">Replacing field-service management software. This is not a dispatch, invoicing, or CRM platform.</w:t>
      </w:r>
    </w:p>
    <w:p>
      <w:pPr>
        <w:pStyle w:val="ListParagraph"/>
        <w:numPr>
          <w:ilvl w:val="0"/>
          <w:numId w:val="2"/>
        </w:numPr>
        <w:spacing w:after="80"/>
      </w:pPr>
      <w:r>
        <w:rPr>
          <w:rFonts w:ascii="Arial" w:cs="Arial" w:eastAsia="Arial" w:hAnsi="Arial"/>
          <w:sz w:val="22"/>
          <w:szCs w:val="22"/>
        </w:rPr>
        <w:t xml:space="preserve">Being a general-purpose contractor assistant. Scope is HVAC and plumbing only, US only.</w:t>
      </w:r>
    </w:p>
    <w:p>
      <w:pPr>
        <w:pStyle w:val="ListParagraph"/>
        <w:numPr>
          <w:ilvl w:val="0"/>
          <w:numId w:val="2"/>
        </w:numPr>
        <w:spacing w:after="80"/>
      </w:pPr>
      <w:r>
        <w:rPr>
          <w:rFonts w:ascii="Arial" w:cs="Arial" w:eastAsia="Arial" w:hAnsi="Arial"/>
          <w:sz w:val="22"/>
          <w:szCs w:val="22"/>
        </w:rPr>
        <w:t xml:space="preserve">Building a mobile app in v1. The product is a server; native apps come later.</w:t>
      </w:r>
    </w:p>
    <w:p>
      <w:pPr>
        <w:pStyle w:val="ListParagraph"/>
        <w:numPr>
          <w:ilvl w:val="0"/>
          <w:numId w:val="2"/>
        </w:numPr>
        <w:spacing w:after="80"/>
      </w:pPr>
      <w:r>
        <w:rPr>
          <w:rFonts w:ascii="Arial" w:cs="Arial" w:eastAsia="Arial" w:hAnsi="Arial"/>
          <w:sz w:val="22"/>
          <w:szCs w:val="22"/>
        </w:rPr>
        <w:t xml:space="preserve">Offering legal, regulatory, or Manual J load-calculation authority. Every output that touches code is wrapped with a "verify with AHJ" disclaimer.</w:t>
      </w:r>
    </w:p>
    <w:p>
      <w:pPr>
        <w:pStyle w:val="ListParagraph"/>
        <w:numPr>
          <w:ilvl w:val="0"/>
          <w:numId w:val="2"/>
        </w:numPr>
        <w:spacing w:after="80"/>
      </w:pPr>
      <w:r>
        <w:rPr>
          <w:rFonts w:ascii="Arial" w:cs="Arial" w:eastAsia="Arial" w:hAnsi="Arial"/>
          <w:sz w:val="22"/>
          <w:szCs w:val="22"/>
        </w:rPr>
        <w:t xml:space="preserve">Supporting QuickBooks, Jobber, or similar OAuth integrations in v1. Those belong in v1.1 after paid traction is proven.</w:t>
      </w:r>
    </w:p>
    <w:p>
      <w:pPr>
        <w:pStyle w:val="Heading1"/>
        <w:spacing w:after="200" w:before="400"/>
      </w:pPr>
      <w:r>
        <w:rPr>
          <w:rFonts w:ascii="Arial" w:cs="Arial" w:eastAsia="Arial" w:hAnsi="Arial"/>
          <w:b/>
          <w:bCs/>
          <w:color w:val="0B2545"/>
          <w:sz w:val="36"/>
          <w:szCs w:val="36"/>
        </w:rPr>
        <w:t xml:space="preserve">5. Product Requirements</w:t>
      </w:r>
    </w:p>
    <w:p>
      <w:pPr>
        <w:pStyle w:val="Heading2"/>
        <w:spacing w:after="160" w:before="320"/>
      </w:pPr>
      <w:r>
        <w:rPr>
          <w:rFonts w:ascii="Arial" w:cs="Arial" w:eastAsia="Arial" w:hAnsi="Arial"/>
          <w:b/>
          <w:bCs/>
          <w:color w:val="0B2545"/>
          <w:sz w:val="28"/>
          <w:szCs w:val="28"/>
        </w:rPr>
        <w:t xml:space="preserve">5.1 Tool catalog — free tier</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900"/>
        <w:gridCol w:w="2400"/>
        <w:gridCol w:w="2100"/>
        <w:gridCol w:w="1960"/>
      </w:tblGrid>
      <w:tr>
        <w:trPr>
          <w:tblHeader/>
        </w:trPr>
        <w:tc>
          <w:tcPr>
            <w:tcW w:type="dxa" w:w="2900"/>
            <w:tcBorders>
              <w:top w:val="single" w:color="CCCCCC" w:sz="6"/>
              <w:left w:val="single" w:color="CCCCCC" w:sz="6"/>
              <w:bottom w:val="single" w:color="CCCCCC" w:sz="6"/>
              <w:right w:val="single" w:color="CCCCCC" w:sz="6"/>
            </w:tcBorders>
            <w:shd w:fill="0B2545" w:val="clear"/>
            <w:tcMar>
              <w:top w:type="dxa" w:w="100"/>
              <w:left w:type="dxa" w:w="140"/>
              <w:bottom w:type="dxa" w:w="100"/>
              <w:right w:type="dxa" w:w="140"/>
            </w:tcMar>
          </w:tcPr>
          <w:p>
            <w:pPr>
              <w:spacing w:after="0"/>
            </w:pPr>
            <w:r>
              <w:rPr>
                <w:rFonts w:ascii="Arial" w:cs="Arial" w:eastAsia="Arial" w:hAnsi="Arial"/>
                <w:b/>
                <w:bCs/>
                <w:color w:val="FFFFFF"/>
                <w:sz w:val="22"/>
                <w:szCs w:val="22"/>
              </w:rPr>
              <w:t xml:space="preserve">Tool name</w:t>
            </w:r>
          </w:p>
        </w:tc>
        <w:tc>
          <w:tcPr>
            <w:tcW w:type="dxa" w:w="2400"/>
            <w:tcBorders>
              <w:top w:val="single" w:color="CCCCCC" w:sz="6"/>
              <w:left w:val="single" w:color="CCCCCC" w:sz="6"/>
              <w:bottom w:val="single" w:color="CCCCCC" w:sz="6"/>
              <w:right w:val="single" w:color="CCCCCC" w:sz="6"/>
            </w:tcBorders>
            <w:shd w:fill="0B2545" w:val="clear"/>
            <w:tcMar>
              <w:top w:type="dxa" w:w="100"/>
              <w:left w:type="dxa" w:w="140"/>
              <w:bottom w:type="dxa" w:w="100"/>
              <w:right w:type="dxa" w:w="140"/>
            </w:tcMar>
          </w:tcPr>
          <w:p>
            <w:pPr>
              <w:spacing w:after="0"/>
            </w:pPr>
            <w:r>
              <w:rPr>
                <w:rFonts w:ascii="Arial" w:cs="Arial" w:eastAsia="Arial" w:hAnsi="Arial"/>
                <w:b/>
                <w:bCs/>
                <w:color w:val="FFFFFF"/>
                <w:sz w:val="22"/>
                <w:szCs w:val="22"/>
              </w:rPr>
              <w:t xml:space="preserve">Purpose</w:t>
            </w:r>
          </w:p>
        </w:tc>
        <w:tc>
          <w:tcPr>
            <w:tcW w:type="dxa" w:w="2100"/>
            <w:tcBorders>
              <w:top w:val="single" w:color="CCCCCC" w:sz="6"/>
              <w:left w:val="single" w:color="CCCCCC" w:sz="6"/>
              <w:bottom w:val="single" w:color="CCCCCC" w:sz="6"/>
              <w:right w:val="single" w:color="CCCCCC" w:sz="6"/>
            </w:tcBorders>
            <w:shd w:fill="0B2545" w:val="clear"/>
            <w:tcMar>
              <w:top w:type="dxa" w:w="100"/>
              <w:left w:type="dxa" w:w="140"/>
              <w:bottom w:type="dxa" w:w="100"/>
              <w:right w:type="dxa" w:w="140"/>
            </w:tcMar>
          </w:tcPr>
          <w:p>
            <w:pPr>
              <w:spacing w:after="0"/>
            </w:pPr>
            <w:r>
              <w:rPr>
                <w:rFonts w:ascii="Arial" w:cs="Arial" w:eastAsia="Arial" w:hAnsi="Arial"/>
                <w:b/>
                <w:bCs/>
                <w:color w:val="FFFFFF"/>
                <w:sz w:val="22"/>
                <w:szCs w:val="22"/>
              </w:rPr>
              <w:t xml:space="preserve">Input</w:t>
            </w:r>
          </w:p>
        </w:tc>
        <w:tc>
          <w:tcPr>
            <w:tcW w:type="dxa" w:w="1960"/>
            <w:tcBorders>
              <w:top w:val="single" w:color="CCCCCC" w:sz="6"/>
              <w:left w:val="single" w:color="CCCCCC" w:sz="6"/>
              <w:bottom w:val="single" w:color="CCCCCC" w:sz="6"/>
              <w:right w:val="single" w:color="CCCCCC" w:sz="6"/>
            </w:tcBorders>
            <w:shd w:fill="0B2545" w:val="clear"/>
            <w:tcMar>
              <w:top w:type="dxa" w:w="100"/>
              <w:left w:type="dxa" w:w="140"/>
              <w:bottom w:type="dxa" w:w="100"/>
              <w:right w:type="dxa" w:w="140"/>
            </w:tcMar>
          </w:tcPr>
          <w:p>
            <w:pPr>
              <w:spacing w:after="0"/>
            </w:pPr>
            <w:r>
              <w:rPr>
                <w:rFonts w:ascii="Arial" w:cs="Arial" w:eastAsia="Arial" w:hAnsi="Arial"/>
                <w:b/>
                <w:bCs/>
                <w:color w:val="FFFFFF"/>
                <w:sz w:val="22"/>
                <w:szCs w:val="22"/>
              </w:rPr>
              <w:t xml:space="preserve">Output</w:t>
            </w:r>
          </w:p>
        </w:tc>
      </w:tr>
      <w:tr>
        <w:trPr>
          <w:tblHeader w:val="false"/>
        </w:trPr>
        <w:tc>
          <w:tcPr>
            <w:tcW w:type="dxa" w:w="29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hvac_refrigerant_pt_lookup</w:t>
            </w:r>
          </w:p>
        </w:tc>
        <w:tc>
          <w:tcPr>
            <w:tcW w:type="dxa" w:w="24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PT saturation lookup</w:t>
            </w:r>
          </w:p>
        </w:tc>
        <w:tc>
          <w:tcPr>
            <w:tcW w:type="dxa" w:w="21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Refrigerant + pressure or temp</w:t>
            </w:r>
          </w:p>
        </w:tc>
        <w:tc>
          <w:tcPr>
            <w:tcW w:type="dxa" w:w="196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Matching pair + glide note</w:t>
            </w:r>
          </w:p>
        </w:tc>
      </w:tr>
      <w:tr>
        <w:trPr>
          <w:tblHeader w:val="false"/>
        </w:trPr>
        <w:tc>
          <w:tcPr>
            <w:tcW w:type="dxa" w:w="290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hvac_refrigerant_charge_check</w:t>
            </w:r>
          </w:p>
        </w:tc>
        <w:tc>
          <w:tcPr>
            <w:tcW w:type="dxa" w:w="240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Superheat/subcool diagnosis</w:t>
            </w:r>
          </w:p>
        </w:tc>
        <w:tc>
          <w:tcPr>
            <w:tcW w:type="dxa" w:w="210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Suction P/T, liquid P/T, metering type</w:t>
            </w:r>
          </w:p>
        </w:tc>
        <w:tc>
          <w:tcPr>
            <w:tcW w:type="dxa" w:w="196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Calculated values + diagnosis</w:t>
            </w:r>
          </w:p>
        </w:tc>
      </w:tr>
      <w:tr>
        <w:trPr>
          <w:tblHeader w:val="false"/>
        </w:trPr>
        <w:tc>
          <w:tcPr>
            <w:tcW w:type="dxa" w:w="29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hvac_diagnostic_symptom_tree</w:t>
            </w:r>
          </w:p>
        </w:tc>
        <w:tc>
          <w:tcPr>
            <w:tcW w:type="dxa" w:w="24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Probable cause ranking</w:t>
            </w:r>
          </w:p>
        </w:tc>
        <w:tc>
          <w:tcPr>
            <w:tcW w:type="dxa" w:w="21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System type + symptom</w:t>
            </w:r>
          </w:p>
        </w:tc>
        <w:tc>
          <w:tcPr>
            <w:tcW w:type="dxa" w:w="196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Ranked causes with tests</w:t>
            </w:r>
          </w:p>
        </w:tc>
      </w:tr>
      <w:tr>
        <w:trPr>
          <w:tblHeader w:val="false"/>
        </w:trPr>
        <w:tc>
          <w:tcPr>
            <w:tcW w:type="dxa" w:w="290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hvac_fault_code_lookup</w:t>
            </w:r>
          </w:p>
        </w:tc>
        <w:tc>
          <w:tcPr>
            <w:tcW w:type="dxa" w:w="240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OEM fault code decode</w:t>
            </w:r>
          </w:p>
        </w:tc>
        <w:tc>
          <w:tcPr>
            <w:tcW w:type="dxa" w:w="210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Brand + code</w:t>
            </w:r>
          </w:p>
        </w:tc>
        <w:tc>
          <w:tcPr>
            <w:tcW w:type="dxa" w:w="196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Meaning, causes, fix</w:t>
            </w:r>
          </w:p>
        </w:tc>
      </w:tr>
      <w:tr>
        <w:trPr>
          <w:tblHeader w:val="false"/>
        </w:trPr>
        <w:tc>
          <w:tcPr>
            <w:tcW w:type="dxa" w:w="29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hvac_code_lookup</w:t>
            </w:r>
          </w:p>
        </w:tc>
        <w:tc>
          <w:tcPr>
            <w:tcW w:type="dxa" w:w="24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IRC/IMC/IPC citations</w:t>
            </w:r>
          </w:p>
        </w:tc>
        <w:tc>
          <w:tcPr>
            <w:tcW w:type="dxa" w:w="21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Topic + jurisdiction</w:t>
            </w:r>
          </w:p>
        </w:tc>
        <w:tc>
          <w:tcPr>
            <w:tcW w:type="dxa" w:w="196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Citations + AHJ disclaimer</w:t>
            </w:r>
          </w:p>
        </w:tc>
      </w:tr>
      <w:tr>
        <w:trPr>
          <w:tblHeader w:val="false"/>
        </w:trPr>
        <w:tc>
          <w:tcPr>
            <w:tcW w:type="dxa" w:w="290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hvac_pipe_size</w:t>
            </w:r>
          </w:p>
        </w:tc>
        <w:tc>
          <w:tcPr>
            <w:tcW w:type="dxa" w:w="240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Plumbing pipe sizing</w:t>
            </w:r>
          </w:p>
        </w:tc>
        <w:tc>
          <w:tcPr>
            <w:tcW w:type="dxa" w:w="210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Fixture units + material + app</w:t>
            </w:r>
          </w:p>
        </w:tc>
        <w:tc>
          <w:tcPr>
            <w:tcW w:type="dxa" w:w="196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Minimum pipe size</w:t>
            </w:r>
          </w:p>
        </w:tc>
      </w:tr>
      <w:tr>
        <w:trPr>
          <w:tblHeader w:val="false"/>
        </w:trPr>
        <w:tc>
          <w:tcPr>
            <w:tcW w:type="dxa" w:w="29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hvac_duct_size</w:t>
            </w:r>
          </w:p>
        </w:tc>
        <w:tc>
          <w:tcPr>
            <w:tcW w:type="dxa" w:w="24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HVAC duct sizing</w:t>
            </w:r>
          </w:p>
        </w:tc>
        <w:tc>
          <w:tcPr>
            <w:tcW w:type="dxa" w:w="21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CFM + friction rate + shape</w:t>
            </w:r>
          </w:p>
        </w:tc>
        <w:tc>
          <w:tcPr>
            <w:tcW w:type="dxa" w:w="196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Equivalent round + rect options</w:t>
            </w:r>
          </w:p>
        </w:tc>
      </w:tr>
    </w:tbl>
    <w:p>
      <w:pPr>
        <w:pStyle w:val="Heading2"/>
        <w:spacing w:after="160" w:before="320"/>
      </w:pPr>
      <w:r>
        <w:rPr>
          <w:rFonts w:ascii="Arial" w:cs="Arial" w:eastAsia="Arial" w:hAnsi="Arial"/>
          <w:b/>
          <w:bCs/>
          <w:color w:val="0B2545"/>
          <w:sz w:val="28"/>
          <w:szCs w:val="28"/>
        </w:rPr>
        <w:t xml:space="preserve">5.2 Tool catalog — premium tier</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900"/>
        <w:gridCol w:w="4800"/>
        <w:gridCol w:w="1660"/>
      </w:tblGrid>
      <w:tr>
        <w:trPr>
          <w:tblHeader/>
        </w:trPr>
        <w:tc>
          <w:tcPr>
            <w:tcW w:type="dxa" w:w="2900"/>
            <w:tcBorders>
              <w:top w:val="single" w:color="CCCCCC" w:sz="6"/>
              <w:left w:val="single" w:color="CCCCCC" w:sz="6"/>
              <w:bottom w:val="single" w:color="CCCCCC" w:sz="6"/>
              <w:right w:val="single" w:color="CCCCCC" w:sz="6"/>
            </w:tcBorders>
            <w:shd w:fill="0B2545" w:val="clear"/>
            <w:tcMar>
              <w:top w:type="dxa" w:w="100"/>
              <w:left w:type="dxa" w:w="140"/>
              <w:bottom w:type="dxa" w:w="100"/>
              <w:right w:type="dxa" w:w="140"/>
            </w:tcMar>
          </w:tcPr>
          <w:p>
            <w:pPr>
              <w:spacing w:after="0"/>
            </w:pPr>
            <w:r>
              <w:rPr>
                <w:rFonts w:ascii="Arial" w:cs="Arial" w:eastAsia="Arial" w:hAnsi="Arial"/>
                <w:b/>
                <w:bCs/>
                <w:color w:val="FFFFFF"/>
                <w:sz w:val="22"/>
                <w:szCs w:val="22"/>
              </w:rPr>
              <w:t xml:space="preserve">Tool name</w:t>
            </w:r>
          </w:p>
        </w:tc>
        <w:tc>
          <w:tcPr>
            <w:tcW w:type="dxa" w:w="4800"/>
            <w:tcBorders>
              <w:top w:val="single" w:color="CCCCCC" w:sz="6"/>
              <w:left w:val="single" w:color="CCCCCC" w:sz="6"/>
              <w:bottom w:val="single" w:color="CCCCCC" w:sz="6"/>
              <w:right w:val="single" w:color="CCCCCC" w:sz="6"/>
            </w:tcBorders>
            <w:shd w:fill="0B2545" w:val="clear"/>
            <w:tcMar>
              <w:top w:type="dxa" w:w="100"/>
              <w:left w:type="dxa" w:w="140"/>
              <w:bottom w:type="dxa" w:w="100"/>
              <w:right w:type="dxa" w:w="140"/>
            </w:tcMar>
          </w:tcPr>
          <w:p>
            <w:pPr>
              <w:spacing w:after="0"/>
            </w:pPr>
            <w:r>
              <w:rPr>
                <w:rFonts w:ascii="Arial" w:cs="Arial" w:eastAsia="Arial" w:hAnsi="Arial"/>
                <w:b/>
                <w:bCs/>
                <w:color w:val="FFFFFF"/>
                <w:sz w:val="22"/>
                <w:szCs w:val="22"/>
              </w:rPr>
              <w:t xml:space="preserve">Purpose</w:t>
            </w:r>
          </w:p>
        </w:tc>
        <w:tc>
          <w:tcPr>
            <w:tcW w:type="dxa" w:w="1660"/>
            <w:tcBorders>
              <w:top w:val="single" w:color="CCCCCC" w:sz="6"/>
              <w:left w:val="single" w:color="CCCCCC" w:sz="6"/>
              <w:bottom w:val="single" w:color="CCCCCC" w:sz="6"/>
              <w:right w:val="single" w:color="CCCCCC" w:sz="6"/>
            </w:tcBorders>
            <w:shd w:fill="0B2545" w:val="clear"/>
            <w:tcMar>
              <w:top w:type="dxa" w:w="100"/>
              <w:left w:type="dxa" w:w="140"/>
              <w:bottom w:type="dxa" w:w="100"/>
              <w:right w:type="dxa" w:w="140"/>
            </w:tcMar>
          </w:tcPr>
          <w:p>
            <w:pPr>
              <w:spacing w:after="0"/>
            </w:pPr>
            <w:r>
              <w:rPr>
                <w:rFonts w:ascii="Arial" w:cs="Arial" w:eastAsia="Arial" w:hAnsi="Arial"/>
                <w:b/>
                <w:bCs/>
                <w:color w:val="FFFFFF"/>
                <w:sz w:val="22"/>
                <w:szCs w:val="22"/>
              </w:rPr>
              <w:t xml:space="preserve">Gate</w:t>
            </w:r>
          </w:p>
        </w:tc>
      </w:tr>
      <w:tr>
        <w:trPr>
          <w:tblHeader w:val="false"/>
        </w:trPr>
        <w:tc>
          <w:tcPr>
            <w:tcW w:type="dxa" w:w="29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hvac_invoice_draft</w:t>
            </w:r>
          </w:p>
        </w:tc>
        <w:tc>
          <w:tcPr>
            <w:tcW w:type="dxa" w:w="48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Formatted invoice with line items and tax</w:t>
            </w:r>
          </w:p>
        </w:tc>
        <w:tc>
          <w:tcPr>
            <w:tcW w:type="dxa" w:w="166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Valid license key</w:t>
            </w:r>
          </w:p>
        </w:tc>
      </w:tr>
      <w:tr>
        <w:trPr>
          <w:tblHeader w:val="false"/>
        </w:trPr>
        <w:tc>
          <w:tcPr>
            <w:tcW w:type="dxa" w:w="290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hvac_estimate_from_symptom</w:t>
            </w:r>
          </w:p>
        </w:tc>
        <w:tc>
          <w:tcPr>
            <w:tcW w:type="dxa" w:w="480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Customer-ready estimate from diagnostic</w:t>
            </w:r>
          </w:p>
        </w:tc>
        <w:tc>
          <w:tcPr>
            <w:tcW w:type="dxa" w:w="166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Valid license key</w:t>
            </w:r>
          </w:p>
        </w:tc>
      </w:tr>
      <w:tr>
        <w:trPr>
          <w:tblHeader w:val="false"/>
        </w:trPr>
        <w:tc>
          <w:tcPr>
            <w:tcW w:type="dxa" w:w="29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hvac_parts_crossref</w:t>
            </w:r>
          </w:p>
        </w:tc>
        <w:tc>
          <w:tcPr>
            <w:tcW w:type="dxa" w:w="48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OEM → aftermarket part lookup</w:t>
            </w:r>
          </w:p>
        </w:tc>
        <w:tc>
          <w:tcPr>
            <w:tcW w:type="dxa" w:w="166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Valid license key</w:t>
            </w:r>
          </w:p>
        </w:tc>
      </w:tr>
      <w:tr>
        <w:trPr>
          <w:tblHeader w:val="false"/>
        </w:trPr>
        <w:tc>
          <w:tcPr>
            <w:tcW w:type="dxa" w:w="290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hvac_permit_lookup_fl</w:t>
            </w:r>
          </w:p>
        </w:tc>
        <w:tc>
          <w:tcPr>
            <w:tcW w:type="dxa" w:w="480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Florida county permit lookup (Lee, Collier, Charlotte first)</w:t>
            </w:r>
          </w:p>
        </w:tc>
        <w:tc>
          <w:tcPr>
            <w:tcW w:type="dxa" w:w="166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Valid license key</w:t>
            </w:r>
          </w:p>
        </w:tc>
      </w:tr>
    </w:tbl>
    <w:p>
      <w:pPr>
        <w:pStyle w:val="Heading2"/>
        <w:spacing w:after="160" w:before="320"/>
      </w:pPr>
      <w:r>
        <w:rPr>
          <w:rFonts w:ascii="Arial" w:cs="Arial" w:eastAsia="Arial" w:hAnsi="Arial"/>
          <w:b/>
          <w:bCs/>
          <w:color w:val="0B2545"/>
          <w:sz w:val="28"/>
          <w:szCs w:val="28"/>
        </w:rPr>
        <w:t xml:space="preserve">5.3 Functional requirements</w:t>
      </w:r>
    </w:p>
    <w:p>
      <w:pPr>
        <w:pStyle w:val="ListParagraph"/>
        <w:numPr>
          <w:ilvl w:val="0"/>
          <w:numId w:val="2"/>
        </w:numPr>
        <w:spacing w:after="80"/>
      </w:pPr>
      <w:r>
        <w:rPr>
          <w:rFonts w:ascii="Arial" w:cs="Arial" w:eastAsia="Arial" w:hAnsi="Arial"/>
          <w:b/>
          <w:bCs/>
          <w:color w:val="1F6FEB"/>
          <w:sz w:val="22"/>
          <w:szCs w:val="22"/>
        </w:rPr>
        <w:t xml:space="preserve">FR-1  </w:t>
      </w:r>
      <w:r>
        <w:rPr>
          <w:rFonts w:ascii="Arial" w:cs="Arial" w:eastAsia="Arial" w:hAnsi="Arial"/>
          <w:sz w:val="22"/>
          <w:szCs w:val="22"/>
        </w:rPr>
        <w:t xml:space="preserve">The server MUST register every free-tier tool on startup without any configuration or network dependency.</w:t>
      </w:r>
    </w:p>
    <w:p>
      <w:pPr>
        <w:pStyle w:val="ListParagraph"/>
        <w:numPr>
          <w:ilvl w:val="0"/>
          <w:numId w:val="2"/>
        </w:numPr>
        <w:spacing w:after="80"/>
      </w:pPr>
      <w:r>
        <w:rPr>
          <w:rFonts w:ascii="Arial" w:cs="Arial" w:eastAsia="Arial" w:hAnsi="Arial"/>
          <w:b/>
          <w:bCs/>
          <w:color w:val="1F6FEB"/>
          <w:sz w:val="22"/>
          <w:szCs w:val="22"/>
        </w:rPr>
        <w:t xml:space="preserve">FR-2  </w:t>
      </w:r>
      <w:r>
        <w:rPr>
          <w:rFonts w:ascii="Arial" w:cs="Arial" w:eastAsia="Arial" w:hAnsi="Arial"/>
          <w:sz w:val="22"/>
          <w:szCs w:val="22"/>
        </w:rPr>
        <w:t xml:space="preserve">Every tool MUST validate inputs with a Pydantic v2 model that forbids extra fields.</w:t>
      </w:r>
    </w:p>
    <w:p>
      <w:pPr>
        <w:pStyle w:val="ListParagraph"/>
        <w:numPr>
          <w:ilvl w:val="0"/>
          <w:numId w:val="2"/>
        </w:numPr>
        <w:spacing w:after="80"/>
      </w:pPr>
      <w:r>
        <w:rPr>
          <w:rFonts w:ascii="Arial" w:cs="Arial" w:eastAsia="Arial" w:hAnsi="Arial"/>
          <w:b/>
          <w:bCs/>
          <w:color w:val="1F6FEB"/>
          <w:sz w:val="22"/>
          <w:szCs w:val="22"/>
        </w:rPr>
        <w:t xml:space="preserve">FR-3  </w:t>
      </w:r>
      <w:r>
        <w:rPr>
          <w:rFonts w:ascii="Arial" w:cs="Arial" w:eastAsia="Arial" w:hAnsi="Arial"/>
          <w:sz w:val="22"/>
          <w:szCs w:val="22"/>
        </w:rPr>
        <w:t xml:space="preserve">Every tool MUST declare readOnlyHint, destructiveHint, idempotentHint, and openWorldHint annotations.</w:t>
      </w:r>
    </w:p>
    <w:p>
      <w:pPr>
        <w:pStyle w:val="ListParagraph"/>
        <w:numPr>
          <w:ilvl w:val="0"/>
          <w:numId w:val="2"/>
        </w:numPr>
        <w:spacing w:after="80"/>
      </w:pPr>
      <w:r>
        <w:rPr>
          <w:rFonts w:ascii="Arial" w:cs="Arial" w:eastAsia="Arial" w:hAnsi="Arial"/>
          <w:b/>
          <w:bCs/>
          <w:color w:val="1F6FEB"/>
          <w:sz w:val="22"/>
          <w:szCs w:val="22"/>
        </w:rPr>
        <w:t xml:space="preserve">FR-4  </w:t>
      </w:r>
      <w:r>
        <w:rPr>
          <w:rFonts w:ascii="Arial" w:cs="Arial" w:eastAsia="Arial" w:hAnsi="Arial"/>
          <w:sz w:val="22"/>
          <w:szCs w:val="22"/>
        </w:rPr>
        <w:t xml:space="preserve">The server MUST support stdio transport (local, for Claude Desktop and Claude Code) and streamable HTTP transport (hosted, for web-based MCP clients).</w:t>
      </w:r>
    </w:p>
    <w:p>
      <w:pPr>
        <w:pStyle w:val="ListParagraph"/>
        <w:numPr>
          <w:ilvl w:val="0"/>
          <w:numId w:val="2"/>
        </w:numPr>
        <w:spacing w:after="80"/>
      </w:pPr>
      <w:r>
        <w:rPr>
          <w:rFonts w:ascii="Arial" w:cs="Arial" w:eastAsia="Arial" w:hAnsi="Arial"/>
          <w:b/>
          <w:bCs/>
          <w:color w:val="1F6FEB"/>
          <w:sz w:val="22"/>
          <w:szCs w:val="22"/>
        </w:rPr>
        <w:t xml:space="preserve">FR-5  </w:t>
      </w:r>
      <w:r>
        <w:rPr>
          <w:rFonts w:ascii="Arial" w:cs="Arial" w:eastAsia="Arial" w:hAnsi="Arial"/>
          <w:sz w:val="22"/>
          <w:szCs w:val="22"/>
        </w:rPr>
        <w:t xml:space="preserve">Every premium tool MUST call require_license() via the @premium decorator before any work. Unlicensed calls return a structured error with a purchase URL.</w:t>
      </w:r>
    </w:p>
    <w:p>
      <w:pPr>
        <w:pStyle w:val="ListParagraph"/>
        <w:numPr>
          <w:ilvl w:val="0"/>
          <w:numId w:val="2"/>
        </w:numPr>
        <w:spacing w:after="80"/>
      </w:pPr>
      <w:r>
        <w:rPr>
          <w:rFonts w:ascii="Arial" w:cs="Arial" w:eastAsia="Arial" w:hAnsi="Arial"/>
          <w:b/>
          <w:bCs/>
          <w:color w:val="1F6FEB"/>
          <w:sz w:val="22"/>
          <w:szCs w:val="22"/>
        </w:rPr>
        <w:t xml:space="preserve">FR-6  </w:t>
      </w:r>
      <w:r>
        <w:rPr>
          <w:rFonts w:ascii="Arial" w:cs="Arial" w:eastAsia="Arial" w:hAnsi="Arial"/>
          <w:sz w:val="22"/>
          <w:szCs w:val="22"/>
        </w:rPr>
        <w:t xml:space="preserve">Code-lookup and sizing outputs MUST include a "verify with AHJ" disclaimer in every response.</w:t>
      </w:r>
    </w:p>
    <w:p>
      <w:pPr>
        <w:pStyle w:val="ListParagraph"/>
        <w:numPr>
          <w:ilvl w:val="0"/>
          <w:numId w:val="2"/>
        </w:numPr>
        <w:spacing w:after="80"/>
      </w:pPr>
      <w:r>
        <w:rPr>
          <w:rFonts w:ascii="Arial" w:cs="Arial" w:eastAsia="Arial" w:hAnsi="Arial"/>
          <w:b/>
          <w:bCs/>
          <w:color w:val="1F6FEB"/>
          <w:sz w:val="22"/>
          <w:szCs w:val="22"/>
        </w:rPr>
        <w:t xml:space="preserve">FR-7  </w:t>
      </w:r>
      <w:r>
        <w:rPr>
          <w:rFonts w:ascii="Arial" w:cs="Arial" w:eastAsia="Arial" w:hAnsi="Arial"/>
          <w:sz w:val="22"/>
          <w:szCs w:val="22"/>
        </w:rPr>
        <w:t xml:space="preserve">When a refrigerant has significant glide (R-454B, ≥1°F), the PT tool output MUST distinguish bubble point from dew point.</w:t>
      </w:r>
    </w:p>
    <w:p>
      <w:pPr>
        <w:pStyle w:val="ListParagraph"/>
        <w:numPr>
          <w:ilvl w:val="0"/>
          <w:numId w:val="2"/>
        </w:numPr>
        <w:spacing w:after="80"/>
      </w:pPr>
      <w:r>
        <w:rPr>
          <w:rFonts w:ascii="Arial" w:cs="Arial" w:eastAsia="Arial" w:hAnsi="Arial"/>
          <w:b/>
          <w:bCs/>
          <w:color w:val="1F6FEB"/>
          <w:sz w:val="22"/>
          <w:szCs w:val="22"/>
        </w:rPr>
        <w:t xml:space="preserve">FR-8  </w:t>
      </w:r>
      <w:r>
        <w:rPr>
          <w:rFonts w:ascii="Arial" w:cs="Arial" w:eastAsia="Arial" w:hAnsi="Arial"/>
          <w:sz w:val="22"/>
          <w:szCs w:val="22"/>
        </w:rPr>
        <w:t xml:space="preserve">Tool names MUST be prefixed with hvac_ to avoid collisions with other MCP servers in a user's client config.</w:t>
      </w:r>
    </w:p>
    <w:p>
      <w:pPr>
        <w:pStyle w:val="Heading2"/>
        <w:spacing w:after="160" w:before="320"/>
      </w:pPr>
      <w:r>
        <w:rPr>
          <w:rFonts w:ascii="Arial" w:cs="Arial" w:eastAsia="Arial" w:hAnsi="Arial"/>
          <w:b/>
          <w:bCs/>
          <w:color w:val="0B2545"/>
          <w:sz w:val="28"/>
          <w:szCs w:val="28"/>
        </w:rPr>
        <w:t xml:space="preserve">5.4 Non-functional requirements</w:t>
      </w:r>
    </w:p>
    <w:p>
      <w:pPr>
        <w:pStyle w:val="ListParagraph"/>
        <w:numPr>
          <w:ilvl w:val="0"/>
          <w:numId w:val="2"/>
        </w:numPr>
        <w:spacing w:after="80"/>
      </w:pPr>
      <w:r>
        <w:rPr>
          <w:rFonts w:ascii="Arial" w:cs="Arial" w:eastAsia="Arial" w:hAnsi="Arial"/>
          <w:b/>
          <w:bCs/>
          <w:color w:val="1F6FEB"/>
          <w:sz w:val="22"/>
          <w:szCs w:val="22"/>
        </w:rPr>
        <w:t xml:space="preserve">NFR-1  </w:t>
      </w:r>
      <w:r>
        <w:rPr>
          <w:rFonts w:ascii="Arial" w:cs="Arial" w:eastAsia="Arial" w:hAnsi="Arial"/>
          <w:sz w:val="22"/>
          <w:szCs w:val="22"/>
        </w:rPr>
        <w:t xml:space="preserve">Free-tier tool responses return in under 250 ms on a warm server. No external API calls in the free-tier hot path.</w:t>
      </w:r>
    </w:p>
    <w:p>
      <w:pPr>
        <w:pStyle w:val="ListParagraph"/>
        <w:numPr>
          <w:ilvl w:val="0"/>
          <w:numId w:val="2"/>
        </w:numPr>
        <w:spacing w:after="80"/>
      </w:pPr>
      <w:r>
        <w:rPr>
          <w:rFonts w:ascii="Arial" w:cs="Arial" w:eastAsia="Arial" w:hAnsi="Arial"/>
          <w:b/>
          <w:bCs/>
          <w:color w:val="1F6FEB"/>
          <w:sz w:val="22"/>
          <w:szCs w:val="22"/>
        </w:rPr>
        <w:t xml:space="preserve">NFR-2  </w:t>
      </w:r>
      <w:r>
        <w:rPr>
          <w:rFonts w:ascii="Arial" w:cs="Arial" w:eastAsia="Arial" w:hAnsi="Arial"/>
          <w:sz w:val="22"/>
          <w:szCs w:val="22"/>
        </w:rPr>
        <w:t xml:space="preserve">The server MUST run on Python 3.11+ with no native dependencies beyond pip-installable packages.</w:t>
      </w:r>
    </w:p>
    <w:p>
      <w:pPr>
        <w:pStyle w:val="ListParagraph"/>
        <w:numPr>
          <w:ilvl w:val="0"/>
          <w:numId w:val="2"/>
        </w:numPr>
        <w:spacing w:after="80"/>
      </w:pPr>
      <w:r>
        <w:rPr>
          <w:rFonts w:ascii="Arial" w:cs="Arial" w:eastAsia="Arial" w:hAnsi="Arial"/>
          <w:b/>
          <w:bCs/>
          <w:color w:val="1F6FEB"/>
          <w:sz w:val="22"/>
          <w:szCs w:val="22"/>
        </w:rPr>
        <w:t xml:space="preserve">NFR-3  </w:t>
      </w:r>
      <w:r>
        <w:rPr>
          <w:rFonts w:ascii="Arial" w:cs="Arial" w:eastAsia="Arial" w:hAnsi="Arial"/>
          <w:sz w:val="22"/>
          <w:szCs w:val="22"/>
        </w:rPr>
        <w:t xml:space="preserve">No personally identifiable information is stored server-side. License keys map to Stripe customer IDs only.</w:t>
      </w:r>
    </w:p>
    <w:p>
      <w:pPr>
        <w:pStyle w:val="ListParagraph"/>
        <w:numPr>
          <w:ilvl w:val="0"/>
          <w:numId w:val="2"/>
        </w:numPr>
        <w:spacing w:after="80"/>
      </w:pPr>
      <w:r>
        <w:rPr>
          <w:rFonts w:ascii="Arial" w:cs="Arial" w:eastAsia="Arial" w:hAnsi="Arial"/>
          <w:b/>
          <w:bCs/>
          <w:color w:val="1F6FEB"/>
          <w:sz w:val="22"/>
          <w:szCs w:val="22"/>
        </w:rPr>
        <w:t xml:space="preserve">NFR-4  </w:t>
      </w:r>
      <w:r>
        <w:rPr>
          <w:rFonts w:ascii="Arial" w:cs="Arial" w:eastAsia="Arial" w:hAnsi="Arial"/>
          <w:sz w:val="22"/>
          <w:szCs w:val="22"/>
        </w:rPr>
        <w:t xml:space="preserve">All external HTTP calls (premium tools) use the shared httpx client with a 10-second timeout and actionable error formatting.</w:t>
      </w:r>
    </w:p>
    <w:p>
      <w:pPr>
        <w:pStyle w:val="ListParagraph"/>
        <w:numPr>
          <w:ilvl w:val="0"/>
          <w:numId w:val="2"/>
        </w:numPr>
        <w:spacing w:after="80"/>
      </w:pPr>
      <w:r>
        <w:rPr>
          <w:rFonts w:ascii="Arial" w:cs="Arial" w:eastAsia="Arial" w:hAnsi="Arial"/>
          <w:b/>
          <w:bCs/>
          <w:color w:val="1F6FEB"/>
          <w:sz w:val="22"/>
          <w:szCs w:val="22"/>
        </w:rPr>
        <w:t xml:space="preserve">NFR-5  </w:t>
      </w:r>
      <w:r>
        <w:rPr>
          <w:rFonts w:ascii="Arial" w:cs="Arial" w:eastAsia="Arial" w:hAnsi="Arial"/>
          <w:sz w:val="22"/>
          <w:szCs w:val="22"/>
        </w:rPr>
        <w:t xml:space="preserve">CI (Ruff + pytest) must pass on every push before a release can be tagged.</w:t>
      </w:r>
    </w:p>
    <w:p>
      <w:r>
        <w:br w:type="page"/>
      </w:r>
    </w:p>
    <w:p>
      <w:pPr>
        <w:pStyle w:val="Heading1"/>
        <w:spacing w:after="200" w:before="400"/>
      </w:pPr>
      <w:r>
        <w:rPr>
          <w:rFonts w:ascii="Arial" w:cs="Arial" w:eastAsia="Arial" w:hAnsi="Arial"/>
          <w:b/>
          <w:bCs/>
          <w:color w:val="0B2545"/>
          <w:sz w:val="36"/>
          <w:szCs w:val="36"/>
        </w:rPr>
        <w:t xml:space="preserve">6. User Stories</w:t>
      </w:r>
    </w:p>
    <w:p>
      <w:pPr>
        <w:pStyle w:val="Heading3"/>
        <w:spacing w:after="120" w:before="240"/>
      </w:pPr>
      <w:r>
        <w:rPr>
          <w:rFonts w:ascii="Arial" w:cs="Arial" w:eastAsia="Arial" w:hAnsi="Arial"/>
          <w:b/>
          <w:bCs/>
          <w:color w:val="1F6FEB"/>
          <w:sz w:val="24"/>
          <w:szCs w:val="24"/>
        </w:rPr>
        <w:t xml:space="preserve">As a tech on a roof in 95° heat…</w:t>
      </w:r>
    </w:p>
    <w:p>
      <w:pPr>
        <w:spacing w:after="120"/>
      </w:pPr>
      <w:r>
        <w:rPr>
          <w:rFonts w:ascii="Arial" w:cs="Arial" w:eastAsia="Arial" w:hAnsi="Arial"/>
          <w:sz w:val="22"/>
          <w:szCs w:val="22"/>
        </w:rPr>
        <w:t xml:space="preserve">…I can dictate to Claude on my phone: "I've got 118 psig suction on R-410A, 50° line temp, what's my superheat?" — and get back 10°F with a note that I'm in spec for a piston. Right now I would have to pull out a PT chart in the sun and do the math.</w:t>
      </w:r>
    </w:p>
    <w:p>
      <w:pPr>
        <w:pStyle w:val="Heading3"/>
        <w:spacing w:after="120" w:before="240"/>
      </w:pPr>
      <w:r>
        <w:rPr>
          <w:rFonts w:ascii="Arial" w:cs="Arial" w:eastAsia="Arial" w:hAnsi="Arial"/>
          <w:b/>
          <w:bCs/>
          <w:color w:val="1F6FEB"/>
          <w:sz w:val="24"/>
          <w:szCs w:val="24"/>
        </w:rPr>
        <w:t xml:space="preserve">As a new apprentice…</w:t>
      </w:r>
    </w:p>
    <w:p>
      <w:pPr>
        <w:spacing w:after="120"/>
      </w:pPr>
      <w:r>
        <w:rPr>
          <w:rFonts w:ascii="Arial" w:cs="Arial" w:eastAsia="Arial" w:hAnsi="Arial"/>
          <w:sz w:val="22"/>
          <w:szCs w:val="22"/>
        </w:rPr>
        <w:t xml:space="preserve">…I can ask "what does Carrier fault code 14 mean on an Infinity?" and get the meaning, common causes, and the first test to run. I do not have to page through a service manual that my boss did not leave in the truck.</w:t>
      </w:r>
    </w:p>
    <w:p>
      <w:pPr>
        <w:pStyle w:val="Heading3"/>
        <w:spacing w:after="120" w:before="240"/>
      </w:pPr>
      <w:r>
        <w:rPr>
          <w:rFonts w:ascii="Arial" w:cs="Arial" w:eastAsia="Arial" w:hAnsi="Arial"/>
          <w:b/>
          <w:bCs/>
          <w:color w:val="1F6FEB"/>
          <w:sz w:val="24"/>
          <w:szCs w:val="24"/>
        </w:rPr>
        <w:t xml:space="preserve">As an owner-operator writing a quote…</w:t>
      </w:r>
    </w:p>
    <w:p>
      <w:pPr>
        <w:spacing w:after="120"/>
      </w:pPr>
      <w:r>
        <w:rPr>
          <w:rFonts w:ascii="Arial" w:cs="Arial" w:eastAsia="Arial" w:hAnsi="Arial"/>
          <w:sz w:val="22"/>
          <w:szCs w:val="22"/>
        </w:rPr>
        <w:t xml:space="preserve">…I can say "draft an invoice for Mrs. Patel: replaced capacitor, 1 hour labor at $125, part was $45, Florida tax" — and get a formatted invoice I can paste into an email. Right now I spend five minutes retyping this in QuickBooks.</w:t>
      </w:r>
    </w:p>
    <w:p>
      <w:pPr>
        <w:pStyle w:val="Heading3"/>
        <w:spacing w:after="120" w:before="240"/>
      </w:pPr>
      <w:r>
        <w:rPr>
          <w:rFonts w:ascii="Arial" w:cs="Arial" w:eastAsia="Arial" w:hAnsi="Arial"/>
          <w:b/>
          <w:bCs/>
          <w:color w:val="1F6FEB"/>
          <w:sz w:val="24"/>
          <w:szCs w:val="24"/>
        </w:rPr>
        <w:t xml:space="preserve">As a plumber sizing a repipe…</w:t>
      </w:r>
    </w:p>
    <w:p>
      <w:pPr>
        <w:spacing w:after="120"/>
      </w:pPr>
      <w:r>
        <w:rPr>
          <w:rFonts w:ascii="Arial" w:cs="Arial" w:eastAsia="Arial" w:hAnsi="Arial"/>
          <w:sz w:val="22"/>
          <w:szCs w:val="22"/>
        </w:rPr>
        <w:t xml:space="preserve">…I can ask "what size supply line for 35 WSFU in copper?" and get the answer with the IPC citation. If I am in Florida I also get the FBC amendment if one applies.</w:t>
      </w:r>
    </w:p>
    <w:p>
      <w:pPr>
        <w:pStyle w:val="Heading3"/>
        <w:spacing w:after="120" w:before="240"/>
      </w:pPr>
      <w:r>
        <w:rPr>
          <w:rFonts w:ascii="Arial" w:cs="Arial" w:eastAsia="Arial" w:hAnsi="Arial"/>
          <w:b/>
          <w:bCs/>
          <w:color w:val="1F6FEB"/>
          <w:sz w:val="24"/>
          <w:szCs w:val="24"/>
        </w:rPr>
        <w:t xml:space="preserve">As an HVAC YouTuber…</w:t>
      </w:r>
    </w:p>
    <w:p>
      <w:pPr>
        <w:spacing w:after="120"/>
      </w:pPr>
      <w:r>
        <w:rPr>
          <w:rFonts w:ascii="Arial" w:cs="Arial" w:eastAsia="Arial" w:hAnsi="Arial"/>
          <w:sz w:val="22"/>
          <w:szCs w:val="22"/>
        </w:rPr>
        <w:t xml:space="preserve">…I can add one line to my Claude Desktop config and demonstrate real trade tools in my AI tutorial videos. I look credible because the AI is citing real code sections, not making things up.</w:t>
      </w:r>
    </w:p>
    <w:p>
      <w:pPr>
        <w:pStyle w:val="Heading1"/>
        <w:spacing w:after="200" w:before="400"/>
      </w:pPr>
      <w:r>
        <w:rPr>
          <w:rFonts w:ascii="Arial" w:cs="Arial" w:eastAsia="Arial" w:hAnsi="Arial"/>
          <w:b/>
          <w:bCs/>
          <w:color w:val="0B2545"/>
          <w:sz w:val="36"/>
          <w:szCs w:val="36"/>
        </w:rPr>
        <w:t xml:space="preserve">7. Technical Architecture</w:t>
      </w:r>
    </w:p>
    <w:p>
      <w:pPr>
        <w:pStyle w:val="Heading2"/>
        <w:spacing w:after="160" w:before="320"/>
      </w:pPr>
      <w:r>
        <w:rPr>
          <w:rFonts w:ascii="Arial" w:cs="Arial" w:eastAsia="Arial" w:hAnsi="Arial"/>
          <w:b/>
          <w:bCs/>
          <w:color w:val="0B2545"/>
          <w:sz w:val="28"/>
          <w:szCs w:val="28"/>
        </w:rPr>
        <w:t xml:space="preserve">7.1 Stack</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1800"/>
        <w:gridCol w:w="3000"/>
        <w:gridCol w:w="4560"/>
      </w:tblGrid>
      <w:tr>
        <w:trPr>
          <w:tblHeader/>
        </w:trPr>
        <w:tc>
          <w:tcPr>
            <w:tcW w:type="dxa" w:w="1800"/>
            <w:tcBorders>
              <w:top w:val="single" w:color="CCCCCC" w:sz="6"/>
              <w:left w:val="single" w:color="CCCCCC" w:sz="6"/>
              <w:bottom w:val="single" w:color="CCCCCC" w:sz="6"/>
              <w:right w:val="single" w:color="CCCCCC" w:sz="6"/>
            </w:tcBorders>
            <w:shd w:fill="0B2545" w:val="clear"/>
            <w:tcMar>
              <w:top w:type="dxa" w:w="100"/>
              <w:left w:type="dxa" w:w="140"/>
              <w:bottom w:type="dxa" w:w="100"/>
              <w:right w:type="dxa" w:w="140"/>
            </w:tcMar>
          </w:tcPr>
          <w:p>
            <w:pPr>
              <w:spacing w:after="0"/>
            </w:pPr>
            <w:r>
              <w:rPr>
                <w:rFonts w:ascii="Arial" w:cs="Arial" w:eastAsia="Arial" w:hAnsi="Arial"/>
                <w:b/>
                <w:bCs/>
                <w:color w:val="FFFFFF"/>
                <w:sz w:val="22"/>
                <w:szCs w:val="22"/>
              </w:rPr>
              <w:t xml:space="preserve">Layer</w:t>
            </w:r>
          </w:p>
        </w:tc>
        <w:tc>
          <w:tcPr>
            <w:tcW w:type="dxa" w:w="3000"/>
            <w:tcBorders>
              <w:top w:val="single" w:color="CCCCCC" w:sz="6"/>
              <w:left w:val="single" w:color="CCCCCC" w:sz="6"/>
              <w:bottom w:val="single" w:color="CCCCCC" w:sz="6"/>
              <w:right w:val="single" w:color="CCCCCC" w:sz="6"/>
            </w:tcBorders>
            <w:shd w:fill="0B2545" w:val="clear"/>
            <w:tcMar>
              <w:top w:type="dxa" w:w="100"/>
              <w:left w:type="dxa" w:w="140"/>
              <w:bottom w:type="dxa" w:w="100"/>
              <w:right w:type="dxa" w:w="140"/>
            </w:tcMar>
          </w:tcPr>
          <w:p>
            <w:pPr>
              <w:spacing w:after="0"/>
            </w:pPr>
            <w:r>
              <w:rPr>
                <w:rFonts w:ascii="Arial" w:cs="Arial" w:eastAsia="Arial" w:hAnsi="Arial"/>
                <w:b/>
                <w:bCs/>
                <w:color w:val="FFFFFF"/>
                <w:sz w:val="22"/>
                <w:szCs w:val="22"/>
              </w:rPr>
              <w:t xml:space="preserve">Choice</w:t>
            </w:r>
          </w:p>
        </w:tc>
        <w:tc>
          <w:tcPr>
            <w:tcW w:type="dxa" w:w="4560"/>
            <w:tcBorders>
              <w:top w:val="single" w:color="CCCCCC" w:sz="6"/>
              <w:left w:val="single" w:color="CCCCCC" w:sz="6"/>
              <w:bottom w:val="single" w:color="CCCCCC" w:sz="6"/>
              <w:right w:val="single" w:color="CCCCCC" w:sz="6"/>
            </w:tcBorders>
            <w:shd w:fill="0B2545" w:val="clear"/>
            <w:tcMar>
              <w:top w:type="dxa" w:w="100"/>
              <w:left w:type="dxa" w:w="140"/>
              <w:bottom w:type="dxa" w:w="100"/>
              <w:right w:type="dxa" w:w="140"/>
            </w:tcMar>
          </w:tcPr>
          <w:p>
            <w:pPr>
              <w:spacing w:after="0"/>
            </w:pPr>
            <w:r>
              <w:rPr>
                <w:rFonts w:ascii="Arial" w:cs="Arial" w:eastAsia="Arial" w:hAnsi="Arial"/>
                <w:b/>
                <w:bCs/>
                <w:color w:val="FFFFFF"/>
                <w:sz w:val="22"/>
                <w:szCs w:val="22"/>
              </w:rPr>
              <w:t xml:space="preserve">Why</w:t>
            </w:r>
          </w:p>
        </w:tc>
      </w:tr>
      <w:tr>
        <w:trPr>
          <w:tblHeader w:val="false"/>
        </w:trPr>
        <w:tc>
          <w:tcPr>
            <w:tcW w:type="dxa" w:w="18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Language</w:t>
            </w:r>
          </w:p>
        </w:tc>
        <w:tc>
          <w:tcPr>
            <w:tcW w:type="dxa" w:w="30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Python 3.11+</w:t>
            </w:r>
          </w:p>
        </w:tc>
        <w:tc>
          <w:tcPr>
            <w:tcW w:type="dxa" w:w="456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Fastest ship path; FastMCP is Python-first</w:t>
            </w:r>
          </w:p>
        </w:tc>
      </w:tr>
      <w:tr>
        <w:trPr>
          <w:tblHeader w:val="false"/>
        </w:trPr>
        <w:tc>
          <w:tcPr>
            <w:tcW w:type="dxa" w:w="180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Framework</w:t>
            </w:r>
          </w:p>
        </w:tc>
        <w:tc>
          <w:tcPr>
            <w:tcW w:type="dxa" w:w="300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FastMCP (MCP Python SDK)</w:t>
            </w:r>
          </w:p>
        </w:tc>
        <w:tc>
          <w:tcPr>
            <w:tcW w:type="dxa" w:w="456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Decorator-based tool registration, auto-schema</w:t>
            </w:r>
          </w:p>
        </w:tc>
      </w:tr>
      <w:tr>
        <w:trPr>
          <w:tblHeader w:val="false"/>
        </w:trPr>
        <w:tc>
          <w:tcPr>
            <w:tcW w:type="dxa" w:w="18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Validation</w:t>
            </w:r>
          </w:p>
        </w:tc>
        <w:tc>
          <w:tcPr>
            <w:tcW w:type="dxa" w:w="30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Pydantic v2</w:t>
            </w:r>
          </w:p>
        </w:tc>
        <w:tc>
          <w:tcPr>
            <w:tcW w:type="dxa" w:w="456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Declarative input schemas, type safety</w:t>
            </w:r>
          </w:p>
        </w:tc>
      </w:tr>
      <w:tr>
        <w:trPr>
          <w:tblHeader w:val="false"/>
        </w:trPr>
        <w:tc>
          <w:tcPr>
            <w:tcW w:type="dxa" w:w="180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HTTP</w:t>
            </w:r>
          </w:p>
        </w:tc>
        <w:tc>
          <w:tcPr>
            <w:tcW w:type="dxa" w:w="300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httpx (async)</w:t>
            </w:r>
          </w:p>
        </w:tc>
        <w:tc>
          <w:tcPr>
            <w:tcW w:type="dxa" w:w="456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Used only for premium-tier external calls</w:t>
            </w:r>
          </w:p>
        </w:tc>
      </w:tr>
      <w:tr>
        <w:trPr>
          <w:tblHeader w:val="false"/>
        </w:trPr>
        <w:tc>
          <w:tcPr>
            <w:tcW w:type="dxa" w:w="18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Tests</w:t>
            </w:r>
          </w:p>
        </w:tc>
        <w:tc>
          <w:tcPr>
            <w:tcW w:type="dxa" w:w="30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pytest + pytest-asyncio</w:t>
            </w:r>
          </w:p>
        </w:tc>
        <w:tc>
          <w:tcPr>
            <w:tcW w:type="dxa" w:w="456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Standard async test harness</w:t>
            </w:r>
          </w:p>
        </w:tc>
      </w:tr>
      <w:tr>
        <w:trPr>
          <w:tblHeader w:val="false"/>
        </w:trPr>
        <w:tc>
          <w:tcPr>
            <w:tcW w:type="dxa" w:w="180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Lint/format</w:t>
            </w:r>
          </w:p>
        </w:tc>
        <w:tc>
          <w:tcPr>
            <w:tcW w:type="dxa" w:w="300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Ruff</w:t>
            </w:r>
          </w:p>
        </w:tc>
        <w:tc>
          <w:tcPr>
            <w:tcW w:type="dxa" w:w="456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One tool, fast, replaces flake8 + black + isort</w:t>
            </w:r>
          </w:p>
        </w:tc>
      </w:tr>
      <w:tr>
        <w:trPr>
          <w:tblHeader w:val="false"/>
        </w:trPr>
        <w:tc>
          <w:tcPr>
            <w:tcW w:type="dxa" w:w="18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Packaging</w:t>
            </w:r>
          </w:p>
        </w:tc>
        <w:tc>
          <w:tcPr>
            <w:tcW w:type="dxa" w:w="30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uv + hatchling</w:t>
            </w:r>
          </w:p>
        </w:tc>
        <w:tc>
          <w:tcPr>
            <w:tcW w:type="dxa" w:w="456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Fast lockfiles, simple wheel builds</w:t>
            </w:r>
          </w:p>
        </w:tc>
      </w:tr>
      <w:tr>
        <w:trPr>
          <w:tblHeader w:val="false"/>
        </w:trPr>
        <w:tc>
          <w:tcPr>
            <w:tcW w:type="dxa" w:w="180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Hosting</w:t>
            </w:r>
          </w:p>
        </w:tc>
        <w:tc>
          <w:tcPr>
            <w:tcW w:type="dxa" w:w="300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Railway (primary), Fly.io (fallback)</w:t>
            </w:r>
          </w:p>
        </w:tc>
        <w:tc>
          <w:tcPr>
            <w:tcW w:type="dxa" w:w="456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Cheap, push-to-deploy, streamable HTTP friendly</w:t>
            </w:r>
          </w:p>
        </w:tc>
      </w:tr>
      <w:tr>
        <w:trPr>
          <w:tblHeader w:val="false"/>
        </w:trPr>
        <w:tc>
          <w:tcPr>
            <w:tcW w:type="dxa" w:w="18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Payments</w:t>
            </w:r>
          </w:p>
        </w:tc>
        <w:tc>
          <w:tcPr>
            <w:tcW w:type="dxa" w:w="30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Stripe Payment Links + webhooks</w:t>
            </w:r>
          </w:p>
        </w:tc>
        <w:tc>
          <w:tcPr>
            <w:tcW w:type="dxa" w:w="456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No backend account system needed for v1</w:t>
            </w:r>
          </w:p>
        </w:tc>
      </w:tr>
    </w:tbl>
    <w:p>
      <w:pPr>
        <w:pStyle w:val="Heading2"/>
        <w:spacing w:after="160" w:before="320"/>
      </w:pPr>
      <w:r>
        <w:rPr>
          <w:rFonts w:ascii="Arial" w:cs="Arial" w:eastAsia="Arial" w:hAnsi="Arial"/>
          <w:b/>
          <w:bCs/>
          <w:color w:val="0B2545"/>
          <w:sz w:val="28"/>
          <w:szCs w:val="28"/>
        </w:rPr>
        <w:t xml:space="preserve">7.2 Transport</w:t>
      </w:r>
    </w:p>
    <w:p>
      <w:pPr>
        <w:spacing w:after="120"/>
      </w:pPr>
      <w:r>
        <w:rPr>
          <w:rFonts w:ascii="Arial" w:cs="Arial" w:eastAsia="Arial" w:hAnsi="Arial"/>
          <w:sz w:val="22"/>
          <w:szCs w:val="22"/>
        </w:rPr>
        <w:t xml:space="preserve">Two supported transports share a single codebase.</w:t>
      </w:r>
    </w:p>
    <w:p>
      <w:pPr>
        <w:pStyle w:val="ListParagraph"/>
        <w:numPr>
          <w:ilvl w:val="0"/>
          <w:numId w:val="2"/>
        </w:numPr>
        <w:spacing w:after="80"/>
      </w:pPr>
      <w:r>
        <w:rPr>
          <w:rFonts w:ascii="Arial" w:cs="Arial" w:eastAsia="Arial" w:hAnsi="Arial"/>
          <w:b/>
          <w:bCs/>
          <w:sz w:val="22"/>
          <w:szCs w:val="22"/>
        </w:rPr>
        <w:t xml:space="preserve">stdio: </w:t>
      </w:r>
      <w:r>
        <w:rPr>
          <w:rFonts w:ascii="Arial" w:cs="Arial" w:eastAsia="Arial" w:hAnsi="Arial"/>
          <w:sz w:val="22"/>
          <w:szCs w:val="22"/>
        </w:rPr>
        <w:t xml:space="preserve">Default. Used by Claude Desktop, Claude Code, and Cursor when the user installs via uvx or pipx. No network, no auth required.</w:t>
      </w:r>
    </w:p>
    <w:p>
      <w:pPr>
        <w:pStyle w:val="ListParagraph"/>
        <w:numPr>
          <w:ilvl w:val="0"/>
          <w:numId w:val="2"/>
        </w:numPr>
        <w:spacing w:after="80"/>
      </w:pPr>
      <w:r>
        <w:rPr>
          <w:rFonts w:ascii="Arial" w:cs="Arial" w:eastAsia="Arial" w:hAnsi="Arial"/>
          <w:b/>
          <w:bCs/>
          <w:sz w:val="22"/>
          <w:szCs w:val="22"/>
        </w:rPr>
        <w:t xml:space="preserve">streamable HTTP (stateless JSON): </w:t>
      </w:r>
      <w:r>
        <w:rPr>
          <w:rFonts w:ascii="Arial" w:cs="Arial" w:eastAsia="Arial" w:hAnsi="Arial"/>
          <w:sz w:val="22"/>
          <w:szCs w:val="22"/>
        </w:rPr>
        <w:t xml:space="preserve">Used by the hosted SaaS tier. License key travels in the Authorization header. No session state — every request is independent. Easier to scale horizontally on Railway.</w:t>
      </w:r>
    </w:p>
    <w:p>
      <w:pPr>
        <w:pStyle w:val="Heading2"/>
        <w:spacing w:after="160" w:before="320"/>
      </w:pPr>
      <w:r>
        <w:rPr>
          <w:rFonts w:ascii="Arial" w:cs="Arial" w:eastAsia="Arial" w:hAnsi="Arial"/>
          <w:b/>
          <w:bCs/>
          <w:color w:val="0B2545"/>
          <w:sz w:val="28"/>
          <w:szCs w:val="28"/>
        </w:rPr>
        <w:t xml:space="preserve">7.3 Repository layout</w:t>
      </w:r>
    </w:p>
    <w:p>
      <w:pPr>
        <w:pBdr>
          <w:top w:val="single" w:color="E0E0E0" w:sz="4"/>
          <w:bottom w:val="single" w:color="E0E0E0" w:sz="4"/>
          <w:left w:val="single" w:color="E0E0E0" w:sz="4"/>
          <w:right w:val="single" w:color="E0E0E0" w:sz="4"/>
        </w:pBdr>
        <w:shd w:fill="F4F4F4" w:val="clear"/>
        <w:spacing w:after="120" w:before="120"/>
      </w:pPr>
      <w:r>
        <w:rPr>
          <w:rFonts w:ascii="Courier New" w:cs="Courier New" w:eastAsia="Courier New" w:hAnsi="Courier New"/>
          <w:sz w:val="20"/>
          <w:szCs w:val="20"/>
        </w:rPr>
        <w:t xml:space="preserve">hvac_mcp/</w:t>
      </w:r>
    </w:p>
    <w:p>
      <w:pPr>
        <w:pBdr>
          <w:top w:val="single" w:color="E0E0E0" w:sz="4"/>
          <w:bottom w:val="single" w:color="E0E0E0" w:sz="4"/>
          <w:left w:val="single" w:color="E0E0E0" w:sz="4"/>
          <w:right w:val="single" w:color="E0E0E0" w:sz="4"/>
        </w:pBdr>
        <w:shd w:fill="F4F4F4" w:val="clear"/>
        <w:spacing w:after="120" w:before="120"/>
      </w:pPr>
      <w:r>
        <w:rPr>
          <w:rFonts w:ascii="Courier New" w:cs="Courier New" w:eastAsia="Courier New" w:hAnsi="Courier New"/>
          <w:sz w:val="20"/>
          <w:szCs w:val="20"/>
        </w:rPr>
        <w:t xml:space="preserve">├── CLAUDE.md                    # Project brief Claude Code reads on startup</w:t>
      </w:r>
    </w:p>
    <w:p>
      <w:pPr>
        <w:pBdr>
          <w:top w:val="single" w:color="E0E0E0" w:sz="4"/>
          <w:bottom w:val="single" w:color="E0E0E0" w:sz="4"/>
          <w:left w:val="single" w:color="E0E0E0" w:sz="4"/>
          <w:right w:val="single" w:color="E0E0E0" w:sz="4"/>
        </w:pBdr>
        <w:shd w:fill="F4F4F4" w:val="clear"/>
        <w:spacing w:after="120" w:before="120"/>
      </w:pPr>
      <w:r>
        <w:rPr>
          <w:rFonts w:ascii="Courier New" w:cs="Courier New" w:eastAsia="Courier New" w:hAnsi="Courier New"/>
          <w:sz w:val="20"/>
          <w:szCs w:val="20"/>
        </w:rPr>
        <w:t xml:space="preserve">├── README.md                    # GitHub landing page</w:t>
      </w:r>
    </w:p>
    <w:p>
      <w:pPr>
        <w:pBdr>
          <w:top w:val="single" w:color="E0E0E0" w:sz="4"/>
          <w:bottom w:val="single" w:color="E0E0E0" w:sz="4"/>
          <w:left w:val="single" w:color="E0E0E0" w:sz="4"/>
          <w:right w:val="single" w:color="E0E0E0" w:sz="4"/>
        </w:pBdr>
        <w:shd w:fill="F4F4F4" w:val="clear"/>
        <w:spacing w:after="120" w:before="120"/>
      </w:pPr>
      <w:r>
        <w:rPr>
          <w:rFonts w:ascii="Courier New" w:cs="Courier New" w:eastAsia="Courier New" w:hAnsi="Courier New"/>
          <w:sz w:val="20"/>
          <w:szCs w:val="20"/>
        </w:rPr>
        <w:t xml:space="preserve">├── LICENSE                      # MIT</w:t>
      </w:r>
    </w:p>
    <w:p>
      <w:pPr>
        <w:pBdr>
          <w:top w:val="single" w:color="E0E0E0" w:sz="4"/>
          <w:bottom w:val="single" w:color="E0E0E0" w:sz="4"/>
          <w:left w:val="single" w:color="E0E0E0" w:sz="4"/>
          <w:right w:val="single" w:color="E0E0E0" w:sz="4"/>
        </w:pBdr>
        <w:shd w:fill="F4F4F4" w:val="clear"/>
        <w:spacing w:after="120" w:before="120"/>
      </w:pPr>
      <w:r>
        <w:rPr>
          <w:rFonts w:ascii="Courier New" w:cs="Courier New" w:eastAsia="Courier New" w:hAnsi="Courier New"/>
          <w:sz w:val="20"/>
          <w:szCs w:val="20"/>
        </w:rPr>
        <w:t xml:space="preserve">├── pyproject.toml               # uv-ready package config</w:t>
      </w:r>
    </w:p>
    <w:p>
      <w:pPr>
        <w:pBdr>
          <w:top w:val="single" w:color="E0E0E0" w:sz="4"/>
          <w:bottom w:val="single" w:color="E0E0E0" w:sz="4"/>
          <w:left w:val="single" w:color="E0E0E0" w:sz="4"/>
          <w:right w:val="single" w:color="E0E0E0" w:sz="4"/>
        </w:pBdr>
        <w:shd w:fill="F4F4F4" w:val="clear"/>
        <w:spacing w:after="120" w:before="120"/>
      </w:pPr>
      <w:r>
        <w:rPr>
          <w:rFonts w:ascii="Courier New" w:cs="Courier New" w:eastAsia="Courier New" w:hAnsi="Courier New"/>
          <w:sz w:val="20"/>
          <w:szCs w:val="20"/>
        </w:rPr>
        <w:t xml:space="preserve">├── src/hvac_mcp/</w:t>
      </w:r>
    </w:p>
    <w:p>
      <w:pPr>
        <w:pBdr>
          <w:top w:val="single" w:color="E0E0E0" w:sz="4"/>
          <w:bottom w:val="single" w:color="E0E0E0" w:sz="4"/>
          <w:left w:val="single" w:color="E0E0E0" w:sz="4"/>
          <w:right w:val="single" w:color="E0E0E0" w:sz="4"/>
        </w:pBdr>
        <w:shd w:fill="F4F4F4" w:val="clear"/>
        <w:spacing w:after="120" w:before="120"/>
      </w:pPr>
      <w:r>
        <w:rPr>
          <w:rFonts w:ascii="Courier New" w:cs="Courier New" w:eastAsia="Courier New" w:hAnsi="Courier New"/>
          <w:sz w:val="20"/>
          <w:szCs w:val="20"/>
        </w:rPr>
        <w:t xml:space="preserve">│   ├── server.py                # FastMCP entrypoint</w:t>
      </w:r>
    </w:p>
    <w:p>
      <w:pPr>
        <w:pBdr>
          <w:top w:val="single" w:color="E0E0E0" w:sz="4"/>
          <w:bottom w:val="single" w:color="E0E0E0" w:sz="4"/>
          <w:left w:val="single" w:color="E0E0E0" w:sz="4"/>
          <w:right w:val="single" w:color="E0E0E0" w:sz="4"/>
        </w:pBdr>
        <w:shd w:fill="F4F4F4" w:val="clear"/>
        <w:spacing w:after="120" w:before="120"/>
      </w:pPr>
      <w:r>
        <w:rPr>
          <w:rFonts w:ascii="Courier New" w:cs="Courier New" w:eastAsia="Courier New" w:hAnsi="Courier New"/>
          <w:sz w:val="20"/>
          <w:szCs w:val="20"/>
        </w:rPr>
        <w:t xml:space="preserve">│   ├── licensing.py             # @premium decorator + key check</w:t>
      </w:r>
    </w:p>
    <w:p>
      <w:pPr>
        <w:pBdr>
          <w:top w:val="single" w:color="E0E0E0" w:sz="4"/>
          <w:bottom w:val="single" w:color="E0E0E0" w:sz="4"/>
          <w:left w:val="single" w:color="E0E0E0" w:sz="4"/>
          <w:right w:val="single" w:color="E0E0E0" w:sz="4"/>
        </w:pBdr>
        <w:shd w:fill="F4F4F4" w:val="clear"/>
        <w:spacing w:after="120" w:before="120"/>
      </w:pPr>
      <w:r>
        <w:rPr>
          <w:rFonts w:ascii="Courier New" w:cs="Courier New" w:eastAsia="Courier New" w:hAnsi="Courier New"/>
          <w:sz w:val="20"/>
          <w:szCs w:val="20"/>
        </w:rPr>
        <w:t xml:space="preserve">│   ├── tools/                   # One module per tool family</w:t>
      </w:r>
    </w:p>
    <w:p>
      <w:pPr>
        <w:pBdr>
          <w:top w:val="single" w:color="E0E0E0" w:sz="4"/>
          <w:bottom w:val="single" w:color="E0E0E0" w:sz="4"/>
          <w:left w:val="single" w:color="E0E0E0" w:sz="4"/>
          <w:right w:val="single" w:color="E0E0E0" w:sz="4"/>
        </w:pBdr>
        <w:shd w:fill="F4F4F4" w:val="clear"/>
        <w:spacing w:after="120" w:before="120"/>
      </w:pPr>
      <w:r>
        <w:rPr>
          <w:rFonts w:ascii="Courier New" w:cs="Courier New" w:eastAsia="Courier New" w:hAnsi="Courier New"/>
          <w:sz w:val="20"/>
          <w:szCs w:val="20"/>
        </w:rPr>
        <w:t xml:space="preserve">│   └── data/                    # Bundled PT tables, code snippets</w:t>
      </w:r>
    </w:p>
    <w:p>
      <w:pPr>
        <w:pBdr>
          <w:top w:val="single" w:color="E0E0E0" w:sz="4"/>
          <w:bottom w:val="single" w:color="E0E0E0" w:sz="4"/>
          <w:left w:val="single" w:color="E0E0E0" w:sz="4"/>
          <w:right w:val="single" w:color="E0E0E0" w:sz="4"/>
        </w:pBdr>
        <w:shd w:fill="F4F4F4" w:val="clear"/>
        <w:spacing w:after="120" w:before="120"/>
      </w:pPr>
      <w:r>
        <w:rPr>
          <w:rFonts w:ascii="Courier New" w:cs="Courier New" w:eastAsia="Courier New" w:hAnsi="Courier New"/>
          <w:sz w:val="20"/>
          <w:szCs w:val="20"/>
        </w:rPr>
        <w:t xml:space="preserve">├── tests/                       # pytest suite</w:t>
      </w:r>
    </w:p>
    <w:p>
      <w:pPr>
        <w:pBdr>
          <w:top w:val="single" w:color="E0E0E0" w:sz="4"/>
          <w:bottom w:val="single" w:color="E0E0E0" w:sz="4"/>
          <w:left w:val="single" w:color="E0E0E0" w:sz="4"/>
          <w:right w:val="single" w:color="E0E0E0" w:sz="4"/>
        </w:pBdr>
        <w:shd w:fill="F4F4F4" w:val="clear"/>
        <w:spacing w:after="120" w:before="120"/>
      </w:pPr>
      <w:r>
        <w:rPr>
          <w:rFonts w:ascii="Courier New" w:cs="Courier New" w:eastAsia="Courier New" w:hAnsi="Courier New"/>
          <w:sz w:val="20"/>
          <w:szCs w:val="20"/>
        </w:rPr>
        <w:t xml:space="preserve">├── tasks/                       # todo.md + lessons.md (operator workflow)</w:t>
      </w:r>
    </w:p>
    <w:p>
      <w:pPr>
        <w:pBdr>
          <w:top w:val="single" w:color="E0E0E0" w:sz="4"/>
          <w:bottom w:val="single" w:color="E0E0E0" w:sz="4"/>
          <w:left w:val="single" w:color="E0E0E0" w:sz="4"/>
          <w:right w:val="single" w:color="E0E0E0" w:sz="4"/>
        </w:pBdr>
        <w:shd w:fill="F4F4F4" w:val="clear"/>
        <w:spacing w:after="120" w:before="120"/>
      </w:pPr>
      <w:r>
        <w:rPr>
          <w:rFonts w:ascii="Courier New" w:cs="Courier New" w:eastAsia="Courier New" w:hAnsi="Courier New"/>
          <w:sz w:val="20"/>
          <w:szCs w:val="20"/>
        </w:rPr>
        <w:t xml:space="preserve">└── docs/                        # CONNECTING.md + TOOL_CATALOG.md</w:t>
      </w:r>
    </w:p>
    <w:p>
      <w:pPr>
        <w:pStyle w:val="Heading2"/>
        <w:spacing w:after="160" w:before="320"/>
      </w:pPr>
      <w:r>
        <w:rPr>
          <w:rFonts w:ascii="Arial" w:cs="Arial" w:eastAsia="Arial" w:hAnsi="Arial"/>
          <w:b/>
          <w:bCs/>
          <w:color w:val="0B2545"/>
          <w:sz w:val="28"/>
          <w:szCs w:val="28"/>
        </w:rPr>
        <w:t xml:space="preserve">7.4 Data boundaries</w:t>
      </w:r>
    </w:p>
    <w:p>
      <w:pPr>
        <w:pStyle w:val="ListParagraph"/>
        <w:numPr>
          <w:ilvl w:val="0"/>
          <w:numId w:val="2"/>
        </w:numPr>
        <w:spacing w:after="80"/>
      </w:pPr>
      <w:r>
        <w:rPr>
          <w:rFonts w:ascii="Arial" w:cs="Arial" w:eastAsia="Arial" w:hAnsi="Arial"/>
          <w:sz w:val="22"/>
          <w:szCs w:val="22"/>
        </w:rPr>
        <w:t xml:space="preserve">All free-tier reference data (PT tables, code snippets, symptom trees, fault codes) ships bundled inside the Python package. No network calls, no external API keys required for the free tier.</w:t>
      </w:r>
    </w:p>
    <w:p>
      <w:pPr>
        <w:pStyle w:val="ListParagraph"/>
        <w:numPr>
          <w:ilvl w:val="0"/>
          <w:numId w:val="2"/>
        </w:numPr>
        <w:spacing w:after="80"/>
      </w:pPr>
      <w:r>
        <w:rPr>
          <w:rFonts w:ascii="Arial" w:cs="Arial" w:eastAsia="Arial" w:hAnsi="Arial"/>
          <w:sz w:val="22"/>
          <w:szCs w:val="22"/>
        </w:rPr>
        <w:t xml:space="preserve">Premium tools that hit external APIs (permit lookups, parts cross-reference) do so through the shared httpx client and return actionable errors on any non-200 response.</w:t>
      </w:r>
    </w:p>
    <w:p>
      <w:pPr>
        <w:pStyle w:val="ListParagraph"/>
        <w:numPr>
          <w:ilvl w:val="0"/>
          <w:numId w:val="2"/>
        </w:numPr>
        <w:spacing w:after="80"/>
      </w:pPr>
      <w:r>
        <w:rPr>
          <w:rFonts w:ascii="Arial" w:cs="Arial" w:eastAsia="Arial" w:hAnsi="Arial"/>
          <w:sz w:val="22"/>
          <w:szCs w:val="22"/>
        </w:rPr>
        <w:t xml:space="preserve">No user data is persisted server-side. License keys are stateless — validated against Stripe metadata with an in-memory TTL cache.</w:t>
      </w:r>
    </w:p>
    <w:p>
      <w:r>
        <w:br w:type="page"/>
      </w:r>
    </w:p>
    <w:p>
      <w:pPr>
        <w:pStyle w:val="Heading1"/>
        <w:spacing w:after="200" w:before="400"/>
      </w:pPr>
      <w:r>
        <w:rPr>
          <w:rFonts w:ascii="Arial" w:cs="Arial" w:eastAsia="Arial" w:hAnsi="Arial"/>
          <w:b/>
          <w:bCs/>
          <w:color w:val="0B2545"/>
          <w:sz w:val="36"/>
          <w:szCs w:val="36"/>
        </w:rPr>
        <w:t xml:space="preserve">8. Business Model and Pricing</w:t>
      </w:r>
    </w:p>
    <w:p>
      <w:pPr>
        <w:pStyle w:val="Heading2"/>
        <w:spacing w:after="160" w:before="320"/>
      </w:pPr>
      <w:r>
        <w:rPr>
          <w:rFonts w:ascii="Arial" w:cs="Arial" w:eastAsia="Arial" w:hAnsi="Arial"/>
          <w:b/>
          <w:bCs/>
          <w:color w:val="0B2545"/>
          <w:sz w:val="28"/>
          <w:szCs w:val="28"/>
        </w:rPr>
        <w:t xml:space="preserve">8.1 Tiers</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1400"/>
        <w:gridCol w:w="1600"/>
        <w:gridCol w:w="4160"/>
        <w:gridCol w:w="2200"/>
      </w:tblGrid>
      <w:tr>
        <w:trPr>
          <w:tblHeader/>
        </w:trPr>
        <w:tc>
          <w:tcPr>
            <w:tcW w:type="dxa" w:w="1400"/>
            <w:tcBorders>
              <w:top w:val="single" w:color="CCCCCC" w:sz="6"/>
              <w:left w:val="single" w:color="CCCCCC" w:sz="6"/>
              <w:bottom w:val="single" w:color="CCCCCC" w:sz="6"/>
              <w:right w:val="single" w:color="CCCCCC" w:sz="6"/>
            </w:tcBorders>
            <w:shd w:fill="0B2545" w:val="clear"/>
            <w:tcMar>
              <w:top w:type="dxa" w:w="100"/>
              <w:left w:type="dxa" w:w="140"/>
              <w:bottom w:type="dxa" w:w="100"/>
              <w:right w:type="dxa" w:w="140"/>
            </w:tcMar>
          </w:tcPr>
          <w:p>
            <w:pPr>
              <w:spacing w:after="0"/>
            </w:pPr>
            <w:r>
              <w:rPr>
                <w:rFonts w:ascii="Arial" w:cs="Arial" w:eastAsia="Arial" w:hAnsi="Arial"/>
                <w:b/>
                <w:bCs/>
                <w:color w:val="FFFFFF"/>
                <w:sz w:val="22"/>
                <w:szCs w:val="22"/>
              </w:rPr>
              <w:t xml:space="preserve">Tier</w:t>
            </w:r>
          </w:p>
        </w:tc>
        <w:tc>
          <w:tcPr>
            <w:tcW w:type="dxa" w:w="1600"/>
            <w:tcBorders>
              <w:top w:val="single" w:color="CCCCCC" w:sz="6"/>
              <w:left w:val="single" w:color="CCCCCC" w:sz="6"/>
              <w:bottom w:val="single" w:color="CCCCCC" w:sz="6"/>
              <w:right w:val="single" w:color="CCCCCC" w:sz="6"/>
            </w:tcBorders>
            <w:shd w:fill="0B2545" w:val="clear"/>
            <w:tcMar>
              <w:top w:type="dxa" w:w="100"/>
              <w:left w:type="dxa" w:w="140"/>
              <w:bottom w:type="dxa" w:w="100"/>
              <w:right w:type="dxa" w:w="140"/>
            </w:tcMar>
          </w:tcPr>
          <w:p>
            <w:pPr>
              <w:spacing w:after="0"/>
            </w:pPr>
            <w:r>
              <w:rPr>
                <w:rFonts w:ascii="Arial" w:cs="Arial" w:eastAsia="Arial" w:hAnsi="Arial"/>
                <w:b/>
                <w:bCs/>
                <w:color w:val="FFFFFF"/>
                <w:sz w:val="22"/>
                <w:szCs w:val="22"/>
              </w:rPr>
              <w:t xml:space="preserve">Price</w:t>
            </w:r>
          </w:p>
        </w:tc>
        <w:tc>
          <w:tcPr>
            <w:tcW w:type="dxa" w:w="4160"/>
            <w:tcBorders>
              <w:top w:val="single" w:color="CCCCCC" w:sz="6"/>
              <w:left w:val="single" w:color="CCCCCC" w:sz="6"/>
              <w:bottom w:val="single" w:color="CCCCCC" w:sz="6"/>
              <w:right w:val="single" w:color="CCCCCC" w:sz="6"/>
            </w:tcBorders>
            <w:shd w:fill="0B2545" w:val="clear"/>
            <w:tcMar>
              <w:top w:type="dxa" w:w="100"/>
              <w:left w:type="dxa" w:w="140"/>
              <w:bottom w:type="dxa" w:w="100"/>
              <w:right w:type="dxa" w:w="140"/>
            </w:tcMar>
          </w:tcPr>
          <w:p>
            <w:pPr>
              <w:spacing w:after="0"/>
            </w:pPr>
            <w:r>
              <w:rPr>
                <w:rFonts w:ascii="Arial" w:cs="Arial" w:eastAsia="Arial" w:hAnsi="Arial"/>
                <w:b/>
                <w:bCs/>
                <w:color w:val="FFFFFF"/>
                <w:sz w:val="22"/>
                <w:szCs w:val="22"/>
              </w:rPr>
              <w:t xml:space="preserve">Includes</w:t>
            </w:r>
          </w:p>
        </w:tc>
        <w:tc>
          <w:tcPr>
            <w:tcW w:type="dxa" w:w="2200"/>
            <w:tcBorders>
              <w:top w:val="single" w:color="CCCCCC" w:sz="6"/>
              <w:left w:val="single" w:color="CCCCCC" w:sz="6"/>
              <w:bottom w:val="single" w:color="CCCCCC" w:sz="6"/>
              <w:right w:val="single" w:color="CCCCCC" w:sz="6"/>
            </w:tcBorders>
            <w:shd w:fill="0B2545" w:val="clear"/>
            <w:tcMar>
              <w:top w:type="dxa" w:w="100"/>
              <w:left w:type="dxa" w:w="140"/>
              <w:bottom w:type="dxa" w:w="100"/>
              <w:right w:type="dxa" w:w="140"/>
            </w:tcMar>
          </w:tcPr>
          <w:p>
            <w:pPr>
              <w:spacing w:after="0"/>
            </w:pPr>
            <w:r>
              <w:rPr>
                <w:rFonts w:ascii="Arial" w:cs="Arial" w:eastAsia="Arial" w:hAnsi="Arial"/>
                <w:b/>
                <w:bCs/>
                <w:color w:val="FFFFFF"/>
                <w:sz w:val="22"/>
                <w:szCs w:val="22"/>
              </w:rPr>
              <w:t xml:space="preserve">Target customer</w:t>
            </w:r>
          </w:p>
        </w:tc>
      </w:tr>
      <w:tr>
        <w:trPr>
          <w:tblHeader w:val="false"/>
        </w:trPr>
        <w:tc>
          <w:tcPr>
            <w:tcW w:type="dxa" w:w="14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Open source</w:t>
            </w:r>
          </w:p>
        </w:tc>
        <w:tc>
          <w:tcPr>
            <w:tcW w:type="dxa" w:w="16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Free (MIT)</w:t>
            </w:r>
          </w:p>
        </w:tc>
        <w:tc>
          <w:tcPr>
            <w:tcW w:type="dxa" w:w="416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7 free-tier tools, self-host</w:t>
            </w:r>
          </w:p>
        </w:tc>
        <w:tc>
          <w:tcPr>
            <w:tcW w:type="dxa" w:w="22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Developers, power users</w:t>
            </w:r>
          </w:p>
        </w:tc>
      </w:tr>
      <w:tr>
        <w:trPr>
          <w:tblHeader w:val="false"/>
        </w:trPr>
        <w:tc>
          <w:tcPr>
            <w:tcW w:type="dxa" w:w="140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Hosted Starter</w:t>
            </w:r>
          </w:p>
        </w:tc>
        <w:tc>
          <w:tcPr>
            <w:tcW w:type="dxa" w:w="160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$29/month</w:t>
            </w:r>
          </w:p>
        </w:tc>
        <w:tc>
          <w:tcPr>
            <w:tcW w:type="dxa" w:w="416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All free tools + 3 premium tools</w:t>
            </w:r>
          </w:p>
        </w:tc>
        <w:tc>
          <w:tcPr>
            <w:tcW w:type="dxa" w:w="220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Solo techs &amp; 1–2 person shops</w:t>
            </w:r>
          </w:p>
        </w:tc>
      </w:tr>
      <w:tr>
        <w:trPr>
          <w:tblHeader w:val="false"/>
        </w:trPr>
        <w:tc>
          <w:tcPr>
            <w:tcW w:type="dxa" w:w="14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Hosted Pro</w:t>
            </w:r>
          </w:p>
        </w:tc>
        <w:tc>
          <w:tcPr>
            <w:tcW w:type="dxa" w:w="16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$79/month</w:t>
            </w:r>
          </w:p>
        </w:tc>
        <w:tc>
          <w:tcPr>
            <w:tcW w:type="dxa" w:w="416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All tools + FL permit lookup + support</w:t>
            </w:r>
          </w:p>
        </w:tc>
        <w:tc>
          <w:tcPr>
            <w:tcW w:type="dxa" w:w="22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2–5 person shops</w:t>
            </w:r>
          </w:p>
        </w:tc>
      </w:tr>
      <w:tr>
        <w:trPr>
          <w:tblHeader w:val="false"/>
        </w:trPr>
        <w:tc>
          <w:tcPr>
            <w:tcW w:type="dxa" w:w="140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Lifetime</w:t>
            </w:r>
          </w:p>
        </w:tc>
        <w:tc>
          <w:tcPr>
            <w:tcW w:type="dxa" w:w="160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$399 one-time</w:t>
            </w:r>
          </w:p>
        </w:tc>
        <w:tc>
          <w:tcPr>
            <w:tcW w:type="dxa" w:w="416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All current + future tools, forever</w:t>
            </w:r>
          </w:p>
        </w:tc>
        <w:tc>
          <w:tcPr>
            <w:tcW w:type="dxa" w:w="220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Early adopters only (first 50)</w:t>
            </w:r>
          </w:p>
        </w:tc>
      </w:tr>
    </w:tbl>
    <w:p>
      <w:pPr>
        <w:pStyle w:val="Heading2"/>
        <w:spacing w:after="160" w:before="320"/>
      </w:pPr>
      <w:r>
        <w:rPr>
          <w:rFonts w:ascii="Arial" w:cs="Arial" w:eastAsia="Arial" w:hAnsi="Arial"/>
          <w:b/>
          <w:bCs/>
          <w:color w:val="0B2545"/>
          <w:sz w:val="28"/>
          <w:szCs w:val="28"/>
        </w:rPr>
        <w:t xml:space="preserve">8.2 Why this pricing</w:t>
      </w:r>
    </w:p>
    <w:p>
      <w:pPr>
        <w:pStyle w:val="ListParagraph"/>
        <w:numPr>
          <w:ilvl w:val="0"/>
          <w:numId w:val="2"/>
        </w:numPr>
        <w:spacing w:after="80"/>
      </w:pPr>
      <w:r>
        <w:rPr>
          <w:rFonts w:ascii="Arial" w:cs="Arial" w:eastAsia="Arial" w:hAnsi="Arial"/>
          <w:sz w:val="22"/>
          <w:szCs w:val="22"/>
        </w:rPr>
        <w:t xml:space="preserve">$29 is below the "needs approval from the spouse" threshold for an owner-operator. It also matches the operator's existing Gumroad pricing for n8n workflows.</w:t>
      </w:r>
    </w:p>
    <w:p>
      <w:pPr>
        <w:pStyle w:val="ListParagraph"/>
        <w:numPr>
          <w:ilvl w:val="0"/>
          <w:numId w:val="2"/>
        </w:numPr>
        <w:spacing w:after="80"/>
      </w:pPr>
      <w:r>
        <w:rPr>
          <w:rFonts w:ascii="Arial" w:cs="Arial" w:eastAsia="Arial" w:hAnsi="Arial"/>
          <w:sz w:val="22"/>
          <w:szCs w:val="22"/>
        </w:rPr>
        <w:t xml:space="preserve">$79 Pro is where the permit lookup lives — which is the single feature a working plumber would pay for by itself.</w:t>
      </w:r>
    </w:p>
    <w:p>
      <w:pPr>
        <w:pStyle w:val="ListParagraph"/>
        <w:numPr>
          <w:ilvl w:val="0"/>
          <w:numId w:val="2"/>
        </w:numPr>
        <w:spacing w:after="80"/>
      </w:pPr>
      <w:r>
        <w:rPr>
          <w:rFonts w:ascii="Arial" w:cs="Arial" w:eastAsia="Arial" w:hAnsi="Arial"/>
          <w:sz w:val="22"/>
          <w:szCs w:val="22"/>
        </w:rPr>
        <w:t xml:space="preserve">The $399 lifetime tier exists to bootstrap revenue fast. 50 lifetime buyers at $399 is $19,950 — enough to fund hosting and marketing for a year without any recurring churn worry.</w:t>
      </w:r>
    </w:p>
    <w:p>
      <w:pPr>
        <w:pStyle w:val="ListParagraph"/>
        <w:numPr>
          <w:ilvl w:val="0"/>
          <w:numId w:val="2"/>
        </w:numPr>
        <w:spacing w:after="80"/>
      </w:pPr>
      <w:r>
        <w:rPr>
          <w:rFonts w:ascii="Arial" w:cs="Arial" w:eastAsia="Arial" w:hAnsi="Arial"/>
          <w:sz w:val="22"/>
          <w:szCs w:val="22"/>
        </w:rPr>
        <w:t xml:space="preserve">No free trial in v1. Free tier is the trial. Friction between "loves the free tools" and "wants invoice drafting" is the upgrade trigger.</w:t>
      </w:r>
    </w:p>
    <w:p>
      <w:pPr>
        <w:pStyle w:val="Heading2"/>
        <w:spacing w:after="160" w:before="320"/>
      </w:pPr>
      <w:r>
        <w:rPr>
          <w:rFonts w:ascii="Arial" w:cs="Arial" w:eastAsia="Arial" w:hAnsi="Arial"/>
          <w:b/>
          <w:bCs/>
          <w:color w:val="0B2545"/>
          <w:sz w:val="28"/>
          <w:szCs w:val="28"/>
        </w:rPr>
        <w:t xml:space="preserve">8.3 Revenue targets</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3400"/>
        <w:gridCol w:w="3200"/>
        <w:gridCol w:w="2760"/>
      </w:tblGrid>
      <w:tr>
        <w:trPr>
          <w:tblHeader/>
        </w:trPr>
        <w:tc>
          <w:tcPr>
            <w:tcW w:type="dxa" w:w="3400"/>
            <w:tcBorders>
              <w:top w:val="single" w:color="CCCCCC" w:sz="6"/>
              <w:left w:val="single" w:color="CCCCCC" w:sz="6"/>
              <w:bottom w:val="single" w:color="CCCCCC" w:sz="6"/>
              <w:right w:val="single" w:color="CCCCCC" w:sz="6"/>
            </w:tcBorders>
            <w:shd w:fill="0B2545" w:val="clear"/>
            <w:tcMar>
              <w:top w:type="dxa" w:w="100"/>
              <w:left w:type="dxa" w:w="140"/>
              <w:bottom w:type="dxa" w:w="100"/>
              <w:right w:type="dxa" w:w="140"/>
            </w:tcMar>
          </w:tcPr>
          <w:p>
            <w:pPr>
              <w:spacing w:after="0"/>
            </w:pPr>
            <w:r>
              <w:rPr>
                <w:rFonts w:ascii="Arial" w:cs="Arial" w:eastAsia="Arial" w:hAnsi="Arial"/>
                <w:b/>
                <w:bCs/>
                <w:color w:val="FFFFFF"/>
                <w:sz w:val="22"/>
                <w:szCs w:val="22"/>
              </w:rPr>
              <w:t xml:space="preserve">Milestone</w:t>
            </w:r>
          </w:p>
        </w:tc>
        <w:tc>
          <w:tcPr>
            <w:tcW w:type="dxa" w:w="3200"/>
            <w:tcBorders>
              <w:top w:val="single" w:color="CCCCCC" w:sz="6"/>
              <w:left w:val="single" w:color="CCCCCC" w:sz="6"/>
              <w:bottom w:val="single" w:color="CCCCCC" w:sz="6"/>
              <w:right w:val="single" w:color="CCCCCC" w:sz="6"/>
            </w:tcBorders>
            <w:shd w:fill="0B2545" w:val="clear"/>
            <w:tcMar>
              <w:top w:type="dxa" w:w="100"/>
              <w:left w:type="dxa" w:w="140"/>
              <w:bottom w:type="dxa" w:w="100"/>
              <w:right w:type="dxa" w:w="140"/>
            </w:tcMar>
          </w:tcPr>
          <w:p>
            <w:pPr>
              <w:spacing w:after="0"/>
            </w:pPr>
            <w:r>
              <w:rPr>
                <w:rFonts w:ascii="Arial" w:cs="Arial" w:eastAsia="Arial" w:hAnsi="Arial"/>
                <w:b/>
                <w:bCs/>
                <w:color w:val="FFFFFF"/>
                <w:sz w:val="22"/>
                <w:szCs w:val="22"/>
              </w:rPr>
              <w:t xml:space="preserve">Target</w:t>
            </w:r>
          </w:p>
        </w:tc>
        <w:tc>
          <w:tcPr>
            <w:tcW w:type="dxa" w:w="2760"/>
            <w:tcBorders>
              <w:top w:val="single" w:color="CCCCCC" w:sz="6"/>
              <w:left w:val="single" w:color="CCCCCC" w:sz="6"/>
              <w:bottom w:val="single" w:color="CCCCCC" w:sz="6"/>
              <w:right w:val="single" w:color="CCCCCC" w:sz="6"/>
            </w:tcBorders>
            <w:shd w:fill="0B2545" w:val="clear"/>
            <w:tcMar>
              <w:top w:type="dxa" w:w="100"/>
              <w:left w:type="dxa" w:w="140"/>
              <w:bottom w:type="dxa" w:w="100"/>
              <w:right w:type="dxa" w:w="140"/>
            </w:tcMar>
          </w:tcPr>
          <w:p>
            <w:pPr>
              <w:spacing w:after="0"/>
            </w:pPr>
            <w:r>
              <w:rPr>
                <w:rFonts w:ascii="Arial" w:cs="Arial" w:eastAsia="Arial" w:hAnsi="Arial"/>
                <w:b/>
                <w:bCs/>
                <w:color w:val="FFFFFF"/>
                <w:sz w:val="22"/>
                <w:szCs w:val="22"/>
              </w:rPr>
              <w:t xml:space="preserve">Date</w:t>
            </w:r>
          </w:p>
        </w:tc>
      </w:tr>
      <w:tr>
        <w:trPr>
          <w:tblHeader w:val="false"/>
        </w:trPr>
        <w:tc>
          <w:tcPr>
            <w:tcW w:type="dxa" w:w="34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First paying customer</w:t>
            </w:r>
          </w:p>
        </w:tc>
        <w:tc>
          <w:tcPr>
            <w:tcW w:type="dxa" w:w="32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1 × $29 or lifetime</w:t>
            </w:r>
          </w:p>
        </w:tc>
        <w:tc>
          <w:tcPr>
            <w:tcW w:type="dxa" w:w="276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Within 7 days of launch</w:t>
            </w:r>
          </w:p>
        </w:tc>
      </w:tr>
      <w:tr>
        <w:trPr>
          <w:tblHeader w:val="false"/>
        </w:trPr>
        <w:tc>
          <w:tcPr>
            <w:tcW w:type="dxa" w:w="340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10 customers (MRR $290+)</w:t>
            </w:r>
          </w:p>
        </w:tc>
        <w:tc>
          <w:tcPr>
            <w:tcW w:type="dxa" w:w="320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Mix of tiers</w:t>
            </w:r>
          </w:p>
        </w:tc>
        <w:tc>
          <w:tcPr>
            <w:tcW w:type="dxa" w:w="276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Day 30</w:t>
            </w:r>
          </w:p>
        </w:tc>
      </w:tr>
      <w:tr>
        <w:trPr>
          <w:tblHeader w:val="false"/>
        </w:trPr>
        <w:tc>
          <w:tcPr>
            <w:tcW w:type="dxa" w:w="34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25 customers (MRR $750+)</w:t>
            </w:r>
          </w:p>
        </w:tc>
        <w:tc>
          <w:tcPr>
            <w:tcW w:type="dxa" w:w="32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Mix of tiers</w:t>
            </w:r>
          </w:p>
        </w:tc>
        <w:tc>
          <w:tcPr>
            <w:tcW w:type="dxa" w:w="276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Day 90</w:t>
            </w:r>
          </w:p>
        </w:tc>
      </w:tr>
      <w:tr>
        <w:trPr>
          <w:tblHeader w:val="false"/>
        </w:trPr>
        <w:tc>
          <w:tcPr>
            <w:tcW w:type="dxa" w:w="340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50 customers (MRR $1.5k+)</w:t>
            </w:r>
          </w:p>
        </w:tc>
        <w:tc>
          <w:tcPr>
            <w:tcW w:type="dxa" w:w="320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Mix of tiers</w:t>
            </w:r>
          </w:p>
        </w:tc>
        <w:tc>
          <w:tcPr>
            <w:tcW w:type="dxa" w:w="276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Day 180</w:t>
            </w:r>
          </w:p>
        </w:tc>
      </w:tr>
      <w:tr>
        <w:trPr>
          <w:tblHeader w:val="false"/>
        </w:trPr>
        <w:tc>
          <w:tcPr>
            <w:tcW w:type="dxa" w:w="34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Lifetime tier sold out</w:t>
            </w:r>
          </w:p>
        </w:tc>
        <w:tc>
          <w:tcPr>
            <w:tcW w:type="dxa" w:w="32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50 × $399 = $19,950</w:t>
            </w:r>
          </w:p>
        </w:tc>
        <w:tc>
          <w:tcPr>
            <w:tcW w:type="dxa" w:w="276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Day 180</w:t>
            </w:r>
          </w:p>
        </w:tc>
      </w:tr>
    </w:tbl>
    <w:p>
      <w:pPr>
        <w:pStyle w:val="Heading1"/>
        <w:spacing w:after="200" w:before="400"/>
      </w:pPr>
      <w:r>
        <w:rPr>
          <w:rFonts w:ascii="Arial" w:cs="Arial" w:eastAsia="Arial" w:hAnsi="Arial"/>
          <w:b/>
          <w:bCs/>
          <w:color w:val="0B2545"/>
          <w:sz w:val="36"/>
          <w:szCs w:val="36"/>
        </w:rPr>
        <w:t xml:space="preserve">9. Go-to-Market Plan</w:t>
      </w:r>
    </w:p>
    <w:p>
      <w:pPr>
        <w:pStyle w:val="Heading2"/>
        <w:spacing w:after="160" w:before="320"/>
      </w:pPr>
      <w:r>
        <w:rPr>
          <w:rFonts w:ascii="Arial" w:cs="Arial" w:eastAsia="Arial" w:hAnsi="Arial"/>
          <w:b/>
          <w:bCs/>
          <w:color w:val="0B2545"/>
          <w:sz w:val="28"/>
          <w:szCs w:val="28"/>
        </w:rPr>
        <w:t xml:space="preserve">9.1 Launch sequence (days 1–14 post-build)</w:t>
      </w:r>
    </w:p>
    <w:p>
      <w:pPr>
        <w:pStyle w:val="ListParagraph"/>
        <w:numPr>
          <w:ilvl w:val="0"/>
          <w:numId w:val="3"/>
        </w:numPr>
        <w:spacing w:after="80"/>
      </w:pPr>
      <w:r>
        <w:rPr>
          <w:rFonts w:ascii="Arial" w:cs="Arial" w:eastAsia="Arial" w:hAnsi="Arial"/>
          <w:sz w:val="22"/>
          <w:szCs w:val="22"/>
        </w:rPr>
        <w:t xml:space="preserve">Publish to PyPI as hvac-mcp. Confirm `uvx hvac-mcp` runs on a fresh machine.</w:t>
      </w:r>
    </w:p>
    <w:p>
      <w:pPr>
        <w:pStyle w:val="ListParagraph"/>
        <w:numPr>
          <w:ilvl w:val="0"/>
          <w:numId w:val="3"/>
        </w:numPr>
        <w:spacing w:after="80"/>
      </w:pPr>
      <w:r>
        <w:rPr>
          <w:rFonts w:ascii="Arial" w:cs="Arial" w:eastAsia="Arial" w:hAnsi="Arial"/>
          <w:sz w:val="22"/>
          <w:szCs w:val="22"/>
        </w:rPr>
        <w:t xml:space="preserve">Publish landing page at hvac-mcp.nightfast.tech with Stripe Checkout links for all three paid tiers.</w:t>
      </w:r>
    </w:p>
    <w:p>
      <w:pPr>
        <w:pStyle w:val="ListParagraph"/>
        <w:numPr>
          <w:ilvl w:val="0"/>
          <w:numId w:val="3"/>
        </w:numPr>
        <w:spacing w:after="80"/>
      </w:pPr>
      <w:r>
        <w:rPr>
          <w:rFonts w:ascii="Arial" w:cs="Arial" w:eastAsia="Arial" w:hAnsi="Arial"/>
          <w:sz w:val="22"/>
          <w:szCs w:val="22"/>
        </w:rPr>
        <w:t xml:space="preserve">Record a 30-second Loom: phone running Claude app, tech asks a charge-check question, gets a real answer. Post as hero asset.</w:t>
      </w:r>
    </w:p>
    <w:p>
      <w:pPr>
        <w:pStyle w:val="ListParagraph"/>
        <w:numPr>
          <w:ilvl w:val="0"/>
          <w:numId w:val="3"/>
        </w:numPr>
        <w:spacing w:after="80"/>
      </w:pPr>
      <w:r>
        <w:rPr>
          <w:rFonts w:ascii="Arial" w:cs="Arial" w:eastAsia="Arial" w:hAnsi="Arial"/>
          <w:sz w:val="22"/>
          <w:szCs w:val="22"/>
        </w:rPr>
        <w:t xml:space="preserve">Post in r/HVAC, r/Plumbing, r/hvacadvice as the builder-tech — share the free tool, not the paid one.</w:t>
      </w:r>
    </w:p>
    <w:p>
      <w:pPr>
        <w:pStyle w:val="ListParagraph"/>
        <w:numPr>
          <w:ilvl w:val="0"/>
          <w:numId w:val="3"/>
        </w:numPr>
        <w:spacing w:after="80"/>
      </w:pPr>
      <w:r>
        <w:rPr>
          <w:rFonts w:ascii="Arial" w:cs="Arial" w:eastAsia="Arial" w:hAnsi="Arial"/>
          <w:sz w:val="22"/>
          <w:szCs w:val="22"/>
        </w:rPr>
        <w:t xml:space="preserve">Post in r/mcp and r/ClaudeAI: "First vertical MCP server for a blue-collar trade — here is what I learned."</w:t>
      </w:r>
    </w:p>
    <w:p>
      <w:pPr>
        <w:pStyle w:val="ListParagraph"/>
        <w:numPr>
          <w:ilvl w:val="0"/>
          <w:numId w:val="3"/>
        </w:numPr>
        <w:spacing w:after="80"/>
      </w:pPr>
      <w:r>
        <w:rPr>
          <w:rFonts w:ascii="Arial" w:cs="Arial" w:eastAsia="Arial" w:hAnsi="Arial"/>
          <w:sz w:val="22"/>
          <w:szCs w:val="22"/>
        </w:rPr>
        <w:t xml:space="preserve">Submit PRs to `modelcontextprotocol/servers` and major awesome-mcp lists.</w:t>
      </w:r>
    </w:p>
    <w:p>
      <w:pPr>
        <w:pStyle w:val="ListParagraph"/>
        <w:numPr>
          <w:ilvl w:val="0"/>
          <w:numId w:val="3"/>
        </w:numPr>
        <w:spacing w:after="80"/>
      </w:pPr>
      <w:r>
        <w:rPr>
          <w:rFonts w:ascii="Arial" w:cs="Arial" w:eastAsia="Arial" w:hAnsi="Arial"/>
          <w:sz w:val="22"/>
          <w:szCs w:val="22"/>
        </w:rPr>
        <w:t xml:space="preserve">DM 10 HVAC YouTubers with a free lifetime license. Ask nothing — offer value.</w:t>
      </w:r>
    </w:p>
    <w:p>
      <w:pPr>
        <w:pStyle w:val="ListParagraph"/>
        <w:numPr>
          <w:ilvl w:val="0"/>
          <w:numId w:val="3"/>
        </w:numPr>
        <w:spacing w:after="80"/>
      </w:pPr>
      <w:r>
        <w:rPr>
          <w:rFonts w:ascii="Arial" w:cs="Arial" w:eastAsia="Arial" w:hAnsi="Arial"/>
          <w:sz w:val="22"/>
          <w:szCs w:val="22"/>
        </w:rPr>
        <w:t xml:space="preserve">Write one dev-to post: "Building a vertical MCP server in a weekend." Cross-post to Hacker News on a slow morning.</w:t>
      </w:r>
    </w:p>
    <w:p>
      <w:pPr>
        <w:pStyle w:val="Heading2"/>
        <w:spacing w:after="160" w:before="320"/>
      </w:pPr>
      <w:r>
        <w:rPr>
          <w:rFonts w:ascii="Arial" w:cs="Arial" w:eastAsia="Arial" w:hAnsi="Arial"/>
          <w:b/>
          <w:bCs/>
          <w:color w:val="0B2545"/>
          <w:sz w:val="28"/>
          <w:szCs w:val="28"/>
        </w:rPr>
        <w:t xml:space="preserve">9.2 Distribution channels, ranked</w:t>
      </w:r>
    </w:p>
    <w:p>
      <w:pPr>
        <w:pStyle w:val="ListParagraph"/>
        <w:numPr>
          <w:ilvl w:val="0"/>
          <w:numId w:val="2"/>
        </w:numPr>
        <w:spacing w:after="80"/>
      </w:pPr>
      <w:r>
        <w:rPr>
          <w:rFonts w:ascii="Arial" w:cs="Arial" w:eastAsia="Arial" w:hAnsi="Arial"/>
          <w:sz w:val="22"/>
          <w:szCs w:val="22"/>
        </w:rPr>
        <w:t xml:space="preserve">Reddit (r/HVAC, r/Plumbing, r/mcp) — highest signal, high credibility if the operator participates as a tech first, builder second.</w:t>
      </w:r>
    </w:p>
    <w:p>
      <w:pPr>
        <w:pStyle w:val="ListParagraph"/>
        <w:numPr>
          <w:ilvl w:val="0"/>
          <w:numId w:val="2"/>
        </w:numPr>
        <w:spacing w:after="80"/>
      </w:pPr>
      <w:r>
        <w:rPr>
          <w:rFonts w:ascii="Arial" w:cs="Arial" w:eastAsia="Arial" w:hAnsi="Arial"/>
          <w:sz w:val="22"/>
          <w:szCs w:val="22"/>
        </w:rPr>
        <w:t xml:space="preserve">HVAC Facebook groups (HVAC Techs Helping HVAC Techs, etc.) — huge audiences, lower conversion, great for brand awareness.</w:t>
      </w:r>
    </w:p>
    <w:p>
      <w:pPr>
        <w:pStyle w:val="ListParagraph"/>
        <w:numPr>
          <w:ilvl w:val="0"/>
          <w:numId w:val="2"/>
        </w:numPr>
        <w:spacing w:after="80"/>
      </w:pPr>
      <w:r>
        <w:rPr>
          <w:rFonts w:ascii="Arial" w:cs="Arial" w:eastAsia="Arial" w:hAnsi="Arial"/>
          <w:sz w:val="22"/>
          <w:szCs w:val="22"/>
        </w:rPr>
        <w:t xml:space="preserve">GitHub discoverability — stars from the Reddit push compound into organic search for "MCP HVAC" etc.</w:t>
      </w:r>
    </w:p>
    <w:p>
      <w:pPr>
        <w:pStyle w:val="ListParagraph"/>
        <w:numPr>
          <w:ilvl w:val="0"/>
          <w:numId w:val="2"/>
        </w:numPr>
        <w:spacing w:after="80"/>
      </w:pPr>
      <w:r>
        <w:rPr>
          <w:rFonts w:ascii="Arial" w:cs="Arial" w:eastAsia="Arial" w:hAnsi="Arial"/>
          <w:sz w:val="22"/>
          <w:szCs w:val="22"/>
        </w:rPr>
        <w:t xml:space="preserve">Trade YouTubers (AC Service Tech, HVAC School, Roger Wakefield) — sponsorship optional; free license + demo is the ask.</w:t>
      </w:r>
    </w:p>
    <w:p>
      <w:pPr>
        <w:pStyle w:val="ListParagraph"/>
        <w:numPr>
          <w:ilvl w:val="0"/>
          <w:numId w:val="2"/>
        </w:numPr>
        <w:spacing w:after="80"/>
      </w:pPr>
      <w:r>
        <w:rPr>
          <w:rFonts w:ascii="Arial" w:cs="Arial" w:eastAsia="Arial" w:hAnsi="Arial"/>
          <w:sz w:val="22"/>
          <w:szCs w:val="22"/>
        </w:rPr>
        <w:t xml:space="preserve">Product Hunt — for the developer audience, not the contractor audience. Second-order credibility.</w:t>
      </w:r>
    </w:p>
    <w:p>
      <w:pPr>
        <w:pStyle w:val="Heading2"/>
        <w:spacing w:after="160" w:before="320"/>
      </w:pPr>
      <w:r>
        <w:rPr>
          <w:rFonts w:ascii="Arial" w:cs="Arial" w:eastAsia="Arial" w:hAnsi="Arial"/>
          <w:b/>
          <w:bCs/>
          <w:color w:val="0B2545"/>
          <w:sz w:val="28"/>
          <w:szCs w:val="28"/>
        </w:rPr>
        <w:t xml:space="preserve">9.3 Positioning</w:t>
      </w:r>
    </w:p>
    <w:p>
      <w:pPr>
        <w:spacing w:after="120"/>
      </w:pPr>
      <w:r>
        <w:rPr>
          <w:rFonts w:ascii="Arial" w:cs="Arial" w:eastAsia="Arial" w:hAnsi="Arial"/>
          <w:sz w:val="22"/>
          <w:szCs w:val="22"/>
        </w:rPr>
        <w:t xml:space="preserve">The hero sentence: "The first AI tool built by an HVAC tech, for HVAC techs."</w:t>
      </w:r>
    </w:p>
    <w:p>
      <w:pPr>
        <w:spacing w:after="120"/>
      </w:pPr>
      <w:r>
        <w:rPr>
          <w:rFonts w:ascii="Arial" w:cs="Arial" w:eastAsia="Arial" w:hAnsi="Arial"/>
          <w:sz w:val="22"/>
          <w:szCs w:val="22"/>
        </w:rPr>
        <w:t xml:space="preserve">Everything else on the landing page supports that sentence: photos of the operator in the field, real refrigerant gauges in the demo video, code citations with FL amendments. No generic tech-bro photography.</w:t>
      </w:r>
    </w:p>
    <w:p>
      <w:r>
        <w:br w:type="page"/>
      </w:r>
    </w:p>
    <w:p>
      <w:pPr>
        <w:pStyle w:val="Heading1"/>
        <w:spacing w:after="200" w:before="400"/>
      </w:pPr>
      <w:r>
        <w:rPr>
          <w:rFonts w:ascii="Arial" w:cs="Arial" w:eastAsia="Arial" w:hAnsi="Arial"/>
          <w:b/>
          <w:bCs/>
          <w:color w:val="0B2545"/>
          <w:sz w:val="36"/>
          <w:szCs w:val="36"/>
        </w:rPr>
        <w:t xml:space="preserve">10. Build Plan (7-Day Sprint)</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640"/>
        <w:gridCol w:w="1860"/>
        <w:gridCol w:w="3660"/>
        <w:gridCol w:w="3200"/>
      </w:tblGrid>
      <w:tr>
        <w:trPr>
          <w:tblHeader/>
        </w:trPr>
        <w:tc>
          <w:tcPr>
            <w:tcW w:type="dxa" w:w="640"/>
            <w:tcBorders>
              <w:top w:val="single" w:color="CCCCCC" w:sz="6"/>
              <w:left w:val="single" w:color="CCCCCC" w:sz="6"/>
              <w:bottom w:val="single" w:color="CCCCCC" w:sz="6"/>
              <w:right w:val="single" w:color="CCCCCC" w:sz="6"/>
            </w:tcBorders>
            <w:shd w:fill="0B2545" w:val="clear"/>
            <w:tcMar>
              <w:top w:type="dxa" w:w="100"/>
              <w:left w:type="dxa" w:w="140"/>
              <w:bottom w:type="dxa" w:w="100"/>
              <w:right w:type="dxa" w:w="140"/>
            </w:tcMar>
          </w:tcPr>
          <w:p>
            <w:pPr>
              <w:spacing w:after="0"/>
            </w:pPr>
            <w:r>
              <w:rPr>
                <w:rFonts w:ascii="Arial" w:cs="Arial" w:eastAsia="Arial" w:hAnsi="Arial"/>
                <w:b/>
                <w:bCs/>
                <w:color w:val="FFFFFF"/>
                <w:sz w:val="22"/>
                <w:szCs w:val="22"/>
              </w:rPr>
              <w:t xml:space="preserve">Day</w:t>
            </w:r>
          </w:p>
        </w:tc>
        <w:tc>
          <w:tcPr>
            <w:tcW w:type="dxa" w:w="1860"/>
            <w:tcBorders>
              <w:top w:val="single" w:color="CCCCCC" w:sz="6"/>
              <w:left w:val="single" w:color="CCCCCC" w:sz="6"/>
              <w:bottom w:val="single" w:color="CCCCCC" w:sz="6"/>
              <w:right w:val="single" w:color="CCCCCC" w:sz="6"/>
            </w:tcBorders>
            <w:shd w:fill="0B2545" w:val="clear"/>
            <w:tcMar>
              <w:top w:type="dxa" w:w="100"/>
              <w:left w:type="dxa" w:w="140"/>
              <w:bottom w:type="dxa" w:w="100"/>
              <w:right w:type="dxa" w:w="140"/>
            </w:tcMar>
          </w:tcPr>
          <w:p>
            <w:pPr>
              <w:spacing w:after="0"/>
            </w:pPr>
            <w:r>
              <w:rPr>
                <w:rFonts w:ascii="Arial" w:cs="Arial" w:eastAsia="Arial" w:hAnsi="Arial"/>
                <w:b/>
                <w:bCs/>
                <w:color w:val="FFFFFF"/>
                <w:sz w:val="22"/>
                <w:szCs w:val="22"/>
              </w:rPr>
              <w:t xml:space="preserve">Phase</w:t>
            </w:r>
          </w:p>
        </w:tc>
        <w:tc>
          <w:tcPr>
            <w:tcW w:type="dxa" w:w="3660"/>
            <w:tcBorders>
              <w:top w:val="single" w:color="CCCCCC" w:sz="6"/>
              <w:left w:val="single" w:color="CCCCCC" w:sz="6"/>
              <w:bottom w:val="single" w:color="CCCCCC" w:sz="6"/>
              <w:right w:val="single" w:color="CCCCCC" w:sz="6"/>
            </w:tcBorders>
            <w:shd w:fill="0B2545" w:val="clear"/>
            <w:tcMar>
              <w:top w:type="dxa" w:w="100"/>
              <w:left w:type="dxa" w:w="140"/>
              <w:bottom w:type="dxa" w:w="100"/>
              <w:right w:type="dxa" w:w="140"/>
            </w:tcMar>
          </w:tcPr>
          <w:p>
            <w:pPr>
              <w:spacing w:after="0"/>
            </w:pPr>
            <w:r>
              <w:rPr>
                <w:rFonts w:ascii="Arial" w:cs="Arial" w:eastAsia="Arial" w:hAnsi="Arial"/>
                <w:b/>
                <w:bCs/>
                <w:color w:val="FFFFFF"/>
                <w:sz w:val="22"/>
                <w:szCs w:val="22"/>
              </w:rPr>
              <w:t xml:space="preserve">Deliverables</w:t>
            </w:r>
          </w:p>
        </w:tc>
        <w:tc>
          <w:tcPr>
            <w:tcW w:type="dxa" w:w="3200"/>
            <w:tcBorders>
              <w:top w:val="single" w:color="CCCCCC" w:sz="6"/>
              <w:left w:val="single" w:color="CCCCCC" w:sz="6"/>
              <w:bottom w:val="single" w:color="CCCCCC" w:sz="6"/>
              <w:right w:val="single" w:color="CCCCCC" w:sz="6"/>
            </w:tcBorders>
            <w:shd w:fill="0B2545" w:val="clear"/>
            <w:tcMar>
              <w:top w:type="dxa" w:w="100"/>
              <w:left w:type="dxa" w:w="140"/>
              <w:bottom w:type="dxa" w:w="100"/>
              <w:right w:type="dxa" w:w="140"/>
            </w:tcMar>
          </w:tcPr>
          <w:p>
            <w:pPr>
              <w:spacing w:after="0"/>
            </w:pPr>
            <w:r>
              <w:rPr>
                <w:rFonts w:ascii="Arial" w:cs="Arial" w:eastAsia="Arial" w:hAnsi="Arial"/>
                <w:b/>
                <w:bCs/>
                <w:color w:val="FFFFFF"/>
                <w:sz w:val="22"/>
                <w:szCs w:val="22"/>
              </w:rPr>
              <w:t xml:space="preserve">Verification</w:t>
            </w:r>
          </w:p>
        </w:tc>
      </w:tr>
      <w:tr>
        <w:trPr>
          <w:tblHeader w:val="false"/>
        </w:trPr>
        <w:tc>
          <w:tcPr>
            <w:tcW w:type="dxa" w:w="64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1</w:t>
            </w:r>
          </w:p>
        </w:tc>
        <w:tc>
          <w:tcPr>
            <w:tcW w:type="dxa" w:w="186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Scaffold + Tool 1</w:t>
            </w:r>
          </w:p>
        </w:tc>
        <w:tc>
          <w:tcPr>
            <w:tcW w:type="dxa" w:w="366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Repo bootstrap, PT lookup working</w:t>
            </w:r>
          </w:p>
        </w:tc>
        <w:tc>
          <w:tcPr>
            <w:tcW w:type="dxa" w:w="32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uvx server boots, pytest green</w:t>
            </w:r>
          </w:p>
        </w:tc>
      </w:tr>
      <w:tr>
        <w:trPr>
          <w:tblHeader w:val="false"/>
        </w:trPr>
        <w:tc>
          <w:tcPr>
            <w:tcW w:type="dxa" w:w="64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2</w:t>
            </w:r>
          </w:p>
        </w:tc>
        <w:tc>
          <w:tcPr>
            <w:tcW w:type="dxa" w:w="186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Tools 2–4</w:t>
            </w:r>
          </w:p>
        </w:tc>
        <w:tc>
          <w:tcPr>
            <w:tcW w:type="dxa" w:w="366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Charge check, symptom tree, fault codes</w:t>
            </w:r>
          </w:p>
        </w:tc>
        <w:tc>
          <w:tcPr>
            <w:tcW w:type="dxa" w:w="320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Each tool returns real answers in MCP Inspector</w:t>
            </w:r>
          </w:p>
        </w:tc>
      </w:tr>
      <w:tr>
        <w:trPr>
          <w:tblHeader w:val="false"/>
        </w:trPr>
        <w:tc>
          <w:tcPr>
            <w:tcW w:type="dxa" w:w="64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3</w:t>
            </w:r>
          </w:p>
        </w:tc>
        <w:tc>
          <w:tcPr>
            <w:tcW w:type="dxa" w:w="186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Tools 5–7</w:t>
            </w:r>
          </w:p>
        </w:tc>
        <w:tc>
          <w:tcPr>
            <w:tcW w:type="dxa" w:w="366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Code lookup, pipe size, duct size</w:t>
            </w:r>
          </w:p>
        </w:tc>
        <w:tc>
          <w:tcPr>
            <w:tcW w:type="dxa" w:w="32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Integration test against Claude Desktop</w:t>
            </w:r>
          </w:p>
        </w:tc>
      </w:tr>
      <w:tr>
        <w:trPr>
          <w:tblHeader w:val="false"/>
        </w:trPr>
        <w:tc>
          <w:tcPr>
            <w:tcW w:type="dxa" w:w="64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4</w:t>
            </w:r>
          </w:p>
        </w:tc>
        <w:tc>
          <w:tcPr>
            <w:tcW w:type="dxa" w:w="186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HTTP transport + Docker</w:t>
            </w:r>
          </w:p>
        </w:tc>
        <w:tc>
          <w:tcPr>
            <w:tcW w:type="dxa" w:w="366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Streamable HTTP mode, Railway deploy</w:t>
            </w:r>
          </w:p>
        </w:tc>
        <w:tc>
          <w:tcPr>
            <w:tcW w:type="dxa" w:w="320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Hosted URL responds to handshake</w:t>
            </w:r>
          </w:p>
        </w:tc>
      </w:tr>
      <w:tr>
        <w:trPr>
          <w:tblHeader w:val="false"/>
        </w:trPr>
        <w:tc>
          <w:tcPr>
            <w:tcW w:type="dxa" w:w="64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5</w:t>
            </w:r>
          </w:p>
        </w:tc>
        <w:tc>
          <w:tcPr>
            <w:tcW w:type="dxa" w:w="186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Premium skeleton + Stripe</w:t>
            </w:r>
          </w:p>
        </w:tc>
        <w:tc>
          <w:tcPr>
            <w:tcW w:type="dxa" w:w="366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License gate, invoice tool, payment links</w:t>
            </w:r>
          </w:p>
        </w:tc>
        <w:tc>
          <w:tcPr>
            <w:tcW w:type="dxa" w:w="32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Test purchase → receive key → tool unlocks</w:t>
            </w:r>
          </w:p>
        </w:tc>
      </w:tr>
      <w:tr>
        <w:trPr>
          <w:tblHeader w:val="false"/>
        </w:trPr>
        <w:tc>
          <w:tcPr>
            <w:tcW w:type="dxa" w:w="64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6</w:t>
            </w:r>
          </w:p>
        </w:tc>
        <w:tc>
          <w:tcPr>
            <w:tcW w:type="dxa" w:w="186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Docs + landing page</w:t>
            </w:r>
          </w:p>
        </w:tc>
        <w:tc>
          <w:tcPr>
            <w:tcW w:type="dxa" w:w="366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README, CONNECTING.md, landing site</w:t>
            </w:r>
          </w:p>
        </w:tc>
        <w:tc>
          <w:tcPr>
            <w:tcW w:type="dxa" w:w="320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Fresh user can install and connect unassisted</w:t>
            </w:r>
          </w:p>
        </w:tc>
      </w:tr>
      <w:tr>
        <w:trPr>
          <w:tblHeader w:val="false"/>
        </w:trPr>
        <w:tc>
          <w:tcPr>
            <w:tcW w:type="dxa" w:w="64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7</w:t>
            </w:r>
          </w:p>
        </w:tc>
        <w:tc>
          <w:tcPr>
            <w:tcW w:type="dxa" w:w="186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Polish + launch</w:t>
            </w:r>
          </w:p>
        </w:tc>
        <w:tc>
          <w:tcPr>
            <w:tcW w:type="dxa" w:w="366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Demo video, Reddit drafts, PyPI publish</w:t>
            </w:r>
          </w:p>
        </w:tc>
        <w:tc>
          <w:tcPr>
            <w:tcW w:type="dxa" w:w="32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Public v0.1.0 release tagged</w:t>
            </w:r>
          </w:p>
        </w:tc>
      </w:tr>
    </w:tbl>
    <w:p>
      <w:pPr>
        <w:pStyle w:val="Heading1"/>
        <w:spacing w:after="200" w:before="400"/>
      </w:pPr>
      <w:r>
        <w:rPr>
          <w:rFonts w:ascii="Arial" w:cs="Arial" w:eastAsia="Arial" w:hAnsi="Arial"/>
          <w:b/>
          <w:bCs/>
          <w:color w:val="0B2545"/>
          <w:sz w:val="36"/>
          <w:szCs w:val="36"/>
        </w:rPr>
        <w:t xml:space="preserve">11. Verification and Quality Gates</w:t>
      </w:r>
    </w:p>
    <w:p>
      <w:pPr>
        <w:spacing w:after="120"/>
      </w:pPr>
      <w:r>
        <w:rPr>
          <w:rFonts w:ascii="Arial" w:cs="Arial" w:eastAsia="Arial" w:hAnsi="Arial"/>
          <w:sz w:val="22"/>
          <w:szCs w:val="22"/>
        </w:rPr>
        <w:t xml:space="preserve">No phase is marked complete until every gate passes. This is enforced in the operator's tasks/todo.md workflow.</w:t>
      </w:r>
    </w:p>
    <w:p>
      <w:pPr>
        <w:pStyle w:val="ListParagraph"/>
        <w:numPr>
          <w:ilvl w:val="0"/>
          <w:numId w:val="2"/>
        </w:numPr>
        <w:spacing w:after="80"/>
      </w:pPr>
      <w:r>
        <w:rPr>
          <w:rFonts w:ascii="Arial" w:cs="Arial" w:eastAsia="Arial" w:hAnsi="Arial"/>
          <w:sz w:val="22"/>
          <w:szCs w:val="22"/>
        </w:rPr>
        <w:t xml:space="preserve">Server boots: `uv run python -m hvac_mcp.server --help` exits 0.</w:t>
      </w:r>
    </w:p>
    <w:p>
      <w:pPr>
        <w:pStyle w:val="ListParagraph"/>
        <w:numPr>
          <w:ilvl w:val="0"/>
          <w:numId w:val="2"/>
        </w:numPr>
        <w:spacing w:after="80"/>
      </w:pPr>
      <w:r>
        <w:rPr>
          <w:rFonts w:ascii="Arial" w:cs="Arial" w:eastAsia="Arial" w:hAnsi="Arial"/>
          <w:sz w:val="22"/>
          <w:szCs w:val="22"/>
        </w:rPr>
        <w:t xml:space="preserve">MCP Inspector handshake succeeds: `npx @modelcontextprotocol/inspector uv run python -m hvac_mcp.server` shows all registered tools.</w:t>
      </w:r>
    </w:p>
    <w:p>
      <w:pPr>
        <w:pStyle w:val="ListParagraph"/>
        <w:numPr>
          <w:ilvl w:val="0"/>
          <w:numId w:val="2"/>
        </w:numPr>
        <w:spacing w:after="80"/>
      </w:pPr>
      <w:r>
        <w:rPr>
          <w:rFonts w:ascii="Arial" w:cs="Arial" w:eastAsia="Arial" w:hAnsi="Arial"/>
          <w:sz w:val="22"/>
          <w:szCs w:val="22"/>
        </w:rPr>
        <w:t xml:space="preserve">Every tool has a passing pytest test. `uv run pytest -v` green.</w:t>
      </w:r>
    </w:p>
    <w:p>
      <w:pPr>
        <w:pStyle w:val="ListParagraph"/>
        <w:numPr>
          <w:ilvl w:val="0"/>
          <w:numId w:val="2"/>
        </w:numPr>
        <w:spacing w:after="80"/>
      </w:pPr>
      <w:r>
        <w:rPr>
          <w:rFonts w:ascii="Arial" w:cs="Arial" w:eastAsia="Arial" w:hAnsi="Arial"/>
          <w:sz w:val="22"/>
          <w:szCs w:val="22"/>
        </w:rPr>
        <w:t xml:space="preserve">Lint clean: `uv run ruff check . &amp;&amp; uv run ruff format --check .` green.</w:t>
      </w:r>
    </w:p>
    <w:p>
      <w:pPr>
        <w:pStyle w:val="ListParagraph"/>
        <w:numPr>
          <w:ilvl w:val="0"/>
          <w:numId w:val="2"/>
        </w:numPr>
        <w:spacing w:after="80"/>
      </w:pPr>
      <w:r>
        <w:rPr>
          <w:rFonts w:ascii="Arial" w:cs="Arial" w:eastAsia="Arial" w:hAnsi="Arial"/>
          <w:sz w:val="22"/>
          <w:szCs w:val="22"/>
        </w:rPr>
        <w:t xml:space="preserve">End-to-end: a real Claude Desktop session can call every free-tier tool and get a correct answer.</w:t>
      </w:r>
    </w:p>
    <w:p>
      <w:pPr>
        <w:pStyle w:val="ListParagraph"/>
        <w:numPr>
          <w:ilvl w:val="0"/>
          <w:numId w:val="2"/>
        </w:numPr>
        <w:spacing w:after="80"/>
      </w:pPr>
      <w:r>
        <w:rPr>
          <w:rFonts w:ascii="Arial" w:cs="Arial" w:eastAsia="Arial" w:hAnsi="Arial"/>
          <w:sz w:val="22"/>
          <w:szCs w:val="22"/>
        </w:rPr>
        <w:t xml:space="preserve">Hosted tier: a real Stripe test purchase results in an emailed license key that unlocks the premium tools via the Authorization header.</w:t>
      </w:r>
    </w:p>
    <w:p>
      <w:pPr>
        <w:pStyle w:val="Heading1"/>
        <w:spacing w:after="200" w:before="400"/>
      </w:pPr>
      <w:r>
        <w:rPr>
          <w:rFonts w:ascii="Arial" w:cs="Arial" w:eastAsia="Arial" w:hAnsi="Arial"/>
          <w:b/>
          <w:bCs/>
          <w:color w:val="0B2545"/>
          <w:sz w:val="36"/>
          <w:szCs w:val="36"/>
        </w:rPr>
        <w:t xml:space="preserve">12. Risks and Mitigations</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3000"/>
        <w:gridCol w:w="1380"/>
        <w:gridCol w:w="1380"/>
        <w:gridCol w:w="3600"/>
      </w:tblGrid>
      <w:tr>
        <w:trPr>
          <w:tblHeader/>
        </w:trPr>
        <w:tc>
          <w:tcPr>
            <w:tcW w:type="dxa" w:w="3000"/>
            <w:tcBorders>
              <w:top w:val="single" w:color="CCCCCC" w:sz="6"/>
              <w:left w:val="single" w:color="CCCCCC" w:sz="6"/>
              <w:bottom w:val="single" w:color="CCCCCC" w:sz="6"/>
              <w:right w:val="single" w:color="CCCCCC" w:sz="6"/>
            </w:tcBorders>
            <w:shd w:fill="0B2545" w:val="clear"/>
            <w:tcMar>
              <w:top w:type="dxa" w:w="100"/>
              <w:left w:type="dxa" w:w="140"/>
              <w:bottom w:type="dxa" w:w="100"/>
              <w:right w:type="dxa" w:w="140"/>
            </w:tcMar>
          </w:tcPr>
          <w:p>
            <w:pPr>
              <w:spacing w:after="0"/>
            </w:pPr>
            <w:r>
              <w:rPr>
                <w:rFonts w:ascii="Arial" w:cs="Arial" w:eastAsia="Arial" w:hAnsi="Arial"/>
                <w:b/>
                <w:bCs/>
                <w:color w:val="FFFFFF"/>
                <w:sz w:val="22"/>
                <w:szCs w:val="22"/>
              </w:rPr>
              <w:t xml:space="preserve">Risk</w:t>
            </w:r>
          </w:p>
        </w:tc>
        <w:tc>
          <w:tcPr>
            <w:tcW w:type="dxa" w:w="1380"/>
            <w:tcBorders>
              <w:top w:val="single" w:color="CCCCCC" w:sz="6"/>
              <w:left w:val="single" w:color="CCCCCC" w:sz="6"/>
              <w:bottom w:val="single" w:color="CCCCCC" w:sz="6"/>
              <w:right w:val="single" w:color="CCCCCC" w:sz="6"/>
            </w:tcBorders>
            <w:shd w:fill="0B2545" w:val="clear"/>
            <w:tcMar>
              <w:top w:type="dxa" w:w="100"/>
              <w:left w:type="dxa" w:w="140"/>
              <w:bottom w:type="dxa" w:w="100"/>
              <w:right w:type="dxa" w:w="140"/>
            </w:tcMar>
          </w:tcPr>
          <w:p>
            <w:pPr>
              <w:spacing w:after="0"/>
            </w:pPr>
            <w:r>
              <w:rPr>
                <w:rFonts w:ascii="Arial" w:cs="Arial" w:eastAsia="Arial" w:hAnsi="Arial"/>
                <w:b/>
                <w:bCs/>
                <w:color w:val="FFFFFF"/>
                <w:sz w:val="22"/>
                <w:szCs w:val="22"/>
              </w:rPr>
              <w:t xml:space="preserve">Likelihood</w:t>
            </w:r>
          </w:p>
        </w:tc>
        <w:tc>
          <w:tcPr>
            <w:tcW w:type="dxa" w:w="1380"/>
            <w:tcBorders>
              <w:top w:val="single" w:color="CCCCCC" w:sz="6"/>
              <w:left w:val="single" w:color="CCCCCC" w:sz="6"/>
              <w:bottom w:val="single" w:color="CCCCCC" w:sz="6"/>
              <w:right w:val="single" w:color="CCCCCC" w:sz="6"/>
            </w:tcBorders>
            <w:shd w:fill="0B2545" w:val="clear"/>
            <w:tcMar>
              <w:top w:type="dxa" w:w="100"/>
              <w:left w:type="dxa" w:w="140"/>
              <w:bottom w:type="dxa" w:w="100"/>
              <w:right w:type="dxa" w:w="140"/>
            </w:tcMar>
          </w:tcPr>
          <w:p>
            <w:pPr>
              <w:spacing w:after="0"/>
            </w:pPr>
            <w:r>
              <w:rPr>
                <w:rFonts w:ascii="Arial" w:cs="Arial" w:eastAsia="Arial" w:hAnsi="Arial"/>
                <w:b/>
                <w:bCs/>
                <w:color w:val="FFFFFF"/>
                <w:sz w:val="22"/>
                <w:szCs w:val="22"/>
              </w:rPr>
              <w:t xml:space="preserve">Impact</w:t>
            </w:r>
          </w:p>
        </w:tc>
        <w:tc>
          <w:tcPr>
            <w:tcW w:type="dxa" w:w="3600"/>
            <w:tcBorders>
              <w:top w:val="single" w:color="CCCCCC" w:sz="6"/>
              <w:left w:val="single" w:color="CCCCCC" w:sz="6"/>
              <w:bottom w:val="single" w:color="CCCCCC" w:sz="6"/>
              <w:right w:val="single" w:color="CCCCCC" w:sz="6"/>
            </w:tcBorders>
            <w:shd w:fill="0B2545" w:val="clear"/>
            <w:tcMar>
              <w:top w:type="dxa" w:w="100"/>
              <w:left w:type="dxa" w:w="140"/>
              <w:bottom w:type="dxa" w:w="100"/>
              <w:right w:type="dxa" w:w="140"/>
            </w:tcMar>
          </w:tcPr>
          <w:p>
            <w:pPr>
              <w:spacing w:after="0"/>
            </w:pPr>
            <w:r>
              <w:rPr>
                <w:rFonts w:ascii="Arial" w:cs="Arial" w:eastAsia="Arial" w:hAnsi="Arial"/>
                <w:b/>
                <w:bCs/>
                <w:color w:val="FFFFFF"/>
                <w:sz w:val="22"/>
                <w:szCs w:val="22"/>
              </w:rPr>
              <w:t xml:space="preserve">Mitigation</w:t>
            </w:r>
          </w:p>
        </w:tc>
      </w:tr>
      <w:tr>
        <w:trPr>
          <w:tblHeader w:val="false"/>
        </w:trPr>
        <w:tc>
          <w:tcPr>
            <w:tcW w:type="dxa" w:w="30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MCP protocol spec changes before launch</w:t>
            </w:r>
          </w:p>
        </w:tc>
        <w:tc>
          <w:tcPr>
            <w:tcW w:type="dxa" w:w="138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Medium</w:t>
            </w:r>
          </w:p>
        </w:tc>
        <w:tc>
          <w:tcPr>
            <w:tcW w:type="dxa" w:w="138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Medium</w:t>
            </w:r>
          </w:p>
        </w:tc>
        <w:tc>
          <w:tcPr>
            <w:tcW w:type="dxa" w:w="36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Pin SDK versions; monitor modelcontextprotocol.io</w:t>
            </w:r>
          </w:p>
        </w:tc>
      </w:tr>
      <w:tr>
        <w:trPr>
          <w:tblHeader w:val="false"/>
        </w:trPr>
        <w:tc>
          <w:tcPr>
            <w:tcW w:type="dxa" w:w="300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Incorrect refrigerant data produces bad advice</w:t>
            </w:r>
          </w:p>
        </w:tc>
        <w:tc>
          <w:tcPr>
            <w:tcW w:type="dxa" w:w="138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Medium</w:t>
            </w:r>
          </w:p>
        </w:tc>
        <w:tc>
          <w:tcPr>
            <w:tcW w:type="dxa" w:w="138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High</w:t>
            </w:r>
          </w:p>
        </w:tc>
        <w:tc>
          <w:tcPr>
            <w:tcW w:type="dxa" w:w="360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Hand-verified source tables; disclaimer in every response; never guess</w:t>
            </w:r>
          </w:p>
        </w:tc>
      </w:tr>
      <w:tr>
        <w:trPr>
          <w:tblHeader w:val="false"/>
        </w:trPr>
        <w:tc>
          <w:tcPr>
            <w:tcW w:type="dxa" w:w="30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Free tier cannibalizes paid tier</w:t>
            </w:r>
          </w:p>
        </w:tc>
        <w:tc>
          <w:tcPr>
            <w:tcW w:type="dxa" w:w="138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Medium</w:t>
            </w:r>
          </w:p>
        </w:tc>
        <w:tc>
          <w:tcPr>
            <w:tcW w:type="dxa" w:w="138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Medium</w:t>
            </w:r>
          </w:p>
        </w:tc>
        <w:tc>
          <w:tcPr>
            <w:tcW w:type="dxa" w:w="36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Premium tools chosen to be the ones operators actually need daily (invoicing, permits)</w:t>
            </w:r>
          </w:p>
        </w:tc>
      </w:tr>
      <w:tr>
        <w:trPr>
          <w:tblHeader w:val="false"/>
        </w:trPr>
        <w:tc>
          <w:tcPr>
            <w:tcW w:type="dxa" w:w="300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Reddit launch falls flat</w:t>
            </w:r>
          </w:p>
        </w:tc>
        <w:tc>
          <w:tcPr>
            <w:tcW w:type="dxa" w:w="138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Medium</w:t>
            </w:r>
          </w:p>
        </w:tc>
        <w:tc>
          <w:tcPr>
            <w:tcW w:type="dxa" w:w="138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Low</w:t>
            </w:r>
          </w:p>
        </w:tc>
        <w:tc>
          <w:tcPr>
            <w:tcW w:type="dxa" w:w="360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Multiple sub-targets + FB groups + YouTube relationships diversify reach</w:t>
            </w:r>
          </w:p>
        </w:tc>
      </w:tr>
      <w:tr>
        <w:trPr>
          <w:tblHeader w:val="false"/>
        </w:trPr>
        <w:tc>
          <w:tcPr>
            <w:tcW w:type="dxa" w:w="30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Someone clones the free code and undercuts</w:t>
            </w:r>
          </w:p>
        </w:tc>
        <w:tc>
          <w:tcPr>
            <w:tcW w:type="dxa" w:w="138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Low</w:t>
            </w:r>
          </w:p>
        </w:tc>
        <w:tc>
          <w:tcPr>
            <w:tcW w:type="dxa" w:w="138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Low</w:t>
            </w:r>
          </w:p>
        </w:tc>
        <w:tc>
          <w:tcPr>
            <w:tcW w:type="dxa" w:w="36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The moat is the operator's trade credibility, not the code</w:t>
            </w:r>
          </w:p>
        </w:tc>
      </w:tr>
      <w:tr>
        <w:trPr>
          <w:tblHeader w:val="false"/>
        </w:trPr>
        <w:tc>
          <w:tcPr>
            <w:tcW w:type="dxa" w:w="300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Stripe / payment review delays launch</w:t>
            </w:r>
          </w:p>
        </w:tc>
        <w:tc>
          <w:tcPr>
            <w:tcW w:type="dxa" w:w="138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Low</w:t>
            </w:r>
          </w:p>
        </w:tc>
        <w:tc>
          <w:tcPr>
            <w:tcW w:type="dxa" w:w="138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Medium</w:t>
            </w:r>
          </w:p>
        </w:tc>
        <w:tc>
          <w:tcPr>
            <w:tcW w:type="dxa" w:w="360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Use Payment Links (no custom checkout needed); Stripe approves fast for simple SaaS</w:t>
            </w:r>
          </w:p>
        </w:tc>
      </w:tr>
      <w:tr>
        <w:trPr>
          <w:tblHeader w:val="false"/>
        </w:trPr>
        <w:tc>
          <w:tcPr>
            <w:tcW w:type="dxa" w:w="30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Legal exposure from code/permit advice</w:t>
            </w:r>
          </w:p>
        </w:tc>
        <w:tc>
          <w:tcPr>
            <w:tcW w:type="dxa" w:w="138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Low</w:t>
            </w:r>
          </w:p>
        </w:tc>
        <w:tc>
          <w:tcPr>
            <w:tcW w:type="dxa" w:w="138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High</w:t>
            </w:r>
          </w:p>
        </w:tc>
        <w:tc>
          <w:tcPr>
            <w:tcW w:type="dxa" w:w="36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Explicit AHJ disclaimer on every code response; no authoritative claims</w:t>
            </w:r>
          </w:p>
        </w:tc>
      </w:tr>
    </w:tbl>
    <w:p>
      <w:pPr>
        <w:pStyle w:val="Heading1"/>
        <w:spacing w:after="200" w:before="400"/>
      </w:pPr>
      <w:r>
        <w:rPr>
          <w:rFonts w:ascii="Arial" w:cs="Arial" w:eastAsia="Arial" w:hAnsi="Arial"/>
          <w:b/>
          <w:bCs/>
          <w:color w:val="0B2545"/>
          <w:sz w:val="36"/>
          <w:szCs w:val="36"/>
        </w:rPr>
        <w:t xml:space="preserve">13. Open Questions</w:t>
      </w:r>
    </w:p>
    <w:p>
      <w:pPr>
        <w:pStyle w:val="ListParagraph"/>
        <w:numPr>
          <w:ilvl w:val="0"/>
          <w:numId w:val="2"/>
        </w:numPr>
        <w:spacing w:after="80"/>
      </w:pPr>
      <w:r>
        <w:rPr>
          <w:rFonts w:ascii="Arial" w:cs="Arial" w:eastAsia="Arial" w:hAnsi="Arial"/>
          <w:sz w:val="22"/>
          <w:szCs w:val="22"/>
        </w:rPr>
        <w:t xml:space="preserve">Should the fault-code dataset be hand-curated (slow, reliable) or scraped (fast, fragile)? Leaning hand-curated for v1, scrape layer for v1.1.</w:t>
      </w:r>
    </w:p>
    <w:p>
      <w:pPr>
        <w:pStyle w:val="ListParagraph"/>
        <w:numPr>
          <w:ilvl w:val="0"/>
          <w:numId w:val="2"/>
        </w:numPr>
        <w:spacing w:after="80"/>
      </w:pPr>
      <w:r>
        <w:rPr>
          <w:rFonts w:ascii="Arial" w:cs="Arial" w:eastAsia="Arial" w:hAnsi="Arial"/>
          <w:sz w:val="22"/>
          <w:szCs w:val="22"/>
        </w:rPr>
        <w:t xml:space="preserve">Is there enough demand for a commercial tier (multi-user, SSO, audit logs) to justify a $199/month price? Revisit after 50 paying customers.</w:t>
      </w:r>
    </w:p>
    <w:p>
      <w:pPr>
        <w:pStyle w:val="ListParagraph"/>
        <w:numPr>
          <w:ilvl w:val="0"/>
          <w:numId w:val="2"/>
        </w:numPr>
        <w:spacing w:after="80"/>
      </w:pPr>
      <w:r>
        <w:rPr>
          <w:rFonts w:ascii="Arial" w:cs="Arial" w:eastAsia="Arial" w:hAnsi="Arial"/>
          <w:sz w:val="22"/>
          <w:szCs w:val="22"/>
        </w:rPr>
        <w:t xml:space="preserve">Does a Cursor/Windsurf version of the tool set make sense, or are devs the wrong customer segment entirely? Probably wrong segment for the paid tier; free tier gets them for free anyway.</w:t>
      </w:r>
    </w:p>
    <w:p>
      <w:pPr>
        <w:pStyle w:val="ListParagraph"/>
        <w:numPr>
          <w:ilvl w:val="0"/>
          <w:numId w:val="2"/>
        </w:numPr>
        <w:spacing w:after="80"/>
      </w:pPr>
      <w:r>
        <w:rPr>
          <w:rFonts w:ascii="Arial" w:cs="Arial" w:eastAsia="Arial" w:hAnsi="Arial"/>
          <w:sz w:val="22"/>
          <w:szCs w:val="22"/>
        </w:rPr>
        <w:t xml:space="preserve">Should v1.1 add a mobile wrapper app or double down on being MCP-only? The MCP play is distribution-free — that is the wedge. App comes only after the server is proven.</w:t>
      </w:r>
    </w:p>
    <w:p>
      <w:pPr>
        <w:pStyle w:val="Heading1"/>
        <w:spacing w:after="200" w:before="400"/>
      </w:pPr>
      <w:r>
        <w:rPr>
          <w:rFonts w:ascii="Arial" w:cs="Arial" w:eastAsia="Arial" w:hAnsi="Arial"/>
          <w:b/>
          <w:bCs/>
          <w:color w:val="0B2545"/>
          <w:sz w:val="36"/>
          <w:szCs w:val="36"/>
        </w:rPr>
        <w:t xml:space="preserve">14. Appendix</w:t>
      </w:r>
    </w:p>
    <w:p>
      <w:pPr>
        <w:pStyle w:val="Heading2"/>
        <w:spacing w:after="160" w:before="320"/>
      </w:pPr>
      <w:r>
        <w:rPr>
          <w:rFonts w:ascii="Arial" w:cs="Arial" w:eastAsia="Arial" w:hAnsi="Arial"/>
          <w:b/>
          <w:bCs/>
          <w:color w:val="0B2545"/>
          <w:sz w:val="28"/>
          <w:szCs w:val="28"/>
        </w:rPr>
        <w:t xml:space="preserve">14.1 Example tool call (hvac_refrigerant_charge_check)</w:t>
      </w:r>
    </w:p>
    <w:p>
      <w:pPr>
        <w:pBdr>
          <w:top w:val="single" w:color="E0E0E0" w:sz="4"/>
          <w:bottom w:val="single" w:color="E0E0E0" w:sz="4"/>
          <w:left w:val="single" w:color="E0E0E0" w:sz="4"/>
          <w:right w:val="single" w:color="E0E0E0" w:sz="4"/>
        </w:pBdr>
        <w:shd w:fill="F4F4F4" w:val="clear"/>
        <w:spacing w:after="120" w:before="120"/>
      </w:pPr>
      <w:r>
        <w:rPr>
          <w:rFonts w:ascii="Courier New" w:cs="Courier New" w:eastAsia="Courier New" w:hAnsi="Courier New"/>
          <w:sz w:val="20"/>
          <w:szCs w:val="20"/>
        </w:rPr>
        <w:t xml:space="preserve">Request:</w:t>
      </w:r>
    </w:p>
    <w:p>
      <w:pPr>
        <w:pBdr>
          <w:top w:val="single" w:color="E0E0E0" w:sz="4"/>
          <w:bottom w:val="single" w:color="E0E0E0" w:sz="4"/>
          <w:left w:val="single" w:color="E0E0E0" w:sz="4"/>
          <w:right w:val="single" w:color="E0E0E0" w:sz="4"/>
        </w:pBdr>
        <w:shd w:fill="F4F4F4" w:val="clear"/>
        <w:spacing w:after="120" w:before="120"/>
      </w:pPr>
      <w:r>
        <w:rPr>
          <w:rFonts w:ascii="Courier New" w:cs="Courier New" w:eastAsia="Courier New" w:hAnsi="Courier New"/>
          <w:sz w:val="20"/>
          <w:szCs w:val="20"/>
        </w:rPr>
        <w:t xml:space="preserve">{</w:t>
      </w:r>
    </w:p>
    <w:p>
      <w:pPr>
        <w:pBdr>
          <w:top w:val="single" w:color="E0E0E0" w:sz="4"/>
          <w:bottom w:val="single" w:color="E0E0E0" w:sz="4"/>
          <w:left w:val="single" w:color="E0E0E0" w:sz="4"/>
          <w:right w:val="single" w:color="E0E0E0" w:sz="4"/>
        </w:pBdr>
        <w:shd w:fill="F4F4F4" w:val="clear"/>
        <w:spacing w:after="120" w:before="120"/>
      </w:pPr>
      <w:r>
        <w:rPr>
          <w:rFonts w:ascii="Courier New" w:cs="Courier New" w:eastAsia="Courier New" w:hAnsi="Courier New"/>
          <w:sz w:val="20"/>
          <w:szCs w:val="20"/>
        </w:rPr>
        <w:t xml:space="preserve">  "refrigerant": "R-410A",</w:t>
      </w:r>
    </w:p>
    <w:p>
      <w:pPr>
        <w:pBdr>
          <w:top w:val="single" w:color="E0E0E0" w:sz="4"/>
          <w:bottom w:val="single" w:color="E0E0E0" w:sz="4"/>
          <w:left w:val="single" w:color="E0E0E0" w:sz="4"/>
          <w:right w:val="single" w:color="E0E0E0" w:sz="4"/>
        </w:pBdr>
        <w:shd w:fill="F4F4F4" w:val="clear"/>
        <w:spacing w:after="120" w:before="120"/>
      </w:pPr>
      <w:r>
        <w:rPr>
          <w:rFonts w:ascii="Courier New" w:cs="Courier New" w:eastAsia="Courier New" w:hAnsi="Courier New"/>
          <w:sz w:val="20"/>
          <w:szCs w:val="20"/>
        </w:rPr>
        <w:t xml:space="preserve">  "suction_pressure_psig": 118.0,</w:t>
      </w:r>
    </w:p>
    <w:p>
      <w:pPr>
        <w:pBdr>
          <w:top w:val="single" w:color="E0E0E0" w:sz="4"/>
          <w:bottom w:val="single" w:color="E0E0E0" w:sz="4"/>
          <w:left w:val="single" w:color="E0E0E0" w:sz="4"/>
          <w:right w:val="single" w:color="E0E0E0" w:sz="4"/>
        </w:pBdr>
        <w:shd w:fill="F4F4F4" w:val="clear"/>
        <w:spacing w:after="120" w:before="120"/>
      </w:pPr>
      <w:r>
        <w:rPr>
          <w:rFonts w:ascii="Courier New" w:cs="Courier New" w:eastAsia="Courier New" w:hAnsi="Courier New"/>
          <w:sz w:val="20"/>
          <w:szCs w:val="20"/>
        </w:rPr>
        <w:t xml:space="preserve">  "suction_line_temp_f": 50.0,</w:t>
      </w:r>
    </w:p>
    <w:p>
      <w:pPr>
        <w:pBdr>
          <w:top w:val="single" w:color="E0E0E0" w:sz="4"/>
          <w:bottom w:val="single" w:color="E0E0E0" w:sz="4"/>
          <w:left w:val="single" w:color="E0E0E0" w:sz="4"/>
          <w:right w:val="single" w:color="E0E0E0" w:sz="4"/>
        </w:pBdr>
        <w:shd w:fill="F4F4F4" w:val="clear"/>
        <w:spacing w:after="120" w:before="120"/>
      </w:pPr>
      <w:r>
        <w:rPr>
          <w:rFonts w:ascii="Courier New" w:cs="Courier New" w:eastAsia="Courier New" w:hAnsi="Courier New"/>
          <w:sz w:val="20"/>
          <w:szCs w:val="20"/>
        </w:rPr>
        <w:t xml:space="preserve">  "liquid_pressure_psig": 380.0,</w:t>
      </w:r>
    </w:p>
    <w:p>
      <w:pPr>
        <w:pBdr>
          <w:top w:val="single" w:color="E0E0E0" w:sz="4"/>
          <w:bottom w:val="single" w:color="E0E0E0" w:sz="4"/>
          <w:left w:val="single" w:color="E0E0E0" w:sz="4"/>
          <w:right w:val="single" w:color="E0E0E0" w:sz="4"/>
        </w:pBdr>
        <w:shd w:fill="F4F4F4" w:val="clear"/>
        <w:spacing w:after="120" w:before="120"/>
      </w:pPr>
      <w:r>
        <w:rPr>
          <w:rFonts w:ascii="Courier New" w:cs="Courier New" w:eastAsia="Courier New" w:hAnsi="Courier New"/>
          <w:sz w:val="20"/>
          <w:szCs w:val="20"/>
        </w:rPr>
        <w:t xml:space="preserve">  "liquid_line_temp_f": 100.0,</w:t>
      </w:r>
    </w:p>
    <w:p>
      <w:pPr>
        <w:pBdr>
          <w:top w:val="single" w:color="E0E0E0" w:sz="4"/>
          <w:bottom w:val="single" w:color="E0E0E0" w:sz="4"/>
          <w:left w:val="single" w:color="E0E0E0" w:sz="4"/>
          <w:right w:val="single" w:color="E0E0E0" w:sz="4"/>
        </w:pBdr>
        <w:shd w:fill="F4F4F4" w:val="clear"/>
        <w:spacing w:after="120" w:before="120"/>
      </w:pPr>
      <w:r>
        <w:rPr>
          <w:rFonts w:ascii="Courier New" w:cs="Courier New" w:eastAsia="Courier New" w:hAnsi="Courier New"/>
          <w:sz w:val="20"/>
          <w:szCs w:val="20"/>
        </w:rPr>
        <w:t xml:space="preserve">  "metering": "TXV"</w:t>
      </w:r>
    </w:p>
    <w:p>
      <w:pPr>
        <w:pBdr>
          <w:top w:val="single" w:color="E0E0E0" w:sz="4"/>
          <w:bottom w:val="single" w:color="E0E0E0" w:sz="4"/>
          <w:left w:val="single" w:color="E0E0E0" w:sz="4"/>
          <w:right w:val="single" w:color="E0E0E0" w:sz="4"/>
        </w:pBdr>
        <w:shd w:fill="F4F4F4" w:val="clear"/>
        <w:spacing w:after="120" w:before="120"/>
      </w:pPr>
      <w:r>
        <w:rPr>
          <w:rFonts w:ascii="Courier New" w:cs="Courier New" w:eastAsia="Courier New" w:hAnsi="Courier New"/>
          <w:sz w:val="20"/>
          <w:szCs w:val="20"/>
        </w:rPr>
        <w:t xml:space="preserve">}</w:t>
      </w:r>
    </w:p>
    <w:p>
      <w:pPr>
        <w:pBdr>
          <w:top w:val="single" w:color="E0E0E0" w:sz="4"/>
          <w:bottom w:val="single" w:color="E0E0E0" w:sz="4"/>
          <w:left w:val="single" w:color="E0E0E0" w:sz="4"/>
          <w:right w:val="single" w:color="E0E0E0" w:sz="4"/>
        </w:pBdr>
        <w:shd w:fill="F4F4F4" w:val="clear"/>
        <w:spacing w:after="120" w:before="120"/>
      </w:pPr>
      <w:r>
        <w:rPr>
          <w:rFonts w:ascii="Courier New" w:cs="Courier New" w:eastAsia="Courier New" w:hAnsi="Courier New"/>
          <w:sz w:val="20"/>
          <w:szCs w:val="20"/>
        </w:rPr>
        <w:t xml:space="preserve"/>
      </w:r>
    </w:p>
    <w:p>
      <w:pPr>
        <w:pBdr>
          <w:top w:val="single" w:color="E0E0E0" w:sz="4"/>
          <w:bottom w:val="single" w:color="E0E0E0" w:sz="4"/>
          <w:left w:val="single" w:color="E0E0E0" w:sz="4"/>
          <w:right w:val="single" w:color="E0E0E0" w:sz="4"/>
        </w:pBdr>
        <w:shd w:fill="F4F4F4" w:val="clear"/>
        <w:spacing w:after="120" w:before="120"/>
      </w:pPr>
      <w:r>
        <w:rPr>
          <w:rFonts w:ascii="Courier New" w:cs="Courier New" w:eastAsia="Courier New" w:hAnsi="Courier New"/>
          <w:sz w:val="20"/>
          <w:szCs w:val="20"/>
        </w:rPr>
        <w:t xml:space="preserve">Response:</w:t>
      </w:r>
    </w:p>
    <w:p>
      <w:pPr>
        <w:pBdr>
          <w:top w:val="single" w:color="E0E0E0" w:sz="4"/>
          <w:bottom w:val="single" w:color="E0E0E0" w:sz="4"/>
          <w:left w:val="single" w:color="E0E0E0" w:sz="4"/>
          <w:right w:val="single" w:color="E0E0E0" w:sz="4"/>
        </w:pBdr>
        <w:shd w:fill="F4F4F4" w:val="clear"/>
        <w:spacing w:after="120" w:before="120"/>
      </w:pPr>
      <w:r>
        <w:rPr>
          <w:rFonts w:ascii="Courier New" w:cs="Courier New" w:eastAsia="Courier New" w:hAnsi="Courier New"/>
          <w:sz w:val="20"/>
          <w:szCs w:val="20"/>
        </w:rPr>
        <w:t xml:space="preserve">{</w:t>
      </w:r>
    </w:p>
    <w:p>
      <w:pPr>
        <w:pBdr>
          <w:top w:val="single" w:color="E0E0E0" w:sz="4"/>
          <w:bottom w:val="single" w:color="E0E0E0" w:sz="4"/>
          <w:left w:val="single" w:color="E0E0E0" w:sz="4"/>
          <w:right w:val="single" w:color="E0E0E0" w:sz="4"/>
        </w:pBdr>
        <w:shd w:fill="F4F4F4" w:val="clear"/>
        <w:spacing w:after="120" w:before="120"/>
      </w:pPr>
      <w:r>
        <w:rPr>
          <w:rFonts w:ascii="Courier New" w:cs="Courier New" w:eastAsia="Courier New" w:hAnsi="Courier New"/>
          <w:sz w:val="20"/>
          <w:szCs w:val="20"/>
        </w:rPr>
        <w:t xml:space="preserve">  "superheat_f": 10.0,</w:t>
      </w:r>
    </w:p>
    <w:p>
      <w:pPr>
        <w:pBdr>
          <w:top w:val="single" w:color="E0E0E0" w:sz="4"/>
          <w:bottom w:val="single" w:color="E0E0E0" w:sz="4"/>
          <w:left w:val="single" w:color="E0E0E0" w:sz="4"/>
          <w:right w:val="single" w:color="E0E0E0" w:sz="4"/>
        </w:pBdr>
        <w:shd w:fill="F4F4F4" w:val="clear"/>
        <w:spacing w:after="120" w:before="120"/>
      </w:pPr>
      <w:r>
        <w:rPr>
          <w:rFonts w:ascii="Courier New" w:cs="Courier New" w:eastAsia="Courier New" w:hAnsi="Courier New"/>
          <w:sz w:val="20"/>
          <w:szCs w:val="20"/>
        </w:rPr>
        <w:t xml:space="preserve">  "subcool_f": 10.4,</w:t>
      </w:r>
    </w:p>
    <w:p>
      <w:pPr>
        <w:pBdr>
          <w:top w:val="single" w:color="E0E0E0" w:sz="4"/>
          <w:bottom w:val="single" w:color="E0E0E0" w:sz="4"/>
          <w:left w:val="single" w:color="E0E0E0" w:sz="4"/>
          <w:right w:val="single" w:color="E0E0E0" w:sz="4"/>
        </w:pBdr>
        <w:shd w:fill="F4F4F4" w:val="clear"/>
        <w:spacing w:after="120" w:before="120"/>
      </w:pPr>
      <w:r>
        <w:rPr>
          <w:rFonts w:ascii="Courier New" w:cs="Courier New" w:eastAsia="Courier New" w:hAnsi="Courier New"/>
          <w:sz w:val="20"/>
          <w:szCs w:val="20"/>
        </w:rPr>
        <w:t xml:space="preserve">  "diagnosis": "in_spec",</w:t>
      </w:r>
    </w:p>
    <w:p>
      <w:pPr>
        <w:pBdr>
          <w:top w:val="single" w:color="E0E0E0" w:sz="4"/>
          <w:bottom w:val="single" w:color="E0E0E0" w:sz="4"/>
          <w:left w:val="single" w:color="E0E0E0" w:sz="4"/>
          <w:right w:val="single" w:color="E0E0E0" w:sz="4"/>
        </w:pBdr>
        <w:shd w:fill="F4F4F4" w:val="clear"/>
        <w:spacing w:after="120" w:before="120"/>
      </w:pPr>
      <w:r>
        <w:rPr>
          <w:rFonts w:ascii="Courier New" w:cs="Courier New" w:eastAsia="Courier New" w:hAnsi="Courier New"/>
          <w:sz w:val="20"/>
          <w:szCs w:val="20"/>
        </w:rPr>
        <w:t xml:space="preserve">  "recommendation": "Charge is within TXV subcool target (8-12°F)."</w:t>
      </w:r>
    </w:p>
    <w:p>
      <w:pPr>
        <w:pBdr>
          <w:top w:val="single" w:color="E0E0E0" w:sz="4"/>
          <w:bottom w:val="single" w:color="E0E0E0" w:sz="4"/>
          <w:left w:val="single" w:color="E0E0E0" w:sz="4"/>
          <w:right w:val="single" w:color="E0E0E0" w:sz="4"/>
        </w:pBdr>
        <w:shd w:fill="F4F4F4" w:val="clear"/>
        <w:spacing w:after="120" w:before="120"/>
      </w:pPr>
      <w:r>
        <w:rPr>
          <w:rFonts w:ascii="Courier New" w:cs="Courier New" w:eastAsia="Courier New" w:hAnsi="Courier New"/>
          <w:sz w:val="20"/>
          <w:szCs w:val="20"/>
        </w:rPr>
        <w:t xml:space="preserve">}</w:t>
      </w:r>
    </w:p>
    <w:p>
      <w:pPr>
        <w:pStyle w:val="Heading2"/>
        <w:spacing w:after="160" w:before="320"/>
      </w:pPr>
      <w:r>
        <w:rPr>
          <w:rFonts w:ascii="Arial" w:cs="Arial" w:eastAsia="Arial" w:hAnsi="Arial"/>
          <w:b/>
          <w:bCs/>
          <w:color w:val="0B2545"/>
          <w:sz w:val="28"/>
          <w:szCs w:val="28"/>
        </w:rPr>
        <w:t xml:space="preserve">14.2 Claude Desktop connector config</w:t>
      </w:r>
    </w:p>
    <w:p>
      <w:pPr>
        <w:pBdr>
          <w:top w:val="single" w:color="E0E0E0" w:sz="4"/>
          <w:bottom w:val="single" w:color="E0E0E0" w:sz="4"/>
          <w:left w:val="single" w:color="E0E0E0" w:sz="4"/>
          <w:right w:val="single" w:color="E0E0E0" w:sz="4"/>
        </w:pBdr>
        <w:shd w:fill="F4F4F4" w:val="clear"/>
        <w:spacing w:after="120" w:before="120"/>
      </w:pPr>
      <w:r>
        <w:rPr>
          <w:rFonts w:ascii="Courier New" w:cs="Courier New" w:eastAsia="Courier New" w:hAnsi="Courier New"/>
          <w:sz w:val="20"/>
          <w:szCs w:val="20"/>
        </w:rPr>
        <w:t xml:space="preserve">{</w:t>
      </w:r>
    </w:p>
    <w:p>
      <w:pPr>
        <w:pBdr>
          <w:top w:val="single" w:color="E0E0E0" w:sz="4"/>
          <w:bottom w:val="single" w:color="E0E0E0" w:sz="4"/>
          <w:left w:val="single" w:color="E0E0E0" w:sz="4"/>
          <w:right w:val="single" w:color="E0E0E0" w:sz="4"/>
        </w:pBdr>
        <w:shd w:fill="F4F4F4" w:val="clear"/>
        <w:spacing w:after="120" w:before="120"/>
      </w:pPr>
      <w:r>
        <w:rPr>
          <w:rFonts w:ascii="Courier New" w:cs="Courier New" w:eastAsia="Courier New" w:hAnsi="Courier New"/>
          <w:sz w:val="20"/>
          <w:szCs w:val="20"/>
        </w:rPr>
        <w:t xml:space="preserve">  "mcpServers": {</w:t>
      </w:r>
    </w:p>
    <w:p>
      <w:pPr>
        <w:pBdr>
          <w:top w:val="single" w:color="E0E0E0" w:sz="4"/>
          <w:bottom w:val="single" w:color="E0E0E0" w:sz="4"/>
          <w:left w:val="single" w:color="E0E0E0" w:sz="4"/>
          <w:right w:val="single" w:color="E0E0E0" w:sz="4"/>
        </w:pBdr>
        <w:shd w:fill="F4F4F4" w:val="clear"/>
        <w:spacing w:after="120" w:before="120"/>
      </w:pPr>
      <w:r>
        <w:rPr>
          <w:rFonts w:ascii="Courier New" w:cs="Courier New" w:eastAsia="Courier New" w:hAnsi="Courier New"/>
          <w:sz w:val="20"/>
          <w:szCs w:val="20"/>
        </w:rPr>
        <w:t xml:space="preserve">    "hvac": {</w:t>
      </w:r>
    </w:p>
    <w:p>
      <w:pPr>
        <w:pBdr>
          <w:top w:val="single" w:color="E0E0E0" w:sz="4"/>
          <w:bottom w:val="single" w:color="E0E0E0" w:sz="4"/>
          <w:left w:val="single" w:color="E0E0E0" w:sz="4"/>
          <w:right w:val="single" w:color="E0E0E0" w:sz="4"/>
        </w:pBdr>
        <w:shd w:fill="F4F4F4" w:val="clear"/>
        <w:spacing w:after="120" w:before="120"/>
      </w:pPr>
      <w:r>
        <w:rPr>
          <w:rFonts w:ascii="Courier New" w:cs="Courier New" w:eastAsia="Courier New" w:hAnsi="Courier New"/>
          <w:sz w:val="20"/>
          <w:szCs w:val="20"/>
        </w:rPr>
        <w:t xml:space="preserve">      "command": "uvx",</w:t>
      </w:r>
    </w:p>
    <w:p>
      <w:pPr>
        <w:pBdr>
          <w:top w:val="single" w:color="E0E0E0" w:sz="4"/>
          <w:bottom w:val="single" w:color="E0E0E0" w:sz="4"/>
          <w:left w:val="single" w:color="E0E0E0" w:sz="4"/>
          <w:right w:val="single" w:color="E0E0E0" w:sz="4"/>
        </w:pBdr>
        <w:shd w:fill="F4F4F4" w:val="clear"/>
        <w:spacing w:after="120" w:before="120"/>
      </w:pPr>
      <w:r>
        <w:rPr>
          <w:rFonts w:ascii="Courier New" w:cs="Courier New" w:eastAsia="Courier New" w:hAnsi="Courier New"/>
          <w:sz w:val="20"/>
          <w:szCs w:val="20"/>
        </w:rPr>
        <w:t xml:space="preserve">      "args": ["hvac-mcp"],</w:t>
      </w:r>
    </w:p>
    <w:p>
      <w:pPr>
        <w:pBdr>
          <w:top w:val="single" w:color="E0E0E0" w:sz="4"/>
          <w:bottom w:val="single" w:color="E0E0E0" w:sz="4"/>
          <w:left w:val="single" w:color="E0E0E0" w:sz="4"/>
          <w:right w:val="single" w:color="E0E0E0" w:sz="4"/>
        </w:pBdr>
        <w:shd w:fill="F4F4F4" w:val="clear"/>
        <w:spacing w:after="120" w:before="120"/>
      </w:pPr>
      <w:r>
        <w:rPr>
          <w:rFonts w:ascii="Courier New" w:cs="Courier New" w:eastAsia="Courier New" w:hAnsi="Courier New"/>
          <w:sz w:val="20"/>
          <w:szCs w:val="20"/>
        </w:rPr>
        <w:t xml:space="preserve">      "env": { "HVAC_MCP_LICENSE_KEY": "your-key-here" }</w:t>
      </w:r>
    </w:p>
    <w:p>
      <w:pPr>
        <w:pBdr>
          <w:top w:val="single" w:color="E0E0E0" w:sz="4"/>
          <w:bottom w:val="single" w:color="E0E0E0" w:sz="4"/>
          <w:left w:val="single" w:color="E0E0E0" w:sz="4"/>
          <w:right w:val="single" w:color="E0E0E0" w:sz="4"/>
        </w:pBdr>
        <w:shd w:fill="F4F4F4" w:val="clear"/>
        <w:spacing w:after="120" w:before="120"/>
      </w:pPr>
      <w:r>
        <w:rPr>
          <w:rFonts w:ascii="Courier New" w:cs="Courier New" w:eastAsia="Courier New" w:hAnsi="Courier New"/>
          <w:sz w:val="20"/>
          <w:szCs w:val="20"/>
        </w:rPr>
        <w:t xml:space="preserve">    }</w:t>
      </w:r>
    </w:p>
    <w:p>
      <w:pPr>
        <w:pBdr>
          <w:top w:val="single" w:color="E0E0E0" w:sz="4"/>
          <w:bottom w:val="single" w:color="E0E0E0" w:sz="4"/>
          <w:left w:val="single" w:color="E0E0E0" w:sz="4"/>
          <w:right w:val="single" w:color="E0E0E0" w:sz="4"/>
        </w:pBdr>
        <w:shd w:fill="F4F4F4" w:val="clear"/>
        <w:spacing w:after="120" w:before="120"/>
      </w:pPr>
      <w:r>
        <w:rPr>
          <w:rFonts w:ascii="Courier New" w:cs="Courier New" w:eastAsia="Courier New" w:hAnsi="Courier New"/>
          <w:sz w:val="20"/>
          <w:szCs w:val="20"/>
        </w:rPr>
        <w:t xml:space="preserve">  }</w:t>
      </w:r>
    </w:p>
    <w:p>
      <w:pPr>
        <w:pBdr>
          <w:top w:val="single" w:color="E0E0E0" w:sz="4"/>
          <w:bottom w:val="single" w:color="E0E0E0" w:sz="4"/>
          <w:left w:val="single" w:color="E0E0E0" w:sz="4"/>
          <w:right w:val="single" w:color="E0E0E0" w:sz="4"/>
        </w:pBdr>
        <w:shd w:fill="F4F4F4" w:val="clear"/>
        <w:spacing w:after="120" w:before="120"/>
      </w:pPr>
      <w:r>
        <w:rPr>
          <w:rFonts w:ascii="Courier New" w:cs="Courier New" w:eastAsia="Courier New" w:hAnsi="Courier New"/>
          <w:sz w:val="20"/>
          <w:szCs w:val="20"/>
        </w:rPr>
        <w:t xml:space="preserve">}</w:t>
      </w:r>
    </w:p>
    <w:p>
      <w:pPr>
        <w:pStyle w:val="Heading2"/>
        <w:spacing w:after="160" w:before="320"/>
      </w:pPr>
      <w:r>
        <w:rPr>
          <w:rFonts w:ascii="Arial" w:cs="Arial" w:eastAsia="Arial" w:hAnsi="Arial"/>
          <w:b/>
          <w:bCs/>
          <w:color w:val="0B2545"/>
          <w:sz w:val="28"/>
          <w:szCs w:val="28"/>
        </w:rPr>
        <w:t xml:space="preserve">14.3 Glossary</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400"/>
        <w:gridCol w:w="6960"/>
      </w:tblGrid>
      <w:tr>
        <w:trPr>
          <w:tblHeader/>
        </w:trPr>
        <w:tc>
          <w:tcPr>
            <w:tcW w:type="dxa" w:w="2400"/>
            <w:tcBorders>
              <w:top w:val="single" w:color="CCCCCC" w:sz="6"/>
              <w:left w:val="single" w:color="CCCCCC" w:sz="6"/>
              <w:bottom w:val="single" w:color="CCCCCC" w:sz="6"/>
              <w:right w:val="single" w:color="CCCCCC" w:sz="6"/>
            </w:tcBorders>
            <w:shd w:fill="0B2545" w:val="clear"/>
            <w:tcMar>
              <w:top w:type="dxa" w:w="100"/>
              <w:left w:type="dxa" w:w="140"/>
              <w:bottom w:type="dxa" w:w="100"/>
              <w:right w:type="dxa" w:w="140"/>
            </w:tcMar>
          </w:tcPr>
          <w:p>
            <w:pPr>
              <w:spacing w:after="0"/>
            </w:pPr>
            <w:r>
              <w:rPr>
                <w:rFonts w:ascii="Arial" w:cs="Arial" w:eastAsia="Arial" w:hAnsi="Arial"/>
                <w:b/>
                <w:bCs/>
                <w:color w:val="FFFFFF"/>
                <w:sz w:val="22"/>
                <w:szCs w:val="22"/>
              </w:rPr>
              <w:t xml:space="preserve">Term</w:t>
            </w:r>
          </w:p>
        </w:tc>
        <w:tc>
          <w:tcPr>
            <w:tcW w:type="dxa" w:w="6960"/>
            <w:tcBorders>
              <w:top w:val="single" w:color="CCCCCC" w:sz="6"/>
              <w:left w:val="single" w:color="CCCCCC" w:sz="6"/>
              <w:bottom w:val="single" w:color="CCCCCC" w:sz="6"/>
              <w:right w:val="single" w:color="CCCCCC" w:sz="6"/>
            </w:tcBorders>
            <w:shd w:fill="0B2545" w:val="clear"/>
            <w:tcMar>
              <w:top w:type="dxa" w:w="100"/>
              <w:left w:type="dxa" w:w="140"/>
              <w:bottom w:type="dxa" w:w="100"/>
              <w:right w:type="dxa" w:w="140"/>
            </w:tcMar>
          </w:tcPr>
          <w:p>
            <w:pPr>
              <w:spacing w:after="0"/>
            </w:pPr>
            <w:r>
              <w:rPr>
                <w:rFonts w:ascii="Arial" w:cs="Arial" w:eastAsia="Arial" w:hAnsi="Arial"/>
                <w:b/>
                <w:bCs/>
                <w:color w:val="FFFFFF"/>
                <w:sz w:val="22"/>
                <w:szCs w:val="22"/>
              </w:rPr>
              <w:t xml:space="preserve">Definition</w:t>
            </w:r>
          </w:p>
        </w:tc>
      </w:tr>
      <w:tr>
        <w:trPr>
          <w:tblHeader w:val="false"/>
        </w:trPr>
        <w:tc>
          <w:tcPr>
            <w:tcW w:type="dxa" w:w="24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MCP</w:t>
            </w:r>
          </w:p>
        </w:tc>
        <w:tc>
          <w:tcPr>
            <w:tcW w:type="dxa" w:w="696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Model Context Protocol — standard for connecting LLMs to external tools and data</w:t>
            </w:r>
          </w:p>
        </w:tc>
      </w:tr>
      <w:tr>
        <w:trPr>
          <w:tblHeader w:val="false"/>
        </w:trPr>
        <w:tc>
          <w:tcPr>
            <w:tcW w:type="dxa" w:w="240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FastMCP</w:t>
            </w:r>
          </w:p>
        </w:tc>
        <w:tc>
          <w:tcPr>
            <w:tcW w:type="dxa" w:w="696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High-level Python framework in the MCP SDK for building MCP servers</w:t>
            </w:r>
          </w:p>
        </w:tc>
      </w:tr>
      <w:tr>
        <w:trPr>
          <w:tblHeader w:val="false"/>
        </w:trPr>
        <w:tc>
          <w:tcPr>
            <w:tcW w:type="dxa" w:w="24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PT chart</w:t>
            </w:r>
          </w:p>
        </w:tc>
        <w:tc>
          <w:tcPr>
            <w:tcW w:type="dxa" w:w="696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Pressure-temperature saturation chart for a refrigerant</w:t>
            </w:r>
          </w:p>
        </w:tc>
      </w:tr>
      <w:tr>
        <w:trPr>
          <w:tblHeader w:val="false"/>
        </w:trPr>
        <w:tc>
          <w:tcPr>
            <w:tcW w:type="dxa" w:w="240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Superheat</w:t>
            </w:r>
          </w:p>
        </w:tc>
        <w:tc>
          <w:tcPr>
            <w:tcW w:type="dxa" w:w="696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Temperature of vapor refrigerant above its saturation temperature at that pressure</w:t>
            </w:r>
          </w:p>
        </w:tc>
      </w:tr>
      <w:tr>
        <w:trPr>
          <w:tblHeader w:val="false"/>
        </w:trPr>
        <w:tc>
          <w:tcPr>
            <w:tcW w:type="dxa" w:w="24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Subcool</w:t>
            </w:r>
          </w:p>
        </w:tc>
        <w:tc>
          <w:tcPr>
            <w:tcW w:type="dxa" w:w="696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Temperature of liquid refrigerant below its saturation temperature at that pressure</w:t>
            </w:r>
          </w:p>
        </w:tc>
      </w:tr>
      <w:tr>
        <w:trPr>
          <w:tblHeader w:val="false"/>
        </w:trPr>
        <w:tc>
          <w:tcPr>
            <w:tcW w:type="dxa" w:w="240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TXV</w:t>
            </w:r>
          </w:p>
        </w:tc>
        <w:tc>
          <w:tcPr>
            <w:tcW w:type="dxa" w:w="696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Thermostatic Expansion Valve — meters refrigerant based on evaporator superheat</w:t>
            </w:r>
          </w:p>
        </w:tc>
      </w:tr>
      <w:tr>
        <w:trPr>
          <w:tblHeader w:val="false"/>
        </w:trPr>
        <w:tc>
          <w:tcPr>
            <w:tcW w:type="dxa" w:w="24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AHJ</w:t>
            </w:r>
          </w:p>
        </w:tc>
        <w:tc>
          <w:tcPr>
            <w:tcW w:type="dxa" w:w="696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Authority Having Jurisdiction — the local code official who ultimately decides compliance</w:t>
            </w:r>
          </w:p>
        </w:tc>
      </w:tr>
      <w:tr>
        <w:trPr>
          <w:tblHeader w:val="false"/>
        </w:trPr>
        <w:tc>
          <w:tcPr>
            <w:tcW w:type="dxa" w:w="240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DFU / WSFU</w:t>
            </w:r>
          </w:p>
        </w:tc>
        <w:tc>
          <w:tcPr>
            <w:tcW w:type="dxa" w:w="6960"/>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Drainage Fixture Units / Water Supply Fixture Units — plumbing load measures</w:t>
            </w:r>
          </w:p>
        </w:tc>
      </w:tr>
      <w:tr>
        <w:trPr>
          <w:tblHeader w:val="false"/>
        </w:trPr>
        <w:tc>
          <w:tcPr>
            <w:tcW w:type="dxa" w:w="24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IRC / IMC / IPC</w:t>
            </w:r>
          </w:p>
        </w:tc>
        <w:tc>
          <w:tcPr>
            <w:tcW w:type="dxa" w:w="696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pPr>
            <w:r>
              <w:rPr>
                <w:rFonts w:ascii="Arial" w:cs="Arial" w:eastAsia="Arial" w:hAnsi="Arial"/>
                <w:b w:val="false"/>
                <w:bCs w:val="false"/>
                <w:color w:val="000000"/>
                <w:sz w:val="20"/>
                <w:szCs w:val="20"/>
              </w:rPr>
              <w:t xml:space="preserve">International Residential / Mechanical / Plumbing Code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8"/>
        <w:szCs w:val="18"/>
      </w:rPr>
      <w:t xml:space="preserve">Page </w:t>
    </w:r>
    <w:r>
      <w:rPr>
        <w:rFonts w:ascii="Arial" w:cs="Arial" w:eastAsia="Arial" w:hAnsi="Arial"/>
        <w:color w:val="777777"/>
        <w:sz w:val="18"/>
        <w:szCs w:val="18"/>
      </w:rPr>
      <w:fldChar w:fldCharType="begin"/>
      <w:instrText xml:space="preserve">PAGE</w:instrText>
      <w:fldChar w:fldCharType="separate"/>
      <w:fldChar w:fldCharType="end"/>
    </w:r>
    <w:r>
      <w:rPr>
        <w:rFonts w:ascii="Arial" w:cs="Arial" w:eastAsia="Arial" w:hAnsi="Arial"/>
        <w:color w:val="777777"/>
        <w:sz w:val="18"/>
        <w:szCs w:val="18"/>
      </w:rPr>
      <w:t xml:space="preserve"> of </w:t>
    </w:r>
    <w:r>
      <w:rPr>
        <w:rFonts w:ascii="Arial" w:cs="Arial" w:eastAsia="Arial" w:hAnsi="Arial"/>
        <w:color w:val="777777"/>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777777"/>
        <w:sz w:val="18"/>
        <w:szCs w:val="18"/>
      </w:rPr>
      <w:t xml:space="preserve">HVAC MCP Server — PRD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B2545"/>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0B2545"/>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F6FE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HVAC MCP Server — PRD v1.0</dc:title>
  <dc:creator>Kollin Croyle</dc:creator>
  <dc:description>Product Requirements Document for the HVAC MCP vertical server</dc:description>
  <cp:lastModifiedBy>Un-named</cp:lastModifiedBy>
  <cp:revision>1</cp:revision>
  <dcterms:created xsi:type="dcterms:W3CDTF">2026-04-17T14:40:31.922Z</dcterms:created>
  <dcterms:modified xsi:type="dcterms:W3CDTF">2026-04-17T14:40:31.923Z</dcterms:modified>
</cp:coreProperties>
</file>

<file path=docProps/custom.xml><?xml version="1.0" encoding="utf-8"?>
<Properties xmlns="http://schemas.openxmlformats.org/officeDocument/2006/custom-properties" xmlns:vt="http://schemas.openxmlformats.org/officeDocument/2006/docPropsVTypes"/>
</file>