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27ADC" w14:textId="348B73FF" w:rsidR="007D5F0D" w:rsidRPr="001D34FB" w:rsidRDefault="007D5F0D">
      <w:pPr>
        <w:pStyle w:val="Heading1"/>
        <w:numPr>
          <w:ilvl w:val="0"/>
          <w:numId w:val="3"/>
        </w:numPr>
        <w:jc w:val="left"/>
        <w:rPr>
          <w:b/>
          <w:bCs/>
          <w:sz w:val="24"/>
          <w:szCs w:val="24"/>
          <w:u w:val="single"/>
        </w:rPr>
      </w:pPr>
      <w:bookmarkStart w:id="0" w:name="_Toc230901599"/>
      <w:r w:rsidRPr="001D34FB">
        <w:rPr>
          <w:b/>
          <w:bCs/>
          <w:sz w:val="24"/>
          <w:szCs w:val="24"/>
          <w:u w:val="single"/>
        </w:rPr>
        <w:t>Introduction</w:t>
      </w:r>
      <w:bookmarkEnd w:id="0"/>
    </w:p>
    <w:p w14:paraId="22CD032D" w14:textId="266D1F32" w:rsidR="004C7CDD" w:rsidRPr="00C7720B" w:rsidRDefault="00A66264">
      <w:pPr>
        <w:pStyle w:val="Heading2"/>
        <w:numPr>
          <w:ilvl w:val="1"/>
          <w:numId w:val="3"/>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1C680971" w:rsidR="001B6A91" w:rsidRDefault="00813C10" w:rsidP="00E16562">
      <w:pPr>
        <w:ind w:firstLine="720"/>
        <w:rPr>
          <w:noProof/>
        </w:rPr>
      </w:pPr>
      <w:r>
        <w:t>B</w:t>
      </w:r>
      <w:r w:rsidR="00991EB6">
        <w:t xml:space="preserve">y enhancing </w:t>
      </w:r>
      <w:r w:rsidR="00662501">
        <w:t xml:space="preserve">urban mobility where citizens </w:t>
      </w:r>
      <w:r w:rsidR="007000BF">
        <w:t xml:space="preserve">prioritize </w:t>
      </w:r>
      <w:r>
        <w:t>public transports over privat</w:t>
      </w:r>
      <w:r w:rsidR="007441B1">
        <w:t xml:space="preserve">e </w:t>
      </w:r>
      <w:r>
        <w:t xml:space="preserve">vehicles, </w:t>
      </w:r>
      <w:r w:rsidR="007441B1">
        <w:t>countries can improve their economies while</w:t>
      </w:r>
      <w:r w:rsidR="00BD3425">
        <w:t xml:space="preserve"> promot</w:t>
      </w:r>
      <w:r w:rsidR="00BB1766">
        <w:t>ing</w:t>
      </w:r>
      <w:r w:rsidR="00BD3425">
        <w:t xml:space="preserve"> </w:t>
      </w:r>
      <w:r w:rsidR="00BB1766" w:rsidRPr="000E6067">
        <w:t>environmental sustainability</w:t>
      </w:r>
      <w:r w:rsidR="00786A26" w:rsidRPr="000E6067">
        <w:t xml:space="preserve"> (Lu et al., 2020)</w:t>
      </w:r>
      <w:r w:rsidR="001F4212">
        <w:t>,</w:t>
      </w:r>
      <w:r w:rsidR="00BB1766" w:rsidRPr="000E6067">
        <w:t xml:space="preserve"> </w:t>
      </w:r>
      <w:r w:rsidR="001F4212">
        <w:t>aligning with</w:t>
      </w:r>
      <w:r w:rsidR="00050D3A" w:rsidRPr="000E6067">
        <w:t xml:space="preserve"> Sustainable Development Goals (SDG)</w:t>
      </w:r>
      <w:r w:rsidR="00786A26" w:rsidRPr="000E6067">
        <w:t xml:space="preserve"> adopted by the</w:t>
      </w:r>
      <w:r w:rsidR="00BB1766" w:rsidRPr="000E6067">
        <w:t xml:space="preserve"> </w:t>
      </w:r>
      <w:r w:rsidR="00050D3A" w:rsidRPr="000E6067">
        <w:t>United Nations</w:t>
      </w:r>
      <w:r w:rsidR="00BB1766" w:rsidRPr="000E6067">
        <w:t>.</w:t>
      </w:r>
      <w:r w:rsidR="00577FD7" w:rsidRPr="000E6067">
        <w:t xml:space="preserve"> </w:t>
      </w:r>
      <w:r w:rsidR="00196E45">
        <w:t>Malaysia</w:t>
      </w:r>
      <w:r w:rsidR="00980393">
        <w:t>,</w:t>
      </w:r>
      <w:r w:rsidR="00196E45">
        <w:t xml:space="preserve"> as a developing nation undergoing urbanisation</w:t>
      </w:r>
      <w:r w:rsidR="008B4A2F" w:rsidRPr="000E6067">
        <w:t xml:space="preserve">, </w:t>
      </w:r>
      <w:r w:rsidR="007B08CF">
        <w:t>establishing</w:t>
      </w:r>
      <w:r w:rsidR="008B4A2F" w:rsidRPr="000E6067">
        <w:t xml:space="preserve"> a</w:t>
      </w:r>
      <w:r w:rsidR="007B08CF">
        <w:t>n</w:t>
      </w:r>
      <w:r w:rsidR="008B4A2F" w:rsidRPr="000E6067">
        <w:t xml:space="preserve"> efficient public transit system is </w:t>
      </w:r>
      <w:r w:rsidR="007B08CF">
        <w:t xml:space="preserve">essential to </w:t>
      </w:r>
      <w:r w:rsidR="007368E2">
        <w:t>achieve</w:t>
      </w:r>
      <w:r w:rsidR="00F31A0D" w:rsidRPr="000E6067">
        <w:t xml:space="preserve"> developed</w:t>
      </w:r>
      <w:r w:rsidR="007368E2">
        <w:t>-</w:t>
      </w:r>
      <w:r w:rsidR="00F31A0D" w:rsidRPr="000E6067">
        <w:t>country</w:t>
      </w:r>
      <w:r w:rsidR="007368E2">
        <w:t xml:space="preserve"> status</w:t>
      </w:r>
      <w:r w:rsidR="008F3112" w:rsidRPr="000E6067">
        <w:t xml:space="preserve"> </w:t>
      </w:r>
      <w:r w:rsidR="00675D57" w:rsidRPr="000E6067">
        <w:rPr>
          <w:noProof/>
        </w:rPr>
        <w:t>(Wang, et al., 2025)</w:t>
      </w:r>
      <w:r w:rsidR="0086331C" w:rsidRPr="000E6067">
        <w:t xml:space="preserve">. </w:t>
      </w:r>
      <w:r w:rsidR="001652AF" w:rsidRPr="000E6067">
        <w:t xml:space="preserve">However, </w:t>
      </w:r>
      <w:r w:rsidR="00886D13" w:rsidRPr="000E6067">
        <w:rPr>
          <w:noProof/>
        </w:rPr>
        <w:t>Amir et al.</w:t>
      </w:r>
      <w:r w:rsidR="009905B4" w:rsidRPr="000E6067">
        <w:rPr>
          <w:noProof/>
        </w:rPr>
        <w:t xml:space="preserve"> (</w:t>
      </w:r>
      <w:r w:rsidR="00886D13" w:rsidRPr="000E6067">
        <w:rPr>
          <w:noProof/>
        </w:rPr>
        <w:t>2025)</w:t>
      </w:r>
      <w:r w:rsidR="001652AF" w:rsidRPr="000E6067">
        <w:rPr>
          <w:noProof/>
        </w:rPr>
        <w:t xml:space="preserve"> suggested that</w:t>
      </w:r>
      <w:r w:rsidR="009905B4" w:rsidRPr="000E6067">
        <w:rPr>
          <w:noProof/>
        </w:rPr>
        <w:t xml:space="preserve"> </w:t>
      </w:r>
      <w:r w:rsidR="002D4B5B" w:rsidRPr="000E6067">
        <w:rPr>
          <w:noProof/>
        </w:rPr>
        <w:t xml:space="preserve">citizens </w:t>
      </w:r>
      <w:r w:rsidR="00036C95">
        <w:rPr>
          <w:noProof/>
        </w:rPr>
        <w:t>revert to</w:t>
      </w:r>
      <w:r w:rsidR="00210DC9" w:rsidRPr="000E6067">
        <w:rPr>
          <w:noProof/>
        </w:rPr>
        <w:t xml:space="preserve"> private vehicles </w:t>
      </w:r>
      <w:r w:rsidR="002D4B5B" w:rsidRPr="000E6067">
        <w:rPr>
          <w:noProof/>
        </w:rPr>
        <w:t>due to</w:t>
      </w:r>
      <w:r w:rsidR="005B0CA1" w:rsidRPr="000E6067">
        <w:rPr>
          <w:noProof/>
        </w:rPr>
        <w:t xml:space="preserve"> </w:t>
      </w:r>
      <w:r w:rsidR="00036C95">
        <w:rPr>
          <w:noProof/>
        </w:rPr>
        <w:t>unreliable public transit predictions</w:t>
      </w:r>
      <w:r w:rsidR="00B87FE7" w:rsidRPr="000E6067">
        <w:rPr>
          <w:noProof/>
        </w:rPr>
        <w:t xml:space="preserve"> in public transit systems</w:t>
      </w:r>
      <w:r w:rsidR="00E21E69" w:rsidRPr="000E6067">
        <w:rPr>
          <w:noProof/>
        </w:rPr>
        <w:t xml:space="preserve"> caused by </w:t>
      </w:r>
      <w:r w:rsidR="004F1A6B" w:rsidRPr="000E6067">
        <w:rPr>
          <w:noProof/>
        </w:rPr>
        <w:t>uncerta</w:t>
      </w:r>
      <w:r w:rsidR="005968C0" w:rsidRPr="000E6067">
        <w:rPr>
          <w:noProof/>
        </w:rPr>
        <w:t>inties</w:t>
      </w:r>
      <w:r w:rsidR="00E21E69" w:rsidRPr="000E6067">
        <w:rPr>
          <w:noProof/>
        </w:rPr>
        <w:t xml:space="preserve"> </w:t>
      </w:r>
      <w:r w:rsidR="001F4212">
        <w:rPr>
          <w:noProof/>
        </w:rPr>
        <w:t xml:space="preserve">– </w:t>
      </w:r>
      <w:r w:rsidR="00E21E69" w:rsidRPr="000E6067">
        <w:rPr>
          <w:noProof/>
        </w:rPr>
        <w:t>weather conditions</w:t>
      </w:r>
      <w:r w:rsidR="005968C0" w:rsidRPr="000E6067">
        <w:rPr>
          <w:noProof/>
        </w:rPr>
        <w:t xml:space="preserve">, </w:t>
      </w:r>
      <w:r w:rsidR="002D21AA" w:rsidRPr="000E6067">
        <w:rPr>
          <w:noProof/>
        </w:rPr>
        <w:t>socio-economic activities</w:t>
      </w:r>
      <w:r w:rsidR="005968C0" w:rsidRPr="000E6067">
        <w:rPr>
          <w:noProof/>
        </w:rPr>
        <w:t>, and</w:t>
      </w:r>
      <w:r w:rsidR="00036C95">
        <w:rPr>
          <w:noProof/>
        </w:rPr>
        <w:t xml:space="preserve"> geopolitical events</w:t>
      </w:r>
      <w:r w:rsidR="001F4212">
        <w:rPr>
          <w:noProof/>
        </w:rPr>
        <w:t xml:space="preserve"> –</w:t>
      </w:r>
      <w:r w:rsidR="00130C05">
        <w:rPr>
          <w:noProof/>
        </w:rPr>
        <w:t xml:space="preserve"> </w:t>
      </w:r>
      <w:r w:rsidR="004340FD">
        <w:rPr>
          <w:noProof/>
        </w:rPr>
        <w:t>thereby</w:t>
      </w:r>
      <w:r w:rsidR="0038551B">
        <w:rPr>
          <w:noProof/>
        </w:rPr>
        <w:t xml:space="preserve"> accelerates </w:t>
      </w:r>
      <w:r w:rsidR="002D4B5B">
        <w:rPr>
          <w:noProof/>
        </w:rPr>
        <w:t xml:space="preserve">traffic congestion </w:t>
      </w:r>
      <w:r w:rsidR="00D16FCB">
        <w:rPr>
          <w:noProof/>
        </w:rPr>
        <w:t>and air/sound pollution</w:t>
      </w:r>
      <w:r w:rsidR="002D4B5B">
        <w:rPr>
          <w:noProof/>
        </w:rPr>
        <w:t xml:space="preserve">. </w:t>
      </w:r>
      <w:r w:rsidR="00E16562">
        <w:rPr>
          <w:noProof/>
        </w:rPr>
        <w:t>R</w:t>
      </w:r>
      <w:r w:rsidR="00D16FCB">
        <w:rPr>
          <w:noProof/>
        </w:rPr>
        <w:t>eliable public transit systems directly address the environmental and social challenges</w:t>
      </w:r>
      <w:r w:rsidR="00E16562">
        <w:rPr>
          <w:noProof/>
        </w:rPr>
        <w:t>, enhancing residents’ quality of life and mobility across metropolitan and rural areas</w:t>
      </w:r>
      <w:r w:rsidR="0049317C" w:rsidRPr="0049317C">
        <w:rPr>
          <w:noProof/>
        </w:rPr>
        <w:t xml:space="preserve"> </w:t>
      </w:r>
      <w:r w:rsidR="00675D57">
        <w:rPr>
          <w:noProof/>
        </w:rPr>
        <w:t>(Wang, et al., 2025)</w:t>
      </w:r>
      <w:r w:rsidR="00D16FCB">
        <w:rPr>
          <w:noProof/>
        </w:rPr>
        <w:t>.</w:t>
      </w:r>
    </w:p>
    <w:p w14:paraId="24A62646" w14:textId="2C714164" w:rsidR="00023688" w:rsidRDefault="007250EE" w:rsidP="00E238AB">
      <w:pPr>
        <w:ind w:firstLine="720"/>
      </w:pPr>
      <w:r>
        <w:t>Despite</w:t>
      </w:r>
      <w:r w:rsidR="0006628B">
        <w:t xml:space="preserve"> Malaysian government </w:t>
      </w:r>
      <w:r>
        <w:t>investments in</w:t>
      </w:r>
      <w:r w:rsidR="0006628B">
        <w:t xml:space="preserve"> major </w:t>
      </w:r>
      <w:r>
        <w:t xml:space="preserve">transit infrastructure </w:t>
      </w:r>
      <w:r w:rsidR="00786D47">
        <w:t xml:space="preserve">such as </w:t>
      </w:r>
      <w:r w:rsidR="00430DF2">
        <w:t>mass rapid transit (MRT) Putrajaya</w:t>
      </w:r>
      <w:r w:rsidR="00B61E1C">
        <w:t xml:space="preserve">, </w:t>
      </w:r>
      <w:r w:rsidR="00430DF2">
        <w:t>Shah Alam</w:t>
      </w:r>
      <w:r w:rsidR="009A654D">
        <w:t xml:space="preserve">, </w:t>
      </w:r>
      <w:r w:rsidR="00B61E1C">
        <w:t xml:space="preserve">and </w:t>
      </w:r>
      <w:r w:rsidR="0010507D">
        <w:t>planned</w:t>
      </w:r>
      <w:r w:rsidR="009A654D">
        <w:t xml:space="preserve"> MRT Circle Line</w:t>
      </w:r>
      <w:r w:rsidR="00B61E1C">
        <w:t xml:space="preserve">, </w:t>
      </w:r>
      <w:r w:rsidR="00422CE4">
        <w:t xml:space="preserve">ridership </w:t>
      </w:r>
      <w:r w:rsidR="007927F0">
        <w:t>remains</w:t>
      </w:r>
      <w:r w:rsidR="00422CE4">
        <w:t xml:space="preserve"> below average </w:t>
      </w:r>
      <w:r w:rsidR="003A7275">
        <w:t>due to</w:t>
      </w:r>
      <w:r w:rsidR="00E56521">
        <w:t xml:space="preserve"> the </w:t>
      </w:r>
      <w:r w:rsidR="00D03A02">
        <w:t xml:space="preserve">uncertainties and </w:t>
      </w:r>
      <w:r w:rsidR="00E56521">
        <w:t>service quality</w:t>
      </w:r>
      <w:r w:rsidR="003A7275">
        <w:t xml:space="preserve"> flaws</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w:t>
      </w:r>
      <w:r w:rsidR="003A7275">
        <w:t>identified</w:t>
      </w:r>
      <w:r w:rsidR="00760756">
        <w:t xml:space="preserve"> that prolonged travel times, untimely delays, and limited accessibility</w:t>
      </w:r>
      <w:r w:rsidR="00092FF2">
        <w:t xml:space="preserve"> </w:t>
      </w:r>
      <w:r w:rsidR="003A7275">
        <w:t>are</w:t>
      </w:r>
      <w:r w:rsidR="00F01135">
        <w:t xml:space="preserve"> </w:t>
      </w:r>
      <w:r w:rsidR="003A7275">
        <w:t>primary causes</w:t>
      </w:r>
      <w:r w:rsidR="00F01135">
        <w:t xml:space="preserve"> </w:t>
      </w:r>
      <w:r w:rsidR="003A7275">
        <w:t>of</w:t>
      </w:r>
      <w:r w:rsidR="00F01135">
        <w:t xml:space="preserve"> passenger dissatisfaction</w:t>
      </w:r>
      <w:r w:rsidR="006F6098">
        <w:t>.</w:t>
      </w:r>
      <w:r w:rsidR="001C486D">
        <w:t xml:space="preserve"> </w:t>
      </w:r>
      <w:r w:rsidR="003A7275">
        <w:t>These service deficiencies increase</w:t>
      </w:r>
      <w:r w:rsidR="00210498">
        <w:t xml:space="preserve"> </w:t>
      </w:r>
      <w:r w:rsidR="003A7275">
        <w:t>spatiotemporal complexity</w:t>
      </w:r>
      <w:r w:rsidR="00D621A9">
        <w:t xml:space="preserve"> –</w:t>
      </w:r>
      <w:r w:rsidR="009153C9">
        <w:t xml:space="preserve"> </w:t>
      </w:r>
      <w:r w:rsidR="004503F4">
        <w:t xml:space="preserve">traffic, weathers, how people move </w:t>
      </w:r>
      <w:r w:rsidR="001D58A5">
        <w:t>around</w:t>
      </w:r>
      <w:r w:rsidR="00D621A9">
        <w:t xml:space="preserve"> – </w:t>
      </w:r>
      <w:r w:rsidR="001D58A5">
        <w:t>which conventional statistical models</w:t>
      </w:r>
      <w:r w:rsidR="003A7275">
        <w:t xml:space="preserve"> like </w:t>
      </w:r>
      <w:proofErr w:type="spellStart"/>
      <w:r w:rsidR="003A7275">
        <w:t>AutoRegressive</w:t>
      </w:r>
      <w:proofErr w:type="spellEnd"/>
      <w:r w:rsidR="003A7275">
        <w:t xml:space="preserve"> Integrated Moving Average (ARIMA) fails</w:t>
      </w:r>
      <w:r w:rsidR="001D58A5">
        <w:t xml:space="preserve"> to </w:t>
      </w:r>
      <w:r w:rsidR="003A7275">
        <w:t>predict accurately</w:t>
      </w:r>
      <w:r w:rsidR="00FE7B90">
        <w:t xml:space="preserve">. This </w:t>
      </w:r>
      <w:r w:rsidR="0012711B">
        <w:t>emphasizes the</w:t>
      </w:r>
      <w:r w:rsidR="00C8721E">
        <w:t xml:space="preserve"> important need</w:t>
      </w:r>
      <w:r w:rsidR="0012711B">
        <w:t xml:space="preserve"> for advanced predictive model to accurately</w:t>
      </w:r>
      <w:r w:rsidR="00C8721E">
        <w:t xml:space="preserve">, </w:t>
      </w:r>
      <w:r w:rsidR="00CE0946">
        <w:t>consistently</w:t>
      </w:r>
      <w:r w:rsidR="00C8721E">
        <w:t>, and reliably</w:t>
      </w:r>
      <w:r w:rsidR="0012711B">
        <w:t xml:space="preserve"> forecast public transit ridership</w:t>
      </w:r>
      <w:r w:rsidR="00727489">
        <w:t>.</w:t>
      </w:r>
    </w:p>
    <w:p w14:paraId="396E399B" w14:textId="6E0757AC"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w:t>
      </w:r>
      <w:r w:rsidR="001C0EB1">
        <w:t>for modelling</w:t>
      </w:r>
      <w:r w:rsidR="00F83D67">
        <w:t xml:space="preserve"> intricate</w:t>
      </w:r>
      <w:r w:rsidR="00103B7C">
        <w:t xml:space="preserve"> spatiotemporal </w:t>
      </w:r>
      <w:r w:rsidR="001C0EB1">
        <w:t>relationships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ARIMA, </w:t>
      </w:r>
      <w:r w:rsidR="006E03AB">
        <w:t>DL</w:t>
      </w:r>
      <w:r w:rsidR="0038003E">
        <w:t xml:space="preserve"> approaches such as Long Short-Term Memory (LSTM) and Graph Convolutional Networks (GCN)</w:t>
      </w:r>
      <w:r w:rsidR="008C3638">
        <w:t xml:space="preserve"> </w:t>
      </w:r>
      <w:r w:rsidR="002C1F8D">
        <w:t>integrate</w:t>
      </w:r>
      <w:r w:rsidR="00A761E0">
        <w:t xml:space="preserve"> </w:t>
      </w:r>
      <w:r w:rsidR="006E2CEB">
        <w:t>multiple</w:t>
      </w:r>
      <w:r w:rsidR="00A761E0">
        <w:t xml:space="preserve"> data sources</w:t>
      </w:r>
      <w:r w:rsidR="00A16D7B">
        <w:t xml:space="preserve"> – </w:t>
      </w:r>
      <w:r w:rsidR="002C1F8D">
        <w:t xml:space="preserve">General Transit Feed Specification (GTFS) data, </w:t>
      </w:r>
      <w:r w:rsidR="006A3C0E">
        <w:t>historical weather patterns, Points of Interest (POIs)</w:t>
      </w:r>
      <w:r w:rsidR="00A16D7B">
        <w:t xml:space="preserve"> –</w:t>
      </w:r>
      <w:r w:rsidR="000030B4">
        <w:t xml:space="preserve"> </w:t>
      </w:r>
      <w:r w:rsidR="006A3C0E">
        <w:t xml:space="preserve">to </w:t>
      </w:r>
      <w:r w:rsidR="00FC4D2E">
        <w:t xml:space="preserve">fully capture </w:t>
      </w:r>
      <w:r w:rsidR="001A1692">
        <w:t>multidimensional</w:t>
      </w:r>
      <w:r w:rsidR="00FC4D2E">
        <w:t xml:space="preserve"> relationships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FB5B9A">
        <w:t xml:space="preserve">Implementing state-of-the-art (SOTA) DL architectures addresses </w:t>
      </w:r>
      <w:r w:rsidR="00FB5B9A">
        <w:lastRenderedPageBreak/>
        <w:t>Malaysia’s current reliance on conventional models, enabling accurate ridership predictions for complex spatiotemporal data</w:t>
      </w:r>
      <w:r w:rsidR="00921040">
        <w:t>.</w:t>
      </w:r>
    </w:p>
    <w:p w14:paraId="35FB1A29" w14:textId="5EB58FBF" w:rsidR="004C7CDD" w:rsidRPr="00C7720B" w:rsidRDefault="004C7CDD">
      <w:pPr>
        <w:pStyle w:val="Heading2"/>
        <w:numPr>
          <w:ilvl w:val="1"/>
          <w:numId w:val="3"/>
        </w:numPr>
        <w:rPr>
          <w:b/>
          <w:bCs/>
          <w:sz w:val="24"/>
          <w:szCs w:val="24"/>
          <w:u w:val="single"/>
        </w:rPr>
      </w:pPr>
      <w:bookmarkStart w:id="2" w:name="_Toc230901601"/>
      <w:r w:rsidRPr="00C7720B">
        <w:rPr>
          <w:b/>
          <w:bCs/>
          <w:sz w:val="24"/>
          <w:szCs w:val="24"/>
          <w:u w:val="single"/>
        </w:rPr>
        <w:t>Problem Statement</w:t>
      </w:r>
      <w:bookmarkEnd w:id="2"/>
    </w:p>
    <w:p w14:paraId="35E20DC8" w14:textId="55D42F63" w:rsidR="007C1F62" w:rsidRDefault="00351C88" w:rsidP="00B23336">
      <w:pPr>
        <w:ind w:firstLine="720"/>
        <w:rPr>
          <w:lang w:val="en-US"/>
        </w:rPr>
      </w:pPr>
      <w:r>
        <w:rPr>
          <w:lang w:val="en-US"/>
        </w:rPr>
        <w:t>One of the major issues</w:t>
      </w:r>
      <w:r w:rsidR="00E238AB">
        <w:rPr>
          <w:lang w:val="en-US"/>
        </w:rPr>
        <w:t xml:space="preserve"> </w:t>
      </w:r>
      <w:r>
        <w:rPr>
          <w:lang w:val="en-US"/>
        </w:rPr>
        <w:t>with</w:t>
      </w:r>
      <w:r w:rsidR="00E238AB">
        <w:rPr>
          <w:lang w:val="en-US"/>
        </w:rPr>
        <w:t xml:space="preserve"> Malaysia’s transit management system is </w:t>
      </w:r>
      <w:r>
        <w:rPr>
          <w:lang w:val="en-US"/>
        </w:rPr>
        <w:t>predicting daily ridership accurately due to the complex</w:t>
      </w:r>
      <w:r w:rsidR="00E238AB">
        <w:rPr>
          <w:lang w:val="en-US"/>
        </w:rPr>
        <w:t xml:space="preserve"> relationship</w:t>
      </w:r>
      <w:r>
        <w:rPr>
          <w:lang w:val="en-US"/>
        </w:rPr>
        <w:t>s existing</w:t>
      </w:r>
      <w:r w:rsidR="00E238AB">
        <w:rPr>
          <w:lang w:val="en-US"/>
        </w:rPr>
        <w:t xml:space="preserve"> between spati</w:t>
      </w:r>
      <w:r w:rsidR="000B5F6C">
        <w:rPr>
          <w:lang w:val="en-US"/>
        </w:rPr>
        <w:t>o</w:t>
      </w:r>
      <w:r w:rsidR="00E238AB">
        <w:rPr>
          <w:lang w:val="en-US"/>
        </w:rPr>
        <w:t>temporal factors affect</w:t>
      </w:r>
      <w:r>
        <w:rPr>
          <w:lang w:val="en-US"/>
        </w:rPr>
        <w:t>ing</w:t>
      </w:r>
      <w:r w:rsidR="00E238AB">
        <w:rPr>
          <w:lang w:val="en-US"/>
        </w:rPr>
        <w:t xml:space="preserve"> public transport</w:t>
      </w:r>
      <w:r w:rsidR="00133CC8">
        <w:rPr>
          <w:lang w:val="en-US"/>
        </w:rPr>
        <w:t xml:space="preserve"> services</w:t>
      </w:r>
      <w:r>
        <w:rPr>
          <w:lang w:val="en-US"/>
        </w:rPr>
        <w:t xml:space="preserve"> </w:t>
      </w:r>
      <w:r w:rsidR="00350665">
        <w:rPr>
          <w:lang w:val="en-US"/>
        </w:rPr>
        <w:t>– including</w:t>
      </w:r>
      <w:r w:rsidR="001652AF">
        <w:rPr>
          <w:lang w:val="en-US"/>
        </w:rPr>
        <w:t xml:space="preserve"> population density, weather, </w:t>
      </w:r>
      <w:r w:rsidR="00350665">
        <w:rPr>
          <w:lang w:val="en-US"/>
        </w:rPr>
        <w:t>station/stop accessibility and socio-economic activities</w:t>
      </w:r>
      <w:r>
        <w:rPr>
          <w:lang w:val="en-US"/>
        </w:rPr>
        <w:t xml:space="preserve"> </w:t>
      </w:r>
      <w:r>
        <w:rPr>
          <w:noProof/>
        </w:rPr>
        <w:t>(Amir et al., 2025)</w:t>
      </w:r>
      <w:r w:rsidR="001652AF">
        <w:rPr>
          <w:lang w:val="en-US"/>
        </w:rPr>
        <w:t>.</w:t>
      </w:r>
      <w:r w:rsidR="00E238AB">
        <w:rPr>
          <w:lang w:val="en-US"/>
        </w:rPr>
        <w:t xml:space="preserve"> </w:t>
      </w:r>
      <w:r w:rsidR="00B23336">
        <w:rPr>
          <w:lang w:val="en-US"/>
        </w:rPr>
        <w:t>Consequently, transit authorities face critical bottleneck</w:t>
      </w:r>
      <w:r w:rsidR="00350665">
        <w:rPr>
          <w:lang w:val="en-US"/>
        </w:rPr>
        <w:t>s</w:t>
      </w:r>
      <w:r w:rsidR="00B23336">
        <w:rPr>
          <w:lang w:val="en-US"/>
        </w:rPr>
        <w:t xml:space="preserve"> in </w:t>
      </w:r>
      <w:r w:rsidR="00E22606">
        <w:rPr>
          <w:lang w:val="en-US"/>
        </w:rPr>
        <w:t xml:space="preserve">terms of </w:t>
      </w:r>
      <w:r w:rsidR="00B23336">
        <w:rPr>
          <w:lang w:val="en-US"/>
        </w:rPr>
        <w:t>schedul</w:t>
      </w:r>
      <w:r w:rsidR="00E22606">
        <w:rPr>
          <w:lang w:val="en-US"/>
        </w:rPr>
        <w:t>ing</w:t>
      </w:r>
      <w:r w:rsidR="00B23336">
        <w:rPr>
          <w:lang w:val="en-US"/>
        </w:rPr>
        <w:t>, rout</w:t>
      </w:r>
      <w:r w:rsidR="00E22606">
        <w:rPr>
          <w:lang w:val="en-US"/>
        </w:rPr>
        <w:t>ing</w:t>
      </w:r>
      <w:r w:rsidR="00B23336">
        <w:rPr>
          <w:lang w:val="en-US"/>
        </w:rPr>
        <w:t xml:space="preserve">, and </w:t>
      </w:r>
      <w:r w:rsidR="00350665">
        <w:rPr>
          <w:lang w:val="en-US"/>
        </w:rPr>
        <w:t xml:space="preserve">service </w:t>
      </w:r>
      <w:r w:rsidR="00B23336">
        <w:rPr>
          <w:lang w:val="en-US"/>
        </w:rPr>
        <w:t xml:space="preserve">intervals </w:t>
      </w:r>
      <w:r>
        <w:rPr>
          <w:lang w:val="en-US"/>
        </w:rPr>
        <w:t>during</w:t>
      </w:r>
      <w:r w:rsidR="00B23336">
        <w:rPr>
          <w:lang w:val="en-US"/>
        </w:rPr>
        <w:t xml:space="preserve"> peak hours and holidays, </w:t>
      </w:r>
      <w:r w:rsidR="00350665">
        <w:rPr>
          <w:lang w:val="en-US"/>
        </w:rPr>
        <w:t>undermining system reliability and passenger satisfaction</w:t>
      </w:r>
      <w:r w:rsidR="00B23336">
        <w:rPr>
          <w:lang w:val="en-US"/>
        </w:rPr>
        <w:t xml:space="preserve">. </w:t>
      </w:r>
      <w:r w:rsidR="00350665">
        <w:rPr>
          <w:lang w:val="en-US"/>
        </w:rPr>
        <w:t>Addressing this requires a</w:t>
      </w:r>
      <w:r w:rsidR="00B23336">
        <w:rPr>
          <w:lang w:val="en-US"/>
        </w:rPr>
        <w:t xml:space="preserve"> dual approach: (1) identify </w:t>
      </w:r>
      <w:r w:rsidR="003D44AE">
        <w:rPr>
          <w:lang w:val="en-US"/>
        </w:rPr>
        <w:t>spatio</w:t>
      </w:r>
      <w:r w:rsidR="00B23336">
        <w:rPr>
          <w:lang w:val="en-US"/>
        </w:rPr>
        <w:t>temporal factors influenc</w:t>
      </w:r>
      <w:r w:rsidR="00E22606">
        <w:rPr>
          <w:lang w:val="en-US"/>
        </w:rPr>
        <w:t>ing</w:t>
      </w:r>
      <w:r w:rsidR="00B23336">
        <w:rPr>
          <w:lang w:val="en-US"/>
        </w:rPr>
        <w:t xml:space="preserve"> </w:t>
      </w:r>
      <w:r w:rsidR="0082765A">
        <w:rPr>
          <w:lang w:val="en-US"/>
        </w:rPr>
        <w:t>Malaysia’s ridership trends</w:t>
      </w:r>
      <w:r w:rsidR="00B23336">
        <w:rPr>
          <w:lang w:val="en-US"/>
        </w:rPr>
        <w:t>; (2) develop a robust predictive model capable of forecasting daily ridership based on these identified features.</w:t>
      </w:r>
    </w:p>
    <w:p w14:paraId="5F9F169F" w14:textId="0F7409A7" w:rsidR="00B23336" w:rsidRPr="00E238AB" w:rsidRDefault="001652AF" w:rsidP="00B23336">
      <w:pPr>
        <w:ind w:firstLine="720"/>
        <w:rPr>
          <w:lang w:val="en-US"/>
        </w:rPr>
      </w:pPr>
      <w:r>
        <w:rPr>
          <w:lang w:val="en-US"/>
        </w:rPr>
        <w:t>Traditional</w:t>
      </w:r>
      <w:r w:rsidR="0082765A">
        <w:rPr>
          <w:lang w:val="en-US"/>
        </w:rPr>
        <w:t xml:space="preserve"> statistical</w:t>
      </w:r>
      <w:r>
        <w:rPr>
          <w:lang w:val="en-US"/>
        </w:rPr>
        <w:t xml:space="preserve"> models </w:t>
      </w:r>
      <w:r w:rsidR="00D218AD">
        <w:rPr>
          <w:lang w:val="en-US"/>
        </w:rPr>
        <w:t>struggle</w:t>
      </w:r>
      <w:r>
        <w:rPr>
          <w:lang w:val="en-US"/>
        </w:rPr>
        <w:t xml:space="preserve"> </w:t>
      </w:r>
      <w:r w:rsidR="00D218AD">
        <w:rPr>
          <w:lang w:val="en-US"/>
        </w:rPr>
        <w:t>with</w:t>
      </w:r>
      <w:r>
        <w:rPr>
          <w:lang w:val="en-US"/>
        </w:rPr>
        <w:t xml:space="preserve"> highly fluctuating data compared to DL</w:t>
      </w:r>
      <w:r w:rsidR="00D218AD">
        <w:rPr>
          <w:lang w:val="en-US"/>
        </w:rPr>
        <w:t xml:space="preserve"> approaches</w:t>
      </w:r>
      <w:r>
        <w:rPr>
          <w:lang w:val="en-US"/>
        </w:rPr>
        <w:t xml:space="preserve">. </w:t>
      </w:r>
      <w:r w:rsidR="00D218AD">
        <w:rPr>
          <w:lang w:val="en-US"/>
        </w:rPr>
        <w:t>A critical barrier exists</w:t>
      </w:r>
      <w:r w:rsidR="00A86A5E">
        <w:rPr>
          <w:lang w:val="en-US"/>
        </w:rPr>
        <w:t xml:space="preserve"> in historical ridership data</w:t>
      </w:r>
      <w:r w:rsidR="008F0B43">
        <w:rPr>
          <w:lang w:val="en-US"/>
        </w:rPr>
        <w:t>: extreme anomalies</w:t>
      </w:r>
      <w:r w:rsidR="00A86A5E">
        <w:rPr>
          <w:lang w:val="en-US"/>
        </w:rPr>
        <w:t xml:space="preserve"> </w:t>
      </w:r>
      <w:r w:rsidR="008F0B43">
        <w:rPr>
          <w:lang w:val="en-US"/>
        </w:rPr>
        <w:t xml:space="preserve">from Malaysia’s </w:t>
      </w:r>
      <w:r w:rsidR="00A86A5E">
        <w:rPr>
          <w:lang w:val="en-US"/>
        </w:rPr>
        <w:t xml:space="preserve">Movement Control Order (MCO) </w:t>
      </w:r>
      <w:r w:rsidR="008F0B43">
        <w:rPr>
          <w:lang w:val="en-US"/>
        </w:rPr>
        <w:t>enforcement</w:t>
      </w:r>
      <w:r w:rsidR="00A86A5E">
        <w:rPr>
          <w:lang w:val="en-US"/>
        </w:rPr>
        <w:t xml:space="preserve"> </w:t>
      </w:r>
      <w:r w:rsidR="008F0B43">
        <w:rPr>
          <w:lang w:val="en-US"/>
        </w:rPr>
        <w:t>(</w:t>
      </w:r>
      <w:r w:rsidR="00A86A5E">
        <w:rPr>
          <w:lang w:val="en-US"/>
        </w:rPr>
        <w:t>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w:t>
      </w:r>
      <w:r w:rsidR="008F0B43">
        <w:rPr>
          <w:lang w:val="en-US"/>
        </w:rPr>
        <w:t>) produced an</w:t>
      </w:r>
      <w:r w:rsidR="00A86A5E">
        <w:rPr>
          <w:lang w:val="en-US"/>
        </w:rPr>
        <w:t xml:space="preserve"> 85-90%</w:t>
      </w:r>
      <w:r w:rsidR="008F0B43">
        <w:rPr>
          <w:lang w:val="en-US"/>
        </w:rPr>
        <w:t xml:space="preserve"> passenger</w:t>
      </w:r>
      <w:r w:rsidR="00A86A5E">
        <w:rPr>
          <w:lang w:val="en-US"/>
        </w:rPr>
        <w:t xml:space="preserve"> drop, </w:t>
      </w:r>
      <w:r w:rsidR="008F0B43">
        <w:rPr>
          <w:lang w:val="en-US"/>
        </w:rPr>
        <w:t>creating</w:t>
      </w:r>
      <w:r w:rsidR="00A86A5E">
        <w:rPr>
          <w:lang w:val="en-US"/>
        </w:rPr>
        <w:t xml:space="preserve"> highly noisy </w:t>
      </w:r>
      <w:r w:rsidR="008F0B43">
        <w:rPr>
          <w:lang w:val="en-US"/>
        </w:rPr>
        <w:t>patterns unrepresentative of normal operations</w:t>
      </w:r>
      <w:r w:rsidR="00A86A5E">
        <w:rPr>
          <w:noProof/>
        </w:rPr>
        <w:t xml:space="preserve"> (Amir et al., 2025)</w:t>
      </w:r>
      <w:r w:rsidR="00A86A5E">
        <w:rPr>
          <w:lang w:val="en-US"/>
        </w:rPr>
        <w:t xml:space="preserve">. According to </w:t>
      </w:r>
      <w:r w:rsidR="00A86A5E">
        <w:rPr>
          <w:noProof/>
        </w:rPr>
        <w:t xml:space="preserve">Zhao &amp; Lan (2025), training AI models on such extreme outlier data </w:t>
      </w:r>
      <w:r w:rsidR="00D41AB5">
        <w:rPr>
          <w:noProof/>
        </w:rPr>
        <w:t>introduces</w:t>
      </w:r>
      <w:r w:rsidR="00A86A5E">
        <w:rPr>
          <w:noProof/>
        </w:rPr>
        <w:t xml:space="preserve"> significant predictive bias, as pandemic</w:t>
      </w:r>
      <w:r w:rsidR="00D41AB5">
        <w:rPr>
          <w:noProof/>
        </w:rPr>
        <w:t xml:space="preserve">-driven behaviour differs fundamentally from </w:t>
      </w:r>
      <w:r w:rsidR="00A86A5E">
        <w:rPr>
          <w:noProof/>
        </w:rPr>
        <w:t xml:space="preserve"> </w:t>
      </w:r>
      <w:r w:rsidR="00D41AB5">
        <w:rPr>
          <w:noProof/>
        </w:rPr>
        <w:t>typical</w:t>
      </w:r>
      <w:r w:rsidR="00A86A5E">
        <w:rPr>
          <w:noProof/>
        </w:rPr>
        <w:t xml:space="preserve"> urban mobility </w:t>
      </w:r>
      <w:r w:rsidR="00953A72">
        <w:rPr>
          <w:noProof/>
        </w:rPr>
        <w:t>patterns</w:t>
      </w:r>
      <w:r w:rsidR="00A86A5E">
        <w:rPr>
          <w:noProof/>
        </w:rPr>
        <w:t>.</w:t>
      </w:r>
      <w:r w:rsidR="003152FE">
        <w:rPr>
          <w:noProof/>
        </w:rPr>
        <w:t xml:space="preserve"> </w:t>
      </w:r>
      <w:r w:rsidR="00932F57">
        <w:rPr>
          <w:noProof/>
        </w:rPr>
        <w:t>Models trained on contaminated datasets</w:t>
      </w:r>
      <w:r w:rsidR="003152FE">
        <w:rPr>
          <w:noProof/>
        </w:rPr>
        <w:t xml:space="preserve"> </w:t>
      </w:r>
      <w:r w:rsidR="00932F57">
        <w:rPr>
          <w:noProof/>
        </w:rPr>
        <w:t xml:space="preserve">often struggle </w:t>
      </w:r>
      <w:r w:rsidR="003152FE">
        <w:rPr>
          <w:noProof/>
        </w:rPr>
        <w:t xml:space="preserve">to </w:t>
      </w:r>
      <w:r w:rsidR="00932F57">
        <w:rPr>
          <w:noProof/>
        </w:rPr>
        <w:t>recognize</w:t>
      </w:r>
      <w:r w:rsidR="003152FE">
        <w:rPr>
          <w:noProof/>
        </w:rPr>
        <w:t xml:space="preserve"> true</w:t>
      </w:r>
      <w:r w:rsidR="00932F57">
        <w:rPr>
          <w:noProof/>
        </w:rPr>
        <w:t xml:space="preserve"> ridership peaks once</w:t>
      </w:r>
      <w:r w:rsidR="003152FE">
        <w:rPr>
          <w:noProof/>
        </w:rPr>
        <w:t xml:space="preserve"> daily li</w:t>
      </w:r>
      <w:r w:rsidR="00932F57">
        <w:rPr>
          <w:noProof/>
        </w:rPr>
        <w:t xml:space="preserve">fe normalizes </w:t>
      </w:r>
      <w:r w:rsidR="003152FE">
        <w:rPr>
          <w:noProof/>
        </w:rPr>
        <w:t xml:space="preserve">(Lv et al., 2021). Therefore, </w:t>
      </w:r>
      <w:r w:rsidR="006E4329">
        <w:rPr>
          <w:noProof/>
        </w:rPr>
        <w:t>th</w:t>
      </w:r>
      <w:r w:rsidR="00932F57">
        <w:rPr>
          <w:noProof/>
        </w:rPr>
        <w:t>is</w:t>
      </w:r>
      <w:r w:rsidR="006E4329">
        <w:rPr>
          <w:noProof/>
        </w:rPr>
        <w:t xml:space="preserve"> researcher</w:t>
      </w:r>
      <w:r w:rsidR="003152FE">
        <w:rPr>
          <w:noProof/>
        </w:rPr>
        <w:t xml:space="preserve"> strategically </w:t>
      </w:r>
      <w:r w:rsidR="006E4329">
        <w:rPr>
          <w:noProof/>
        </w:rPr>
        <w:t>compare two datasets</w:t>
      </w:r>
      <w:r w:rsidR="00932F57">
        <w:rPr>
          <w:noProof/>
        </w:rPr>
        <w:t xml:space="preserve"> –</w:t>
      </w:r>
      <w:r w:rsidR="006E4329">
        <w:rPr>
          <w:noProof/>
        </w:rPr>
        <w:t xml:space="preserve"> on</w:t>
      </w:r>
      <w:r w:rsidR="00932F57">
        <w:rPr>
          <w:noProof/>
        </w:rPr>
        <w:t>e including and one excluding</w:t>
      </w:r>
      <w:r w:rsidR="006E4329">
        <w:rPr>
          <w:noProof/>
        </w:rPr>
        <w:t xml:space="preserve"> </w:t>
      </w:r>
      <w:r w:rsidR="00932F57">
        <w:rPr>
          <w:noProof/>
        </w:rPr>
        <w:t>the</w:t>
      </w:r>
      <w:r w:rsidR="006E4329">
        <w:rPr>
          <w:noProof/>
        </w:rPr>
        <w:t xml:space="preserve"> MCO period</w:t>
      </w:r>
      <w:r w:rsidR="00932F57">
        <w:rPr>
          <w:noProof/>
        </w:rPr>
        <w:t xml:space="preserve"> –</w:t>
      </w:r>
      <w:r w:rsidR="006E4329">
        <w:rPr>
          <w:noProof/>
        </w:rPr>
        <w:t xml:space="preserve"> </w:t>
      </w:r>
      <w:r w:rsidR="003152FE">
        <w:rPr>
          <w:noProof/>
        </w:rPr>
        <w:t>to</w:t>
      </w:r>
      <w:r w:rsidR="006E4329">
        <w:rPr>
          <w:noProof/>
        </w:rPr>
        <w:t xml:space="preserve"> </w:t>
      </w:r>
      <w:r w:rsidR="00932F57">
        <w:rPr>
          <w:noProof/>
        </w:rPr>
        <w:t>determine</w:t>
      </w:r>
      <w:r w:rsidR="006E4329">
        <w:rPr>
          <w:noProof/>
        </w:rPr>
        <w:t xml:space="preserve"> whether this </w:t>
      </w:r>
      <w:r w:rsidR="00932F57">
        <w:rPr>
          <w:noProof/>
        </w:rPr>
        <w:t>anomaly</w:t>
      </w:r>
      <w:r w:rsidR="006E4329">
        <w:rPr>
          <w:noProof/>
        </w:rPr>
        <w:t xml:space="preserve"> </w:t>
      </w:r>
      <w:r w:rsidR="00932F57">
        <w:rPr>
          <w:noProof/>
        </w:rPr>
        <w:t>should be treated</w:t>
      </w:r>
      <w:r w:rsidR="006E4329">
        <w:rPr>
          <w:noProof/>
        </w:rPr>
        <w:t xml:space="preserve"> as noise</w:t>
      </w:r>
      <w:r w:rsidR="003152FE">
        <w:rPr>
          <w:noProof/>
        </w:rPr>
        <w:t xml:space="preserve"> </w:t>
      </w:r>
      <w:r w:rsidR="00932F57">
        <w:rPr>
          <w:noProof/>
        </w:rPr>
        <w:t>before model traini</w:t>
      </w:r>
      <w:r w:rsidR="006E0F47">
        <w:rPr>
          <w:noProof/>
        </w:rPr>
        <w:t>ng.</w:t>
      </w:r>
    </w:p>
    <w:p w14:paraId="54F36F04" w14:textId="44CADF37" w:rsidR="00EA4AD8" w:rsidRPr="00C7720B" w:rsidRDefault="003E5B18">
      <w:pPr>
        <w:pStyle w:val="Heading2"/>
        <w:numPr>
          <w:ilvl w:val="1"/>
          <w:numId w:val="3"/>
        </w:numPr>
        <w:rPr>
          <w:b/>
          <w:bCs/>
          <w:sz w:val="24"/>
          <w:szCs w:val="24"/>
          <w:u w:val="single"/>
        </w:rPr>
      </w:pPr>
      <w:bookmarkStart w:id="3" w:name="_Toc230901602"/>
      <w:r w:rsidRPr="00C7720B">
        <w:rPr>
          <w:b/>
          <w:bCs/>
          <w:sz w:val="24"/>
          <w:szCs w:val="24"/>
          <w:u w:val="single"/>
        </w:rPr>
        <w:t>Research Questions</w:t>
      </w:r>
      <w:bookmarkEnd w:id="3"/>
    </w:p>
    <w:p w14:paraId="1969512C" w14:textId="08B52743" w:rsidR="003E5B18" w:rsidRDefault="008525D2" w:rsidP="008525D2">
      <w:pPr>
        <w:pStyle w:val="ListParagraph"/>
        <w:numPr>
          <w:ilvl w:val="0"/>
          <w:numId w:val="1"/>
        </w:numPr>
      </w:pPr>
      <w:r>
        <w:t xml:space="preserve">What are the primary </w:t>
      </w:r>
      <w:r w:rsidR="00597392">
        <w:t>spatiotemporal</w:t>
      </w:r>
      <w:r>
        <w:t xml:space="preserve">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24472A41"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w:t>
      </w:r>
      <w:r w:rsidR="003D44AE">
        <w:t>spatiotemporal-based</w:t>
      </w:r>
      <w:r w:rsidR="00D21968">
        <w:t>,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pPr>
        <w:pStyle w:val="Heading2"/>
        <w:numPr>
          <w:ilvl w:val="1"/>
          <w:numId w:val="3"/>
        </w:numPr>
        <w:rPr>
          <w:b/>
          <w:bCs/>
          <w:sz w:val="24"/>
          <w:szCs w:val="24"/>
          <w:u w:val="single"/>
        </w:rPr>
      </w:pPr>
      <w:bookmarkStart w:id="4" w:name="_Toc230901603"/>
      <w:r w:rsidRPr="00C7720B">
        <w:rPr>
          <w:b/>
          <w:bCs/>
          <w:sz w:val="24"/>
          <w:szCs w:val="24"/>
          <w:u w:val="single"/>
        </w:rPr>
        <w:lastRenderedPageBreak/>
        <w:t>Research Objectives</w:t>
      </w:r>
      <w:bookmarkEnd w:id="4"/>
    </w:p>
    <w:p w14:paraId="6AA79002" w14:textId="1280262C" w:rsidR="00EC2B42" w:rsidRDefault="00EC2B42" w:rsidP="00EC2B42">
      <w:pPr>
        <w:pStyle w:val="ListParagraph"/>
        <w:numPr>
          <w:ilvl w:val="0"/>
          <w:numId w:val="2"/>
        </w:numPr>
      </w:pPr>
      <w:r>
        <w:t xml:space="preserve">To identify and categorize the primary </w:t>
      </w:r>
      <w:r w:rsidR="00597392">
        <w:t>spatiotemporal</w:t>
      </w:r>
      <w:r>
        <w:t xml:space="preserve"> factors </w:t>
      </w:r>
      <w:r w:rsidR="000D229E">
        <w:t>affecting</w:t>
      </w:r>
      <w:r>
        <w:t xml:space="preserve"> </w:t>
      </w:r>
      <w:r w:rsidR="000D229E">
        <w:t>Malaysian public transit ridership</w:t>
      </w:r>
      <w:r>
        <w:t xml:space="preserve"> through a systematic analysis of historical performance data.</w:t>
      </w:r>
    </w:p>
    <w:p w14:paraId="55133DB4" w14:textId="136F863C"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 xml:space="preserve">Hybrid Multi-scale Temporal </w:t>
      </w:r>
      <w:r w:rsidR="003D44AE">
        <w:t xml:space="preserve">Spatio </w:t>
      </w:r>
      <w:r w:rsidR="000D229E" w:rsidRPr="000D229E">
        <w:t>Feature (HMT-TSF) Forecaster</w:t>
      </w:r>
      <w:r w:rsidR="002B0B7B">
        <w:t xml:space="preserve"> </w:t>
      </w:r>
      <w:r>
        <w:t xml:space="preserve">that integrates </w:t>
      </w:r>
      <w:r w:rsidR="002B0B7B">
        <w:t xml:space="preserve">Malaysia’s </w:t>
      </w:r>
      <w:r w:rsidR="00597392">
        <w:t>spatiotemporal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B4D3D">
        <w:rPr>
          <w:rStyle w:val="FootnoteReference"/>
        </w:rPr>
        <w:footnoteReference w:id="1"/>
      </w:r>
      <w:r w:rsidR="007947CC">
        <w:t xml:space="preserve"> of 0.7</w:t>
      </w:r>
      <w:r w:rsidR="003E42CE">
        <w:t>.</w:t>
      </w:r>
    </w:p>
    <w:p w14:paraId="0E1A5512" w14:textId="7050F67B"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rsidR="003D44AE">
        <w:t>spatio</w:t>
      </w:r>
      <w:r>
        <w:t>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w:t>
      </w:r>
      <w:r w:rsidR="0040009C">
        <w:rPr>
          <w:rStyle w:val="FootnoteReference"/>
        </w:rPr>
        <w:footnoteReference w:id="2"/>
      </w:r>
      <w:r w:rsidR="005868D0">
        <w:t>, RMSE</w:t>
      </w:r>
      <w:r w:rsidR="0040009C">
        <w:rPr>
          <w:rStyle w:val="FootnoteReference"/>
        </w:rPr>
        <w:footnoteReference w:id="3"/>
      </w:r>
      <w:r w:rsidR="005868D0">
        <w:t>, MAPE</w:t>
      </w:r>
      <w:r w:rsidR="0040009C">
        <w:rPr>
          <w:rStyle w:val="FootnoteReference"/>
        </w:rPr>
        <w:footnoteReference w:id="4"/>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pPr>
        <w:pStyle w:val="Heading2"/>
        <w:numPr>
          <w:ilvl w:val="1"/>
          <w:numId w:val="3"/>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03D01888" w:rsidR="00B1711A" w:rsidRPr="00B1711A" w:rsidRDefault="003D44AE" w:rsidP="007E78C3">
            <w:pPr>
              <w:jc w:val="left"/>
              <w:rPr>
                <w:b/>
                <w:bCs/>
              </w:rPr>
            </w:pPr>
            <w:r>
              <w:rPr>
                <w:b/>
                <w:bCs/>
              </w:rPr>
              <w:t>Spatio</w:t>
            </w:r>
            <w:r w:rsidR="00E22606">
              <w:rPr>
                <w:b/>
                <w:bCs/>
              </w:rPr>
              <w:t>-</w:t>
            </w:r>
            <w:r w:rsidR="00B1711A" w:rsidRPr="00B1711A">
              <w:rPr>
                <w:b/>
                <w:bCs/>
              </w:rPr>
              <w:t>temporal</w:t>
            </w:r>
          </w:p>
        </w:tc>
        <w:tc>
          <w:tcPr>
            <w:tcW w:w="6044" w:type="dxa"/>
          </w:tcPr>
          <w:p w14:paraId="0FA3A405" w14:textId="77777777" w:rsidR="00E22606" w:rsidRDefault="00B1711A" w:rsidP="00E22606">
            <w:pPr>
              <w:pStyle w:val="ListParagraph"/>
              <w:numPr>
                <w:ilvl w:val="0"/>
                <w:numId w:val="28"/>
              </w:numPr>
              <w:ind w:left="539"/>
              <w:jc w:val="left"/>
            </w:pPr>
            <w:r>
              <w:t>Bidirectional LSTM (</w:t>
            </w:r>
            <w:r w:rsidRPr="00E22606">
              <w:rPr>
                <w:b/>
                <w:bCs/>
              </w:rPr>
              <w:t>BiLSTM</w:t>
            </w:r>
            <w:r>
              <w:t>)</w:t>
            </w:r>
          </w:p>
          <w:p w14:paraId="40062BE6" w14:textId="77777777" w:rsidR="00E22606" w:rsidRDefault="003D44AE" w:rsidP="00E22606">
            <w:pPr>
              <w:pStyle w:val="ListParagraph"/>
              <w:numPr>
                <w:ilvl w:val="0"/>
                <w:numId w:val="28"/>
              </w:numPr>
              <w:ind w:left="539"/>
              <w:jc w:val="left"/>
            </w:pPr>
            <w:r>
              <w:t>Spatiotemporal</w:t>
            </w:r>
            <w:r w:rsidR="00B1711A">
              <w:t xml:space="preserve"> LSTM (</w:t>
            </w:r>
            <w:r w:rsidR="00B1711A" w:rsidRPr="00E22606">
              <w:rPr>
                <w:b/>
                <w:bCs/>
              </w:rPr>
              <w:t>ST-LSTM</w:t>
            </w:r>
            <w:r w:rsidR="00B1711A">
              <w:t>)</w:t>
            </w:r>
          </w:p>
          <w:p w14:paraId="56F2A54D" w14:textId="77777777" w:rsidR="00E22606" w:rsidRDefault="00B1711A" w:rsidP="00E22606">
            <w:pPr>
              <w:pStyle w:val="ListParagraph"/>
              <w:numPr>
                <w:ilvl w:val="0"/>
                <w:numId w:val="28"/>
              </w:numPr>
              <w:ind w:left="539"/>
              <w:jc w:val="left"/>
            </w:pPr>
            <w:r w:rsidRPr="00B1711A">
              <w:t>Convolutional Neural Networ</w:t>
            </w:r>
            <w:r>
              <w:t>k LSTM (</w:t>
            </w:r>
            <w:r w:rsidRPr="00E22606">
              <w:rPr>
                <w:b/>
                <w:bCs/>
              </w:rPr>
              <w:t>CNN-LSTM</w:t>
            </w:r>
            <w:r>
              <w:t>) - Sequential/Parallel/Augmented</w:t>
            </w:r>
          </w:p>
          <w:p w14:paraId="1601B328" w14:textId="77777777" w:rsidR="00E22606" w:rsidRPr="00E22606" w:rsidRDefault="00B1711A" w:rsidP="00E22606">
            <w:pPr>
              <w:pStyle w:val="ListParagraph"/>
              <w:numPr>
                <w:ilvl w:val="0"/>
                <w:numId w:val="28"/>
              </w:numPr>
              <w:ind w:left="539"/>
              <w:jc w:val="left"/>
            </w:pPr>
            <w:r w:rsidRPr="00E22606">
              <w:rPr>
                <w:b/>
                <w:bCs/>
              </w:rPr>
              <w:t>CNN-BiLSTM</w:t>
            </w:r>
          </w:p>
          <w:p w14:paraId="45F9A992" w14:textId="50A99D3B" w:rsidR="00B1711A" w:rsidRDefault="00FE6449" w:rsidP="00E22606">
            <w:pPr>
              <w:pStyle w:val="ListParagraph"/>
              <w:numPr>
                <w:ilvl w:val="0"/>
                <w:numId w:val="28"/>
              </w:numPr>
              <w:ind w:left="539"/>
              <w:jc w:val="left"/>
            </w:pPr>
            <w:r w:rsidRPr="00AF6AD0">
              <w:t>Temporal Pattern Attention</w:t>
            </w:r>
            <w:r>
              <w:t xml:space="preserve"> (</w:t>
            </w:r>
            <w:r w:rsidRPr="00E22606">
              <w:rPr>
                <w:b/>
                <w:bCs/>
              </w:rPr>
              <w:t>TPA</w:t>
            </w:r>
            <w:r>
              <w:t>)</w:t>
            </w:r>
            <w:r w:rsidRPr="00E22606">
              <w:rPr>
                <w:b/>
                <w:bCs/>
              </w:rPr>
              <w:t>-LSTM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2825064F" w14:textId="77777777" w:rsidR="00E22606" w:rsidRDefault="003D44AE" w:rsidP="00E22606">
            <w:pPr>
              <w:pStyle w:val="ListParagraph"/>
              <w:numPr>
                <w:ilvl w:val="0"/>
                <w:numId w:val="29"/>
              </w:numPr>
              <w:ind w:left="539"/>
              <w:jc w:val="left"/>
            </w:pPr>
            <w:r>
              <w:t>Spatiotemporal</w:t>
            </w:r>
            <w:r w:rsidR="00B1711A" w:rsidRPr="00B1711A">
              <w:t xml:space="preserve"> Graph Convolutional Network</w:t>
            </w:r>
            <w:r w:rsidR="00B1711A">
              <w:t xml:space="preserve"> (</w:t>
            </w:r>
            <w:r w:rsidR="00B1711A" w:rsidRPr="00E22606">
              <w:rPr>
                <w:b/>
                <w:bCs/>
              </w:rPr>
              <w:t>STGCN</w:t>
            </w:r>
            <w:r w:rsidR="00B1711A">
              <w:t>)</w:t>
            </w:r>
          </w:p>
          <w:p w14:paraId="5DE0030A" w14:textId="77777777" w:rsidR="00E22606" w:rsidRDefault="00B1711A" w:rsidP="00E22606">
            <w:pPr>
              <w:pStyle w:val="ListParagraph"/>
              <w:numPr>
                <w:ilvl w:val="0"/>
                <w:numId w:val="29"/>
              </w:numPr>
              <w:ind w:left="539"/>
              <w:jc w:val="left"/>
            </w:pPr>
            <w:r w:rsidRPr="00B1711A">
              <w:t>Spatial-Temporal Synchronous Graph Convolutional Network</w:t>
            </w:r>
            <w:r>
              <w:t xml:space="preserve"> (</w:t>
            </w:r>
            <w:r w:rsidRPr="00E22606">
              <w:rPr>
                <w:b/>
                <w:bCs/>
              </w:rPr>
              <w:t>STSGCN</w:t>
            </w:r>
            <w:r>
              <w:t>)</w:t>
            </w:r>
          </w:p>
          <w:p w14:paraId="6C0980E0" w14:textId="77777777" w:rsidR="00E22606" w:rsidRDefault="00B1711A" w:rsidP="00E22606">
            <w:pPr>
              <w:pStyle w:val="ListParagraph"/>
              <w:numPr>
                <w:ilvl w:val="0"/>
                <w:numId w:val="29"/>
              </w:numPr>
              <w:ind w:left="539"/>
              <w:jc w:val="left"/>
            </w:pPr>
            <w:r w:rsidRPr="00B1711A">
              <w:t>Spatial-Temporal Fusion Graph Neural Network</w:t>
            </w:r>
            <w:r>
              <w:t xml:space="preserve"> (</w:t>
            </w:r>
            <w:r w:rsidRPr="00E22606">
              <w:rPr>
                <w:b/>
                <w:bCs/>
              </w:rPr>
              <w:t>STFGNN</w:t>
            </w:r>
            <w:r>
              <w:t>)</w:t>
            </w:r>
          </w:p>
          <w:p w14:paraId="11CEB59B" w14:textId="77777777" w:rsidR="00E22606" w:rsidRDefault="00B1711A" w:rsidP="00E22606">
            <w:pPr>
              <w:pStyle w:val="ListParagraph"/>
              <w:numPr>
                <w:ilvl w:val="0"/>
                <w:numId w:val="29"/>
              </w:numPr>
              <w:ind w:left="539"/>
              <w:jc w:val="left"/>
            </w:pPr>
            <w:r w:rsidRPr="00B1711A">
              <w:t>Multi-Scale Temporal Graph Neural Network</w:t>
            </w:r>
            <w:r>
              <w:t xml:space="preserve"> (</w:t>
            </w:r>
            <w:r w:rsidRPr="00E22606">
              <w:rPr>
                <w:b/>
                <w:bCs/>
              </w:rPr>
              <w:t>MTGNN</w:t>
            </w:r>
            <w:r>
              <w:t>)</w:t>
            </w:r>
          </w:p>
          <w:p w14:paraId="170FEBED" w14:textId="77777777" w:rsidR="00E22606" w:rsidRPr="00E22606" w:rsidRDefault="00B1711A" w:rsidP="00E22606">
            <w:pPr>
              <w:pStyle w:val="ListParagraph"/>
              <w:numPr>
                <w:ilvl w:val="0"/>
                <w:numId w:val="29"/>
              </w:numPr>
              <w:ind w:left="539"/>
              <w:jc w:val="left"/>
              <w:rPr>
                <w:b/>
                <w:bCs/>
              </w:rPr>
            </w:pPr>
            <w:r w:rsidRPr="00B1711A">
              <w:lastRenderedPageBreak/>
              <w:t>Periodicity-Aware Dynamic Relational</w:t>
            </w:r>
            <w:r>
              <w:t xml:space="preserve"> (</w:t>
            </w:r>
            <w:r w:rsidRPr="00E22606">
              <w:rPr>
                <w:b/>
                <w:bCs/>
              </w:rPr>
              <w:t>PDR</w:t>
            </w:r>
            <w:r>
              <w:t>)</w:t>
            </w:r>
            <w:r w:rsidRPr="00B1711A">
              <w:t>-</w:t>
            </w:r>
            <w:r w:rsidRPr="00E22606">
              <w:rPr>
                <w:b/>
                <w:bCs/>
              </w:rPr>
              <w:t>STGCN</w:t>
            </w:r>
          </w:p>
          <w:p w14:paraId="71C13A95" w14:textId="1C878BEE" w:rsidR="00B1711A" w:rsidRDefault="00FE6449" w:rsidP="00E22606">
            <w:pPr>
              <w:pStyle w:val="ListParagraph"/>
              <w:numPr>
                <w:ilvl w:val="0"/>
                <w:numId w:val="29"/>
              </w:numPr>
              <w:ind w:left="539"/>
              <w:jc w:val="left"/>
            </w:pPr>
            <w:r>
              <w:t>Attention-based STGCN (</w:t>
            </w:r>
            <w:r w:rsidRPr="00E22606">
              <w:rPr>
                <w:b/>
                <w:bCs/>
              </w:rPr>
              <w:t>ASTGCN</w:t>
            </w:r>
            <w:r>
              <w:t>)</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35940014" w14:textId="77777777" w:rsidR="00E22606" w:rsidRPr="00E22606" w:rsidRDefault="00B1711A" w:rsidP="00E22606">
            <w:pPr>
              <w:pStyle w:val="ListParagraph"/>
              <w:numPr>
                <w:ilvl w:val="0"/>
                <w:numId w:val="30"/>
              </w:numPr>
              <w:ind w:left="539"/>
              <w:jc w:val="left"/>
              <w:rPr>
                <w:b/>
                <w:bCs/>
              </w:rPr>
            </w:pPr>
            <w:proofErr w:type="spellStart"/>
            <w:r w:rsidRPr="00E22606">
              <w:rPr>
                <w:b/>
                <w:bCs/>
              </w:rPr>
              <w:t>Autoformer</w:t>
            </w:r>
            <w:proofErr w:type="spellEnd"/>
          </w:p>
          <w:p w14:paraId="5CB0BF31" w14:textId="15674378" w:rsidR="00B1711A" w:rsidRDefault="00B1711A" w:rsidP="00E22606">
            <w:pPr>
              <w:pStyle w:val="ListParagraph"/>
              <w:numPr>
                <w:ilvl w:val="0"/>
                <w:numId w:val="30"/>
              </w:numPr>
              <w:ind w:left="539"/>
              <w:jc w:val="left"/>
            </w:pPr>
            <w:r w:rsidRPr="00E22606">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1DE4190C" w:rsidR="00B1711A" w:rsidRDefault="00B1711A" w:rsidP="007E78C3">
            <w:pPr>
              <w:jc w:val="left"/>
            </w:pPr>
            <w:r w:rsidRPr="00B1711A">
              <w:t xml:space="preserve">Hybrid Multi-scale Temporal </w:t>
            </w:r>
            <w:r w:rsidR="003D44AE">
              <w:t xml:space="preserve">Spatio </w:t>
            </w:r>
            <w:r w:rsidRPr="00B1711A">
              <w:t>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21AA6723"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50272D">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11BAA979" w14:textId="3D598EF8" w:rsidR="00004E31" w:rsidRPr="00C7720B" w:rsidRDefault="00004E31">
      <w:pPr>
        <w:pStyle w:val="Heading2"/>
        <w:numPr>
          <w:ilvl w:val="1"/>
          <w:numId w:val="3"/>
        </w:numPr>
        <w:rPr>
          <w:b/>
          <w:bCs/>
          <w:sz w:val="24"/>
          <w:szCs w:val="24"/>
          <w:u w:val="single"/>
        </w:rPr>
      </w:pPr>
      <w:r>
        <w:rPr>
          <w:b/>
          <w:bCs/>
          <w:sz w:val="24"/>
          <w:szCs w:val="24"/>
          <w:u w:val="single"/>
        </w:rPr>
        <w:t>Expected Outcome</w:t>
      </w:r>
      <w:r w:rsidR="00DD5792">
        <w:rPr>
          <w:b/>
          <w:bCs/>
          <w:sz w:val="24"/>
          <w:szCs w:val="24"/>
          <w:u w:val="single"/>
        </w:rPr>
        <w:t>s</w:t>
      </w:r>
    </w:p>
    <w:p w14:paraId="7BCE4B4A" w14:textId="747430A0" w:rsidR="00A66264" w:rsidRDefault="00EC4675">
      <w:pPr>
        <w:pStyle w:val="ListParagraph"/>
        <w:numPr>
          <w:ilvl w:val="0"/>
          <w:numId w:val="8"/>
        </w:numPr>
      </w:pPr>
      <w:r>
        <w:t>Provide a detailed comparative analysis evaluating multiple deep learning models across distinct lookback windows, explicitly segmented by MCO periods.</w:t>
      </w:r>
    </w:p>
    <w:p w14:paraId="7AA17205" w14:textId="46A742FF" w:rsidR="00EC4675" w:rsidRDefault="00EC4675">
      <w:pPr>
        <w:pStyle w:val="ListParagraph"/>
        <w:numPr>
          <w:ilvl w:val="0"/>
          <w:numId w:val="8"/>
        </w:numPr>
      </w:pPr>
      <w:r>
        <w:t xml:space="preserve">Introduce a </w:t>
      </w:r>
      <w:r w:rsidR="001601DA">
        <w:t>predictive</w:t>
      </w:r>
      <w:r>
        <w:t xml:space="preserve"> model that outperforms baseline</w:t>
      </w:r>
      <w:r w:rsidR="001601DA">
        <w:t xml:space="preserve"> SOTAs</w:t>
      </w:r>
      <w:r>
        <w:t xml:space="preserve"> across all lookback windows and MCO </w:t>
      </w:r>
      <w:r w:rsidR="001601DA">
        <w:t>inclusion</w:t>
      </w:r>
      <w:r w:rsidR="004B2515">
        <w:t>/exclusion</w:t>
      </w:r>
      <w:r>
        <w:t>, accompanied by a reduced</w:t>
      </w:r>
      <w:r w:rsidR="00775A4D">
        <w:t>-</w:t>
      </w:r>
      <w:r>
        <w:t xml:space="preserve">feature variant </w:t>
      </w:r>
      <w:r w:rsidR="00775A4D">
        <w:t>based on</w:t>
      </w:r>
      <w:r>
        <w:t xml:space="preserve"> SHAP-based feature importance ranking, to </w:t>
      </w:r>
      <w:r w:rsidR="003C4B86">
        <w:t>evaluate</w:t>
      </w:r>
      <w:r>
        <w:t xml:space="preserve"> </w:t>
      </w:r>
      <w:r w:rsidR="00DD5792">
        <w:t>the removal of near-zero important</w:t>
      </w:r>
      <w:r>
        <w:t xml:space="preserve"> </w:t>
      </w:r>
      <w:r w:rsidR="003C4B86">
        <w:t>spatiotemporal</w:t>
      </w:r>
      <w:r>
        <w:t xml:space="preserve"> feature</w:t>
      </w:r>
      <w:r w:rsidR="00DD5792">
        <w:t>s</w:t>
      </w:r>
      <w:r>
        <w:t xml:space="preserve"> toward ridership</w:t>
      </w:r>
      <w:r w:rsidR="00DD5792">
        <w:t xml:space="preserve"> prediction</w:t>
      </w:r>
      <w:r>
        <w:t>.</w:t>
      </w:r>
    </w:p>
    <w:p w14:paraId="7FFE377B" w14:textId="08F10C74" w:rsidR="00DD5792" w:rsidRDefault="00DD5792">
      <w:pPr>
        <w:pStyle w:val="ListParagraph"/>
        <w:numPr>
          <w:ilvl w:val="0"/>
          <w:numId w:val="8"/>
        </w:numPr>
      </w:pPr>
      <w:r>
        <w:t xml:space="preserve">Develop a command-line interface (CLI) inference </w:t>
      </w:r>
      <w:r w:rsidR="00ED571D">
        <w:t>to</w:t>
      </w:r>
      <w:r>
        <w:t xml:space="preserve"> predict 7-day ridership </w:t>
      </w:r>
      <w:r w:rsidR="00272BD7">
        <w:t>for</w:t>
      </w:r>
      <w:r>
        <w:t xml:space="preserve"> 12 distinct transit networks </w:t>
      </w:r>
      <w:r w:rsidR="00272BD7">
        <w:t>based on</w:t>
      </w:r>
      <w:r>
        <w:t xml:space="preserve"> historical distribution percentages </w:t>
      </w:r>
      <w:r w:rsidR="002946CB">
        <w:t>with</w:t>
      </w:r>
      <w:r>
        <w:t xml:space="preserve"> the proposed model.</w:t>
      </w:r>
    </w:p>
    <w:p w14:paraId="7AB27CD8" w14:textId="2257E77A" w:rsidR="00A66264" w:rsidRPr="001D34FB" w:rsidRDefault="00030C66">
      <w:pPr>
        <w:pStyle w:val="Heading1"/>
        <w:numPr>
          <w:ilvl w:val="0"/>
          <w:numId w:val="3"/>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pPr>
        <w:pStyle w:val="Heading2"/>
        <w:numPr>
          <w:ilvl w:val="1"/>
          <w:numId w:val="3"/>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w:t>
      </w:r>
      <w:r w:rsidR="006A1A78">
        <w:lastRenderedPageBreak/>
        <w:t xml:space="preserve">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pPr>
        <w:pStyle w:val="Heading3"/>
        <w:numPr>
          <w:ilvl w:val="2"/>
          <w:numId w:val="3"/>
        </w:numPr>
        <w:rPr>
          <w:b/>
          <w:bCs/>
          <w:sz w:val="24"/>
          <w:szCs w:val="24"/>
          <w:u w:val="single"/>
        </w:rPr>
      </w:pPr>
      <w:bookmarkStart w:id="9" w:name="_Toc230901607"/>
      <w:r w:rsidRPr="00C7720B">
        <w:rPr>
          <w:b/>
          <w:bCs/>
          <w:sz w:val="24"/>
          <w:szCs w:val="24"/>
          <w:u w:val="single"/>
        </w:rPr>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w:t>
      </w:r>
      <w:r w:rsidR="000E4AB0">
        <w:rPr>
          <w:noProof/>
        </w:rPr>
        <w:lastRenderedPageBreak/>
        <w:t>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063FF949"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50272D">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pPr>
        <w:pStyle w:val="Heading3"/>
        <w:numPr>
          <w:ilvl w:val="2"/>
          <w:numId w:val="3"/>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w:t>
      </w:r>
      <w:r w:rsidR="00942547">
        <w:rPr>
          <w:noProof/>
          <w:lang w:val="en-US"/>
        </w:rPr>
        <w:lastRenderedPageBreak/>
        <w:t>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drawing>
          <wp:inline distT="0" distB="0" distL="0" distR="0" wp14:anchorId="125BB2D3" wp14:editId="3E679F73">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505B6E64"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009C2312">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pPr>
        <w:pStyle w:val="Heading3"/>
        <w:numPr>
          <w:ilvl w:val="2"/>
          <w:numId w:val="3"/>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 xml:space="preserve">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w:t>
      </w:r>
      <w:r w:rsidR="00E90248">
        <w:rPr>
          <w:noProof/>
          <w:lang w:val="en-US"/>
        </w:rPr>
        <w:lastRenderedPageBreak/>
        <w:t>insufficient to drive demand whereas service reliability and quality must be localized and consistent.</w:t>
      </w:r>
    </w:p>
    <w:p w14:paraId="02274D84" w14:textId="3EC59BA3" w:rsidR="009F2EC3" w:rsidRPr="00AE367F" w:rsidRDefault="009F2EC3" w:rsidP="00AE367F">
      <w:pPr>
        <w:ind w:firstLine="720"/>
        <w:rPr>
          <w:lang w:val="en-US"/>
        </w:rPr>
      </w:pPr>
      <w:r>
        <w:rPr>
          <w:noProof/>
          <w:lang w:val="en-US"/>
        </w:rPr>
        <w:t>Recent advancements in data-driven transit management offer a potential pathway to improving this landscape. Hassan et al. (2025) stated the success of the myBas intiative in Johor Bahru and Penang by utilizing GTFS data to optimize netwrok efficiency. It has recorded over 14.5 million passenger trips in 2024. Despite these localized successes, the broader Malaysian context still struggles with the “first-mile last-mile”</w:t>
      </w:r>
      <w:r w:rsidR="00BA296D">
        <w:rPr>
          <w:rStyle w:val="FootnoteReference"/>
          <w:noProof/>
          <w:lang w:val="en-US"/>
        </w:rPr>
        <w:footnoteReference w:id="5"/>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 xml:space="preserve">the focus is shifting from purely physical expansion to the integration of DL and big data analytics. Both approaches are to mitigate unreliability as evidenced by the growing body of research into </w:t>
      </w:r>
      <w:r w:rsidR="003D44AE">
        <w:rPr>
          <w:noProof/>
          <w:lang w:val="en-US"/>
        </w:rPr>
        <w:t>spatiotemporal</w:t>
      </w:r>
      <w:r w:rsidR="00B91F84">
        <w:rPr>
          <w:noProof/>
          <w:lang w:val="en-US"/>
        </w:rPr>
        <w:t>temporal ridership forecasting (Chen et al., 2022; Amir et al., 2025).</w:t>
      </w:r>
    </w:p>
    <w:p w14:paraId="715DE5CF" w14:textId="50EDB017" w:rsidR="00946EC9" w:rsidRDefault="007C57BA">
      <w:pPr>
        <w:pStyle w:val="Heading2"/>
        <w:numPr>
          <w:ilvl w:val="1"/>
          <w:numId w:val="3"/>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Lu et al. (2020). The effective management and optimization of these systems are intrinsically linked to the availability and analysis of vast amounts of data. It then collectively forms a complex transit data ecosystem (Ge et al., 2021). 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pPr>
        <w:pStyle w:val="Heading3"/>
        <w:numPr>
          <w:ilvl w:val="2"/>
          <w:numId w:val="3"/>
        </w:numPr>
        <w:rPr>
          <w:b/>
          <w:bCs/>
          <w:sz w:val="24"/>
          <w:szCs w:val="24"/>
          <w:u w:val="single"/>
        </w:rPr>
      </w:pPr>
      <w:bookmarkStart w:id="15" w:name="_Toc230901611"/>
      <w:r>
        <w:rPr>
          <w:b/>
          <w:bCs/>
          <w:sz w:val="24"/>
          <w:szCs w:val="24"/>
          <w:u w:val="single"/>
        </w:rPr>
        <w:lastRenderedPageBreak/>
        <w:t>Sources of Transit Data</w:t>
      </w:r>
      <w:bookmarkEnd w:id="15"/>
    </w:p>
    <w:p w14:paraId="7F6F2C7F" w14:textId="130C2E0B" w:rsidR="0090707B" w:rsidRDefault="00133A4F" w:rsidP="004B1677">
      <w:pPr>
        <w:ind w:firstLine="720"/>
      </w:pPr>
      <w:r>
        <w:t>Ge et al. (2021)</w:t>
      </w:r>
      <w:r w:rsidR="00D954F6">
        <w:t xml:space="preserve"> mentioned that</w:t>
      </w:r>
      <w:r>
        <w:t xml:space="preserve">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4CA425D3" w:rsidR="00214016" w:rsidRDefault="00E93827" w:rsidP="00C50AD4">
      <w:pPr>
        <w:ind w:firstLine="720"/>
      </w:pPr>
      <w:r>
        <w:t xml:space="preserve">Endogenous data are typically generated and directly accessible by transit agencies through their operational systems. </w:t>
      </w:r>
      <w:r w:rsidR="00C50AD4">
        <w:t xml:space="preserve">According to </w:t>
      </w:r>
      <w:r w:rsidR="00C50AD4" w:rsidRPr="00C50AD4">
        <w:rPr>
          <w:noProof/>
          <w:lang w:val="en-US"/>
        </w:rPr>
        <w:t xml:space="preserve">Ge et al. (2021) and Liu et al. (2025), </w:t>
      </w:r>
      <w:r w:rsidR="00C50AD4">
        <w:t>k</w:t>
      </w:r>
      <w:r>
        <w:t>ey endogenous sources include:</w:t>
      </w:r>
    </w:p>
    <w:p w14:paraId="53DF343A" w14:textId="0238324D" w:rsidR="00E93827" w:rsidRPr="00C67AA5" w:rsidRDefault="00C67AA5">
      <w:pPr>
        <w:pStyle w:val="ListParagraph"/>
        <w:numPr>
          <w:ilvl w:val="0"/>
          <w:numId w:val="4"/>
        </w:numPr>
      </w:pPr>
      <w:r w:rsidRPr="00C67AA5">
        <w:rPr>
          <w:b/>
          <w:bCs/>
        </w:rPr>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sidR="00C50AD4">
        <w:rPr>
          <w:noProof/>
          <w:lang w:val="en-US"/>
        </w:rPr>
        <w:t>.</w:t>
      </w:r>
    </w:p>
    <w:p w14:paraId="78E84AF1" w14:textId="12A8297A" w:rsidR="00C67AA5" w:rsidRDefault="00C67AA5">
      <w:pPr>
        <w:pStyle w:val="ListParagraph"/>
        <w:numPr>
          <w:ilvl w:val="0"/>
          <w:numId w:val="4"/>
        </w:numPr>
      </w:pPr>
      <w:r>
        <w:rPr>
          <w:b/>
          <w:bCs/>
        </w:rPr>
        <w:t>Automated Vehicle Location (AVL) Systems</w:t>
      </w:r>
      <w:r>
        <w:t xml:space="preserve">: AVL systems provide real-time location, speed, and schedule adherence data for individual vehicles. </w:t>
      </w:r>
      <w:r w:rsidR="0090707B">
        <w:t>It mainly utilizes GPS</w:t>
      </w:r>
      <w:r w:rsidR="00F17DEF">
        <w:t xml:space="preserve">, </w:t>
      </w:r>
      <w:r w:rsidR="0090707B">
        <w:t xml:space="preserve">signpost and odometer interpolation. </w:t>
      </w:r>
      <w:r>
        <w:t>This data is crucial for monitoring service performance, predicting arrival times, and managing fleet operations</w:t>
      </w:r>
      <w:r w:rsidR="00C50AD4">
        <w:t>.</w:t>
      </w:r>
    </w:p>
    <w:p w14:paraId="01D1A6AB" w14:textId="75F68B85" w:rsidR="000A5595" w:rsidRDefault="000A5595">
      <w:pPr>
        <w:pStyle w:val="ListParagraph"/>
        <w:numPr>
          <w:ilvl w:val="0"/>
          <w:numId w:val="4"/>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w:t>
      </w:r>
      <w:r w:rsidR="00C50AD4">
        <w:t>.</w:t>
      </w:r>
    </w:p>
    <w:p w14:paraId="6709D783" w14:textId="2A31F79F" w:rsidR="00160BA6" w:rsidRDefault="00160BA6">
      <w:pPr>
        <w:pStyle w:val="ListParagraph"/>
        <w:numPr>
          <w:ilvl w:val="0"/>
          <w:numId w:val="4"/>
        </w:numPr>
      </w:pPr>
      <w:r>
        <w:rPr>
          <w:b/>
          <w:bCs/>
        </w:rPr>
        <w:t>Vehicle Sensors and Systems</w:t>
      </w:r>
      <w:r>
        <w:t>: Modern transit vehicles are equipped with various sensors that monitor operational parameters. For instance, engine performance, fuel consumption, door open/close events etc. These data contribute to maintenance scheduling and operational efficiency</w:t>
      </w:r>
      <w:r w:rsidR="00C50AD4">
        <w:t>.</w:t>
      </w:r>
    </w:p>
    <w:p w14:paraId="78A9193E" w14:textId="476F1725" w:rsidR="00D57CCB" w:rsidRDefault="00D57CCB">
      <w:pPr>
        <w:pStyle w:val="ListParagraph"/>
        <w:numPr>
          <w:ilvl w:val="0"/>
          <w:numId w:val="4"/>
        </w:numPr>
      </w:pPr>
      <w:r>
        <w:rPr>
          <w:b/>
          <w:bCs/>
        </w:rPr>
        <w:t>GTFS Data</w:t>
      </w:r>
      <w:r>
        <w:t xml:space="preserve">: </w:t>
      </w:r>
      <w:r w:rsidR="00445F21">
        <w:t>While often static, GTFS provides standardized information on routes, schedules, stops, and fares. It forms the foundational layer for many transit information systems and applications</w:t>
      </w:r>
      <w:r w:rsidR="00C50AD4">
        <w:t>.</w:t>
      </w:r>
    </w:p>
    <w:p w14:paraId="7E2D43E8" w14:textId="1333A9C7" w:rsidR="007E4530" w:rsidRDefault="00D67E70" w:rsidP="00C50AD4">
      <w:pPr>
        <w:ind w:firstLine="720"/>
        <w:rPr>
          <w:lang w:val="en-US"/>
        </w:rPr>
      </w:pPr>
      <w:r>
        <w:rPr>
          <w:lang w:val="en-US"/>
        </w:rPr>
        <w:t xml:space="preserve">Exogenous data, however, originates from external environments but significantly affects transit operations and passenger behavior. </w:t>
      </w:r>
      <w:r w:rsidR="00C50AD4">
        <w:rPr>
          <w:lang w:val="en-US"/>
        </w:rPr>
        <w:t>According to Amir et al. (2025), k</w:t>
      </w:r>
      <w:r>
        <w:rPr>
          <w:lang w:val="en-US"/>
        </w:rPr>
        <w:t>ey exogenous sources include:</w:t>
      </w:r>
    </w:p>
    <w:p w14:paraId="354D1F1F" w14:textId="43A5CA80" w:rsidR="00D67E70" w:rsidRPr="0030745C" w:rsidRDefault="00D67E70">
      <w:pPr>
        <w:pStyle w:val="ListParagraph"/>
        <w:numPr>
          <w:ilvl w:val="0"/>
          <w:numId w:val="5"/>
        </w:numPr>
        <w:rPr>
          <w:lang w:val="en-US"/>
        </w:rPr>
      </w:pPr>
      <w:r w:rsidRPr="0030745C">
        <w:rPr>
          <w:b/>
          <w:bCs/>
          <w:lang w:val="en-US"/>
        </w:rPr>
        <w:t>Weather Data</w:t>
      </w:r>
      <w:r w:rsidRPr="0030745C">
        <w:rPr>
          <w:lang w:val="en-US"/>
        </w:rPr>
        <w:t>: Conditions such as rain, temperature, and humidity can directly impact travel demand, vehicle speeds, and operational reliability</w:t>
      </w:r>
      <w:r w:rsidR="00C50AD4">
        <w:rPr>
          <w:lang w:val="en-US"/>
        </w:rPr>
        <w:t>.</w:t>
      </w:r>
    </w:p>
    <w:p w14:paraId="1531AD88" w14:textId="4DB1CCB8" w:rsidR="00D67E70" w:rsidRPr="0030745C" w:rsidRDefault="00D67E70">
      <w:pPr>
        <w:pStyle w:val="ListParagraph"/>
        <w:numPr>
          <w:ilvl w:val="0"/>
          <w:numId w:val="5"/>
        </w:numPr>
        <w:rPr>
          <w:lang w:val="en-US"/>
        </w:rPr>
      </w:pPr>
      <w:r w:rsidRPr="0030745C">
        <w:rPr>
          <w:b/>
          <w:bCs/>
          <w:lang w:val="en-US"/>
        </w:rPr>
        <w:t>Traffic Data</w:t>
      </w:r>
      <w:r w:rsidRPr="0030745C">
        <w:rPr>
          <w:lang w:val="en-US"/>
        </w:rPr>
        <w:t>: Real-time and historical traffic information from road networks affects bus speeds and overall travel times, especially in mixed-traffic environments. Some passengers will travel to stations and park their vehicles then proceed to take rail transits as well</w:t>
      </w:r>
      <w:r w:rsidR="00C50AD4">
        <w:rPr>
          <w:lang w:val="en-US"/>
        </w:rPr>
        <w:t>.</w:t>
      </w:r>
    </w:p>
    <w:p w14:paraId="693722D4" w14:textId="3D210DBF" w:rsidR="00D67E70" w:rsidRPr="0030745C" w:rsidRDefault="00D67E70">
      <w:pPr>
        <w:pStyle w:val="ListParagraph"/>
        <w:numPr>
          <w:ilvl w:val="0"/>
          <w:numId w:val="5"/>
        </w:numPr>
        <w:rPr>
          <w:lang w:val="en-US"/>
        </w:rPr>
      </w:pPr>
      <w:r w:rsidRPr="0030745C">
        <w:rPr>
          <w:b/>
          <w:bCs/>
          <w:lang w:val="en-US"/>
        </w:rPr>
        <w:lastRenderedPageBreak/>
        <w:t>POIs</w:t>
      </w:r>
      <w:r w:rsidRPr="0030745C">
        <w:rPr>
          <w:lang w:val="en-US"/>
        </w:rPr>
        <w:t xml:space="preserve">: Locations of commercial, recreational, residential </w:t>
      </w:r>
      <w:r w:rsidR="0030745C" w:rsidRPr="0030745C">
        <w:rPr>
          <w:lang w:val="en-US"/>
        </w:rPr>
        <w:t>can influence travel demand and passenger distribution across the transit networ</w:t>
      </w:r>
      <w:r w:rsidR="00C50AD4">
        <w:rPr>
          <w:lang w:val="en-US"/>
        </w:rPr>
        <w:t>k.</w:t>
      </w:r>
    </w:p>
    <w:p w14:paraId="4C87AEF2" w14:textId="46CB4639" w:rsidR="00D67E70" w:rsidRDefault="0030745C">
      <w:pPr>
        <w:pStyle w:val="ListParagraph"/>
        <w:numPr>
          <w:ilvl w:val="0"/>
          <w:numId w:val="5"/>
        </w:numPr>
        <w:rPr>
          <w:lang w:val="en-US"/>
        </w:rPr>
      </w:pPr>
      <w:r w:rsidRPr="0030745C">
        <w:rPr>
          <w:b/>
          <w:bCs/>
          <w:lang w:val="en-US"/>
        </w:rPr>
        <w:t>Demographic and Socio-economic Data</w:t>
      </w:r>
      <w:r w:rsidRPr="0030745C">
        <w:rPr>
          <w:lang w:val="en-US"/>
        </w:rPr>
        <w:t>: Population density, income levels, employment centers are fundamental factors influencing long-term transit demand and plannin</w:t>
      </w:r>
      <w:r w:rsidR="00C50AD4">
        <w:rPr>
          <w:lang w:val="en-US"/>
        </w:rPr>
        <w:t>g.</w:t>
      </w:r>
    </w:p>
    <w:p w14:paraId="61AC0972" w14:textId="6B6EBB8F" w:rsidR="00530E02" w:rsidRDefault="00530E02" w:rsidP="00AF00BB">
      <w:pPr>
        <w:ind w:firstLine="720"/>
        <w:rPr>
          <w:lang w:val="en-US"/>
        </w:rPr>
      </w:pPr>
      <w:r>
        <w:rPr>
          <w:lang w:val="en-US"/>
        </w:rPr>
        <w:t xml:space="preserve">To have a holistic understanding of transit system performance and passenger needs, these endogenous and exogenous data sources are important. </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3E2C8DBE"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0050272D">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pPr>
        <w:pStyle w:val="Heading3"/>
        <w:numPr>
          <w:ilvl w:val="2"/>
          <w:numId w:val="3"/>
        </w:numPr>
        <w:rPr>
          <w:b/>
          <w:bCs/>
          <w:sz w:val="24"/>
          <w:szCs w:val="24"/>
          <w:u w:val="single"/>
        </w:rPr>
      </w:pPr>
      <w:bookmarkStart w:id="16" w:name="_Toc230901612"/>
      <w:r w:rsidRPr="00C7720B">
        <w:rPr>
          <w:b/>
          <w:bCs/>
          <w:sz w:val="24"/>
          <w:szCs w:val="24"/>
          <w:u w:val="single"/>
        </w:rPr>
        <w:lastRenderedPageBreak/>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28F9CD06" w:rsidR="00214016" w:rsidRDefault="00756329" w:rsidP="00AF00BB">
      <w:pPr>
        <w:ind w:firstLine="720"/>
      </w:pPr>
      <w:r>
        <w:t>There are significant challenges when handling transit data</w:t>
      </w:r>
      <w:r w:rsidR="00596CDB">
        <w:t xml:space="preserve"> like data quality, noise etc. and extensive preprocessing is required before inputting to AI model </w:t>
      </w:r>
      <w:r>
        <w:rPr>
          <w:noProof/>
          <w:lang w:val="en-US"/>
        </w:rPr>
        <w:t>(Ge et al., 2021; Jevinger et al., 2024)</w:t>
      </w:r>
      <w:r>
        <w:t>. Public transport agencies often struggle with fragmented and disjointed information</w:t>
      </w:r>
      <w:r w:rsidR="00596CDB">
        <w:t xml:space="preserve"> they collected. This most likely hinder their ability to fully understand and interpret these available data </w:t>
      </w:r>
      <w:r w:rsidR="00C50AD4">
        <w:rPr>
          <w:noProof/>
          <w:lang w:val="en-US"/>
        </w:rPr>
        <w:t>(Keller et al., 2022)</w:t>
      </w:r>
      <w:r w:rsidR="00C50AD4">
        <w:t>.</w:t>
      </w:r>
    </w:p>
    <w:p w14:paraId="13E7B180" w14:textId="5B80B22F" w:rsidR="00AF00BB" w:rsidRDefault="00AF00BB" w:rsidP="00D2537A">
      <w:pPr>
        <w:ind w:firstLine="720"/>
        <w:rPr>
          <w:noProof/>
          <w:lang w:val="en-US"/>
        </w:rPr>
      </w:pPr>
      <w:r>
        <w:t xml:space="preserve">Data </w:t>
      </w:r>
      <w:r w:rsidR="00596CDB">
        <w:t>q</w:t>
      </w:r>
      <w:r>
        <w:t xml:space="preserve">uality </w:t>
      </w:r>
      <w:r w:rsidR="00596CDB">
        <w:t>i</w:t>
      </w:r>
      <w:r>
        <w:t>ssues</w:t>
      </w:r>
      <w:r w:rsidR="00596CDB">
        <w:t xml:space="preserve"> as</w:t>
      </w:r>
      <w:r>
        <w:t xml:space="preserve"> supported by</w:t>
      </w:r>
      <w:r w:rsidR="00596CDB">
        <w:t xml:space="preserve"> both </w:t>
      </w:r>
      <w:r w:rsidR="00596CDB">
        <w:rPr>
          <w:noProof/>
          <w:lang w:val="en-US"/>
        </w:rPr>
        <w:t>S.K.B et al. (2024) and Amir et al. (2025)</w:t>
      </w:r>
      <w:r w:rsidR="00874AC3">
        <w:rPr>
          <w:noProof/>
          <w:lang w:val="en-US"/>
        </w:rPr>
        <w:t xml:space="preserve"> are</w:t>
      </w:r>
      <w:r w:rsidR="00596CDB">
        <w:rPr>
          <w:noProof/>
          <w:lang w:val="en-US"/>
        </w:rPr>
        <w:t>:</w:t>
      </w:r>
    </w:p>
    <w:p w14:paraId="5EEC5D12" w14:textId="37B1627A" w:rsidR="00596CDB" w:rsidRPr="00DE20EC" w:rsidRDefault="00596CDB">
      <w:pPr>
        <w:pStyle w:val="ListParagraph"/>
        <w:numPr>
          <w:ilvl w:val="0"/>
          <w:numId w:val="6"/>
        </w:numPr>
        <w:rPr>
          <w:noProof/>
          <w:lang w:val="en-US"/>
        </w:rPr>
      </w:pPr>
      <w:r w:rsidRPr="00DE20EC">
        <w:rPr>
          <w:b/>
          <w:bCs/>
          <w:noProof/>
          <w:lang w:val="en-US"/>
        </w:rPr>
        <w:t>Missing Data</w:t>
      </w:r>
      <w:r w:rsidRPr="00DE20EC">
        <w:rPr>
          <w:noProof/>
          <w:lang w:val="en-US"/>
        </w:rPr>
        <w:t>:</w:t>
      </w:r>
      <w:r w:rsidR="00732A94" w:rsidRPr="00DE20EC">
        <w:rPr>
          <w:noProof/>
          <w:lang w:val="en-US"/>
        </w:rPr>
        <w:t xml:space="preserve"> </w:t>
      </w:r>
      <w:r w:rsidR="00DE20EC">
        <w:rPr>
          <w:noProof/>
          <w:lang w:val="en-US"/>
        </w:rPr>
        <w:t>Occur when sensor failures, power/network outages, disconnectivity (IoT devices)</w:t>
      </w:r>
      <w:r w:rsidR="00874AC3">
        <w:rPr>
          <w:noProof/>
          <w:lang w:val="en-US"/>
        </w:rPr>
        <w:t xml:space="preserve"> etc.</w:t>
      </w:r>
      <w:r w:rsidR="00732A94" w:rsidRPr="00DE20EC">
        <w:rPr>
          <w:noProof/>
          <w:lang w:val="en-US"/>
        </w:rPr>
        <w:t>.</w:t>
      </w:r>
      <w:r w:rsidR="00DE20EC">
        <w:rPr>
          <w:noProof/>
          <w:lang w:val="en-US"/>
        </w:rPr>
        <w:t xml:space="preserve"> This can cause biased analyses and inaccurate predictions if not handled.</w:t>
      </w:r>
    </w:p>
    <w:p w14:paraId="43B06B17" w14:textId="4D1C2041" w:rsidR="00732A94" w:rsidRPr="00DE20EC" w:rsidRDefault="00732A94">
      <w:pPr>
        <w:pStyle w:val="ListParagraph"/>
        <w:numPr>
          <w:ilvl w:val="0"/>
          <w:numId w:val="6"/>
        </w:numPr>
        <w:rPr>
          <w:noProof/>
          <w:lang w:val="en-US"/>
        </w:rPr>
      </w:pPr>
      <w:r w:rsidRPr="00DE20EC">
        <w:rPr>
          <w:b/>
          <w:bCs/>
          <w:noProof/>
          <w:lang w:val="en-US"/>
        </w:rPr>
        <w:t>Inaccuracies and Errors</w:t>
      </w:r>
      <w:r w:rsidRPr="00DE20EC">
        <w:rPr>
          <w:noProof/>
          <w:lang w:val="en-US"/>
        </w:rPr>
        <w:t xml:space="preserve">: </w:t>
      </w:r>
      <w:r w:rsidR="00DE20EC">
        <w:rPr>
          <w:noProof/>
          <w:lang w:val="en-US"/>
        </w:rPr>
        <w:t>Incorrect values, numbering, typos, or measurement errors during data collection</w:t>
      </w:r>
      <w:r w:rsidRPr="00DE20EC">
        <w:rPr>
          <w:noProof/>
          <w:lang w:val="en-US"/>
        </w:rPr>
        <w:t xml:space="preserve">. For </w:t>
      </w:r>
      <w:r w:rsidR="00DE20EC">
        <w:rPr>
          <w:noProof/>
          <w:lang w:val="en-US"/>
        </w:rPr>
        <w:t>example</w:t>
      </w:r>
      <w:r w:rsidRPr="00DE20EC">
        <w:rPr>
          <w:noProof/>
          <w:lang w:val="en-US"/>
        </w:rPr>
        <w:t xml:space="preserve">, GPS data </w:t>
      </w:r>
      <w:r w:rsidR="00DE20EC">
        <w:rPr>
          <w:noProof/>
          <w:lang w:val="en-US"/>
        </w:rPr>
        <w:t>suffering signal loss, or odometer malfunction causing speed abnormalities.</w:t>
      </w:r>
    </w:p>
    <w:p w14:paraId="15F2322F" w14:textId="33DC6A70" w:rsidR="00732A94" w:rsidRPr="00DE20EC" w:rsidRDefault="00732A94">
      <w:pPr>
        <w:pStyle w:val="ListParagraph"/>
        <w:numPr>
          <w:ilvl w:val="0"/>
          <w:numId w:val="6"/>
        </w:numPr>
        <w:rPr>
          <w:noProof/>
          <w:lang w:val="en-US"/>
        </w:rPr>
      </w:pPr>
      <w:r w:rsidRPr="00DE20EC">
        <w:rPr>
          <w:b/>
          <w:bCs/>
          <w:noProof/>
          <w:lang w:val="en-US"/>
        </w:rPr>
        <w:t>Inconsistencies</w:t>
      </w:r>
      <w:r w:rsidRPr="00DE20EC">
        <w:rPr>
          <w:noProof/>
          <w:lang w:val="en-US"/>
        </w:rPr>
        <w:t>: Data from different sources or legacy systems may use different formats, units, or resolutions. This will make integration complex and prone to errors. One of many existing pain points in urban mobility prediction is the lack of consistency across multimodal spatiotemporal data.</w:t>
      </w:r>
    </w:p>
    <w:p w14:paraId="62A5FBD5" w14:textId="55DB8638" w:rsidR="00874AC3" w:rsidRPr="00874AC3" w:rsidRDefault="00732A94">
      <w:pPr>
        <w:pStyle w:val="ListParagraph"/>
        <w:numPr>
          <w:ilvl w:val="0"/>
          <w:numId w:val="6"/>
        </w:numPr>
      </w:pPr>
      <w:r w:rsidRPr="00DE20EC">
        <w:rPr>
          <w:b/>
          <w:bCs/>
          <w:noProof/>
          <w:lang w:val="en-US"/>
        </w:rPr>
        <w:t>Outliers</w:t>
      </w:r>
      <w:r w:rsidRPr="00DE20EC">
        <w:rPr>
          <w:noProof/>
          <w:lang w:val="en-US"/>
        </w:rPr>
        <w:t xml:space="preserve">: Anomalous data points that </w:t>
      </w:r>
      <w:r w:rsidR="00F4242B" w:rsidRPr="00DE20EC">
        <w:rPr>
          <w:noProof/>
          <w:lang w:val="en-US"/>
        </w:rPr>
        <w:t xml:space="preserve">veer off from the normal data can alter statistical analyses and model training. These can be real values but rare events or errors in data </w:t>
      </w:r>
      <w:r w:rsidR="008C2B76" w:rsidRPr="00DE20EC">
        <w:rPr>
          <w:noProof/>
          <w:lang w:val="en-US"/>
        </w:rPr>
        <w:t>collection</w:t>
      </w:r>
      <w:r w:rsidR="00F4242B" w:rsidRPr="00DE20EC">
        <w:rPr>
          <w:noProof/>
          <w:lang w:val="en-US"/>
        </w:rPr>
        <w:t xml:space="preserve"> like </w:t>
      </w:r>
      <w:r w:rsidR="008C2B76" w:rsidRPr="00DE20EC">
        <w:rPr>
          <w:noProof/>
          <w:lang w:val="en-US"/>
        </w:rPr>
        <w:t xml:space="preserve">ridership data recorded </w:t>
      </w:r>
      <w:r w:rsidR="00F4242B" w:rsidRPr="00DE20EC">
        <w:rPr>
          <w:noProof/>
          <w:lang w:val="en-US"/>
        </w:rPr>
        <w:t>during Malaysia’s MCO period.</w:t>
      </w:r>
    </w:p>
    <w:p w14:paraId="0F662BF2" w14:textId="64207E12" w:rsidR="00874AC3" w:rsidRDefault="00874AC3" w:rsidP="00874AC3">
      <w:pPr>
        <w:ind w:firstLine="720"/>
        <w:rPr>
          <w:noProof/>
          <w:lang w:val="en-US"/>
        </w:rPr>
      </w:pPr>
      <w:r>
        <w:t xml:space="preserve">Noise in transit data refers to irrelevant or meaningless information that can mask underlying patterns. </w:t>
      </w:r>
      <w:r>
        <w:rPr>
          <w:noProof/>
          <w:lang w:val="en-US"/>
        </w:rPr>
        <w:t>Jevinger et al. (2024) emphasizes that substantial effort is needed to perform data preprocessing steps when dealing with public transport analytics.</w:t>
      </w:r>
    </w:p>
    <w:p w14:paraId="5C2058C1" w14:textId="7C3AA377" w:rsidR="00874AC3" w:rsidRDefault="00874AC3" w:rsidP="00D2537A">
      <w:pPr>
        <w:ind w:firstLine="720"/>
        <w:rPr>
          <w:noProof/>
          <w:lang w:val="en-US"/>
        </w:rPr>
      </w:pPr>
      <w:r>
        <w:rPr>
          <w:noProof/>
          <w:lang w:val="en-US"/>
        </w:rPr>
        <w:t>Common preprocessing challenges as supported by Ge et al. (2021), Keller et al. (2022), Jevinger et al. (2024), and Amir et al. (2025) include:</w:t>
      </w:r>
    </w:p>
    <w:p w14:paraId="7A0AD32C" w14:textId="5CEF6E4F" w:rsidR="00874AC3" w:rsidRPr="00D2537A" w:rsidRDefault="00874AC3">
      <w:pPr>
        <w:pStyle w:val="ListParagraph"/>
        <w:numPr>
          <w:ilvl w:val="0"/>
          <w:numId w:val="7"/>
        </w:numPr>
        <w:rPr>
          <w:noProof/>
          <w:lang w:val="en-US"/>
        </w:rPr>
      </w:pPr>
      <w:r w:rsidRPr="00D2537A">
        <w:rPr>
          <w:b/>
          <w:bCs/>
          <w:noProof/>
          <w:lang w:val="en-US"/>
        </w:rPr>
        <w:t>Data Cleaning</w:t>
      </w:r>
      <w:r w:rsidRPr="00D2537A">
        <w:rPr>
          <w:noProof/>
          <w:lang w:val="en-US"/>
        </w:rPr>
        <w:t>:</w:t>
      </w:r>
      <w:r w:rsidR="00026E59" w:rsidRPr="00D2537A">
        <w:rPr>
          <w:noProof/>
          <w:lang w:val="en-US"/>
        </w:rPr>
        <w:t xml:space="preserve"> Handling missing values and duplications to ensure data integrity</w:t>
      </w:r>
      <w:r w:rsidRPr="00D2537A">
        <w:rPr>
          <w:noProof/>
          <w:lang w:val="en-US"/>
        </w:rPr>
        <w:t>.</w:t>
      </w:r>
    </w:p>
    <w:p w14:paraId="0741117A" w14:textId="508CC6DB" w:rsidR="00874AC3" w:rsidRPr="00D2537A" w:rsidRDefault="00874AC3">
      <w:pPr>
        <w:pStyle w:val="ListParagraph"/>
        <w:numPr>
          <w:ilvl w:val="0"/>
          <w:numId w:val="7"/>
        </w:numPr>
        <w:rPr>
          <w:noProof/>
          <w:lang w:val="en-US"/>
        </w:rPr>
      </w:pPr>
      <w:r w:rsidRPr="00D2537A">
        <w:rPr>
          <w:b/>
          <w:bCs/>
          <w:noProof/>
          <w:lang w:val="en-US"/>
        </w:rPr>
        <w:t>Data Integration</w:t>
      </w:r>
      <w:r w:rsidRPr="00D2537A">
        <w:rPr>
          <w:noProof/>
          <w:lang w:val="en-US"/>
        </w:rPr>
        <w:t xml:space="preserve">: Combining </w:t>
      </w:r>
      <w:r w:rsidR="00D2537A" w:rsidRPr="00D2537A">
        <w:rPr>
          <w:noProof/>
          <w:lang w:val="en-US"/>
        </w:rPr>
        <w:t>different</w:t>
      </w:r>
      <w:r w:rsidR="00026E59" w:rsidRPr="00D2537A">
        <w:rPr>
          <w:noProof/>
          <w:lang w:val="en-US"/>
        </w:rPr>
        <w:t xml:space="preserve"> datasets from various sources</w:t>
      </w:r>
      <w:r w:rsidR="00D2537A" w:rsidRPr="00D2537A">
        <w:rPr>
          <w:noProof/>
          <w:lang w:val="en-US"/>
        </w:rPr>
        <w:t xml:space="preserve"> using </w:t>
      </w:r>
      <w:r w:rsidR="00026E59" w:rsidRPr="00D2537A">
        <w:rPr>
          <w:noProof/>
          <w:lang w:val="en-US"/>
        </w:rPr>
        <w:t>complex mapping and transformation to achieve coherence.</w:t>
      </w:r>
    </w:p>
    <w:p w14:paraId="74E97A6C" w14:textId="2752EB47" w:rsidR="00026E59" w:rsidRPr="00D2537A" w:rsidRDefault="00026E59">
      <w:pPr>
        <w:pStyle w:val="ListParagraph"/>
        <w:numPr>
          <w:ilvl w:val="0"/>
          <w:numId w:val="7"/>
        </w:numPr>
        <w:rPr>
          <w:noProof/>
          <w:lang w:val="en-US"/>
        </w:rPr>
      </w:pPr>
      <w:r w:rsidRPr="00D2537A">
        <w:rPr>
          <w:b/>
          <w:bCs/>
          <w:noProof/>
          <w:lang w:val="en-US"/>
        </w:rPr>
        <w:t>Data Transformation</w:t>
      </w:r>
      <w:r w:rsidRPr="00D2537A">
        <w:rPr>
          <w:noProof/>
          <w:lang w:val="en-US"/>
        </w:rPr>
        <w:t xml:space="preserve">: </w:t>
      </w:r>
      <w:r w:rsidR="00D2537A" w:rsidRPr="00D2537A">
        <w:rPr>
          <w:noProof/>
          <w:lang w:val="en-US"/>
        </w:rPr>
        <w:t>Altering data without changing its context to suit the requirements of specific analytical models by converting raw data into meaningful features</w:t>
      </w:r>
      <w:r w:rsidRPr="00D2537A">
        <w:rPr>
          <w:noProof/>
          <w:lang w:val="en-US"/>
        </w:rPr>
        <w:t>.</w:t>
      </w:r>
    </w:p>
    <w:p w14:paraId="106E96C6" w14:textId="77118F82" w:rsidR="00026E59" w:rsidRPr="00D2537A" w:rsidRDefault="00026E59">
      <w:pPr>
        <w:pStyle w:val="ListParagraph"/>
        <w:numPr>
          <w:ilvl w:val="0"/>
          <w:numId w:val="7"/>
        </w:numPr>
        <w:rPr>
          <w:noProof/>
          <w:lang w:val="en-US"/>
        </w:rPr>
      </w:pPr>
      <w:r w:rsidRPr="00D2537A">
        <w:rPr>
          <w:b/>
          <w:bCs/>
          <w:noProof/>
          <w:lang w:val="en-US"/>
        </w:rPr>
        <w:lastRenderedPageBreak/>
        <w:t>Data Reduction</w:t>
      </w:r>
      <w:r w:rsidRPr="00D2537A">
        <w:rPr>
          <w:noProof/>
          <w:lang w:val="en-US"/>
        </w:rPr>
        <w:t xml:space="preserve">: </w:t>
      </w:r>
      <w:r w:rsidR="00D2537A" w:rsidRPr="00D2537A">
        <w:rPr>
          <w:noProof/>
          <w:lang w:val="en-US"/>
        </w:rPr>
        <w:t>S</w:t>
      </w:r>
      <w:r w:rsidRPr="00D2537A">
        <w:rPr>
          <w:noProof/>
          <w:lang w:val="en-US"/>
        </w:rPr>
        <w:t>electing relevant features or reducing data size while keeping essential information.</w:t>
      </w:r>
    </w:p>
    <w:p w14:paraId="6B8A2946" w14:textId="0150D2D1" w:rsidR="00026E59" w:rsidRPr="00D2537A" w:rsidRDefault="00026E59">
      <w:pPr>
        <w:pStyle w:val="ListParagraph"/>
        <w:numPr>
          <w:ilvl w:val="0"/>
          <w:numId w:val="7"/>
        </w:numPr>
      </w:pPr>
      <w:r w:rsidRPr="00D2537A">
        <w:rPr>
          <w:b/>
          <w:bCs/>
          <w:noProof/>
          <w:lang w:val="en-US"/>
        </w:rPr>
        <w:t>Privacy Concerns</w:t>
      </w:r>
      <w:r w:rsidRPr="00D2537A">
        <w:rPr>
          <w:noProof/>
          <w:lang w:val="en-US"/>
        </w:rPr>
        <w:t>: Anonymizing sensitive passenger data such as travel records while retaining its analytical utility is a crucial ethical and technical challenge.</w:t>
      </w:r>
    </w:p>
    <w:p w14:paraId="34303C59" w14:textId="73A151EF" w:rsidR="00D2537A" w:rsidRPr="00214016" w:rsidRDefault="00D2537A" w:rsidP="00D2537A">
      <w:pPr>
        <w:ind w:firstLine="720"/>
      </w:pPr>
      <w:r>
        <w:t>The amount of effort required for preprocessing highlights that raw transit data is hardly usable for advanced analytics fresh after collection, regardless of its volume. The full potential of transit data ecosystems can only be determined after effective preprocessing strategies are carried out.</w:t>
      </w:r>
    </w:p>
    <w:p w14:paraId="615D674B" w14:textId="708BF38A" w:rsidR="00946EC9" w:rsidRDefault="007C57BA">
      <w:pPr>
        <w:pStyle w:val="Heading3"/>
        <w:numPr>
          <w:ilvl w:val="2"/>
          <w:numId w:val="3"/>
        </w:numPr>
        <w:rPr>
          <w:b/>
          <w:bCs/>
          <w:sz w:val="24"/>
          <w:szCs w:val="24"/>
          <w:u w:val="single"/>
        </w:rPr>
      </w:pPr>
      <w:bookmarkStart w:id="17" w:name="_Toc230901613"/>
      <w:r>
        <w:rPr>
          <w:b/>
          <w:bCs/>
          <w:sz w:val="24"/>
          <w:szCs w:val="24"/>
          <w:u w:val="single"/>
        </w:rPr>
        <w:t>Extreme Anomalies in Spatiotemporal Data</w:t>
      </w:r>
      <w:bookmarkEnd w:id="17"/>
    </w:p>
    <w:p w14:paraId="6806579D" w14:textId="03E4C298" w:rsidR="00214016" w:rsidRDefault="00A835EA" w:rsidP="0078424E">
      <w:pPr>
        <w:ind w:firstLine="720"/>
      </w:pPr>
      <w:r>
        <w:t xml:space="preserve">Spatiotemporal data is susceptible to extreme anomalies that can significantly impact the accuracy and reliability of predictive models </w:t>
      </w:r>
      <w:r>
        <w:rPr>
          <w:noProof/>
        </w:rPr>
        <w:t>(Maria-Arribas et al., 2026)</w:t>
      </w:r>
      <w:r>
        <w:t xml:space="preserve">. Most of these data is characterized by its simultaneous variation across space and time. These anomalies often are unusual events or patterns that deviate drastically from expected behaviour. It is mostly driven by external factors </w:t>
      </w:r>
      <w:r w:rsidR="005376AA">
        <w:t xml:space="preserve">aliened from routine data collection </w:t>
      </w:r>
      <w:r w:rsidR="005376AA">
        <w:rPr>
          <w:noProof/>
        </w:rPr>
        <w:t>(Wang et al., 2025)</w:t>
      </w:r>
      <w:r w:rsidR="005376AA">
        <w:t>.</w:t>
      </w:r>
    </w:p>
    <w:p w14:paraId="114EF791" w14:textId="65EE7B78" w:rsidR="0078424E" w:rsidRDefault="0078424E" w:rsidP="0078424E">
      <w:pPr>
        <w:ind w:firstLine="720"/>
      </w:pPr>
      <w:r>
        <w:t>One of many obvious examples of an extreme anomaly in transit ridership data is from Malaysia</w:t>
      </w:r>
      <w:r w:rsidR="00962A42">
        <w:t>’s MCO during COVID-19 pandemic. From March 2020 to December 2021, the public transport ridership experienced a steep decline of 85-90%, which created a highly noisy and abnormal patterns. If models are trained on them without proper consideration, it can introduce several problems because it is not a typical urban mobility behaviour. Such extreme outlier data can lead to:</w:t>
      </w:r>
    </w:p>
    <w:p w14:paraId="678661C9" w14:textId="689C9C6F" w:rsidR="00962A42" w:rsidRDefault="00962A42">
      <w:pPr>
        <w:pStyle w:val="ListParagraph"/>
        <w:numPr>
          <w:ilvl w:val="0"/>
          <w:numId w:val="9"/>
        </w:numPr>
      </w:pPr>
      <w:r>
        <w:t>Models may overfit to the anomalous data, resulting in poor generalization capabilities when predicting under normal conditions. This is also known as predictive bias.</w:t>
      </w:r>
    </w:p>
    <w:p w14:paraId="00E1AC12" w14:textId="3D038F9A" w:rsidR="00962A42" w:rsidRDefault="00962A42">
      <w:pPr>
        <w:pStyle w:val="ListParagraph"/>
        <w:numPr>
          <w:ilvl w:val="0"/>
          <w:numId w:val="9"/>
        </w:numPr>
      </w:pPr>
      <w:r>
        <w:t>The drastic shifts in patterns during anomalies can confuse models, making them struggle to capture true, normal peaks and trends.</w:t>
      </w:r>
    </w:p>
    <w:p w14:paraId="03296EB3" w14:textId="3961196E" w:rsidR="00962A42" w:rsidRDefault="00962A42">
      <w:pPr>
        <w:pStyle w:val="ListParagraph"/>
        <w:numPr>
          <w:ilvl w:val="0"/>
          <w:numId w:val="9"/>
        </w:numPr>
      </w:pPr>
      <w:r>
        <w:t xml:space="preserve">Anomalies can hide underlying regularities or create </w:t>
      </w:r>
      <w:r w:rsidR="001B771C">
        <w:t>fake correlations, causing incorrect results about system dynamics (Wang et al., 2025).</w:t>
      </w:r>
    </w:p>
    <w:p w14:paraId="34763CE3" w14:textId="3769939C" w:rsidR="001B771C" w:rsidRPr="00214016" w:rsidRDefault="001B771C" w:rsidP="001B771C">
      <w:pPr>
        <w:ind w:firstLine="720"/>
      </w:pPr>
      <w:r>
        <w:t xml:space="preserve">As a result, specialized techniques are required to detect and handle extreme anomalies in spatiotemporal data. Traditional anomaly detection methods often rely on statistical thresholds or distance-based approaches. Yet, when applied on complex, high-dimensional spatiotemporal data, it may be less effective as claimed by </w:t>
      </w:r>
      <w:r>
        <w:rPr>
          <w:noProof/>
        </w:rPr>
        <w:t xml:space="preserve">Bhartiya et al. (2023). They also mentioned that more advanced approaches are being developed to identify </w:t>
      </w:r>
      <w:r w:rsidR="00BC44D2">
        <w:rPr>
          <w:noProof/>
        </w:rPr>
        <w:t>anomalie</w:t>
      </w:r>
      <w:r w:rsidR="00096B40">
        <w:rPr>
          <w:noProof/>
        </w:rPr>
        <w:t xml:space="preserve">s. For </w:t>
      </w:r>
      <w:r w:rsidR="00096B40">
        <w:rPr>
          <w:noProof/>
        </w:rPr>
        <w:lastRenderedPageBreak/>
        <w:t>example, ensemble deep learning methods</w:t>
      </w:r>
      <w:r w:rsidR="00BC44D2">
        <w:rPr>
          <w:noProof/>
        </w:rPr>
        <w:t xml:space="preserve">. </w:t>
      </w:r>
      <w:r w:rsidR="00096B40">
        <w:rPr>
          <w:noProof/>
        </w:rPr>
        <w:t xml:space="preserve">It </w:t>
      </w:r>
      <w:r w:rsidR="00BC44D2">
        <w:rPr>
          <w:noProof/>
        </w:rPr>
        <w:t>aim</w:t>
      </w:r>
      <w:r w:rsidR="00096B40">
        <w:rPr>
          <w:noProof/>
        </w:rPr>
        <w:t>s</w:t>
      </w:r>
      <w:r w:rsidR="00BC44D2">
        <w:rPr>
          <w:noProof/>
        </w:rPr>
        <w:t xml:space="preserve"> to </w:t>
      </w:r>
      <w:r w:rsidR="00096B40">
        <w:rPr>
          <w:noProof/>
        </w:rPr>
        <w:t>distinguish</w:t>
      </w:r>
      <w:r w:rsidR="00BC44D2">
        <w:rPr>
          <w:noProof/>
        </w:rPr>
        <w:t xml:space="preserve"> mild fluctuations and significant deviations to </w:t>
      </w:r>
      <w:r w:rsidR="00096B40">
        <w:rPr>
          <w:noProof/>
        </w:rPr>
        <w:t>stablize</w:t>
      </w:r>
      <w:r w:rsidR="00BC44D2">
        <w:rPr>
          <w:noProof/>
        </w:rPr>
        <w:t xml:space="preserve"> predictive models </w:t>
      </w:r>
      <w:r w:rsidR="00096B40">
        <w:rPr>
          <w:noProof/>
        </w:rPr>
        <w:t>on</w:t>
      </w:r>
      <w:r w:rsidR="00BC44D2">
        <w:rPr>
          <w:noProof/>
        </w:rPr>
        <w:t xml:space="preserve"> unexpected events. The strategic data segmentation with and without such extreme periods is one of the crucial highlights in the research. It is used to evaluate and mitigate their impact on predictive accuracy and bias </w:t>
      </w:r>
      <w:r w:rsidR="00096B40">
        <w:rPr>
          <w:noProof/>
        </w:rPr>
        <w:t>based on the</w:t>
      </w:r>
      <w:r w:rsidR="00BC44D2">
        <w:rPr>
          <w:noProof/>
        </w:rPr>
        <w:t xml:space="preserve"> performance of existing SOTA baselines </w:t>
      </w:r>
      <w:r w:rsidR="00096B40">
        <w:rPr>
          <w:noProof/>
        </w:rPr>
        <w:t>and</w:t>
      </w:r>
      <w:r w:rsidR="00BC44D2">
        <w:rPr>
          <w:noProof/>
        </w:rPr>
        <w:t xml:space="preserve"> the proposed model.</w:t>
      </w:r>
    </w:p>
    <w:p w14:paraId="66C3E835" w14:textId="033EA580" w:rsidR="00946EC9" w:rsidRDefault="00946EC9">
      <w:pPr>
        <w:pStyle w:val="Heading2"/>
        <w:numPr>
          <w:ilvl w:val="1"/>
          <w:numId w:val="3"/>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0AC89DFF" w:rsidR="00305371" w:rsidRPr="00305371" w:rsidRDefault="00BC42E8" w:rsidP="00BC42E8">
      <w:pPr>
        <w:ind w:firstLine="720"/>
      </w:pPr>
      <w:r>
        <w:t xml:space="preserve">From the reliance on traditional statistical and machine learning (ML) models to the adoption of sophisticated DL architecture, the landscape of urban transit prediction has been levelled up </w:t>
      </w:r>
      <w:r w:rsidRPr="00BC42E8">
        <w:t>substantially</w:t>
      </w:r>
      <w:r>
        <w:t>.</w:t>
      </w:r>
      <w:r w:rsidR="003D44AE">
        <w:t xml:space="preserve"> This change is primarily inspired by the increasing volume and variety of spatiotemporal data collected within modern transit systems. Moreover, the inability of conventional models to capture such intricate</w:t>
      </w:r>
      <w:r w:rsidR="009E032C">
        <w:t xml:space="preserve">, deeply intertwined, and non-linear patterns also contributed to the change (Lu et al., 2020; Ge et al., 2021). The emergence of big data analytics and advanced DL methodologies provide a promising channel for training models because these models can process complex spatiotemporal interconnections within public transit network (Chen et al., 2022). </w:t>
      </w:r>
    </w:p>
    <w:p w14:paraId="176FDB08" w14:textId="75F71C8A" w:rsidR="00946EC9" w:rsidRDefault="009F0E76">
      <w:pPr>
        <w:pStyle w:val="Heading3"/>
        <w:numPr>
          <w:ilvl w:val="2"/>
          <w:numId w:val="3"/>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39651AFF" w14:textId="77777777" w:rsidR="007E797F" w:rsidRDefault="00B712FB" w:rsidP="00B712FB">
      <w:pPr>
        <w:ind w:firstLine="720"/>
      </w:pPr>
      <w:r>
        <w:t xml:space="preserve">Historically, urban transit prediction has relied on a bunch of traditional statistical and ML models, especially for ridership forecasting. </w:t>
      </w:r>
      <w:r w:rsidR="00A124B0">
        <w:t xml:space="preserve">Examples of these traditional architectures are Historical Average (HA), Auto-Regressive Integrated Moving Average (ARIMA), and Vector Auto-Regressive (VAR) models. In addition, according to </w:t>
      </w:r>
      <w:r w:rsidR="00A124B0">
        <w:rPr>
          <w:noProof/>
        </w:rPr>
        <w:t>Yin et al. (2022)</w:t>
      </w:r>
      <w:r w:rsidR="00A124B0">
        <w:t>, conventional ML techniques such as Support Vector Regression (SVR) and Random Forest Regression (RFR) have been developed as well</w:t>
      </w:r>
      <w:r w:rsidR="007E797F">
        <w:t>.</w:t>
      </w:r>
    </w:p>
    <w:tbl>
      <w:tblPr>
        <w:tblStyle w:val="TableGrid"/>
        <w:tblW w:w="0" w:type="auto"/>
        <w:tblLook w:val="04A0" w:firstRow="1" w:lastRow="0" w:firstColumn="1" w:lastColumn="0" w:noHBand="0" w:noVBand="1"/>
      </w:tblPr>
      <w:tblGrid>
        <w:gridCol w:w="2263"/>
        <w:gridCol w:w="3261"/>
        <w:gridCol w:w="3492"/>
      </w:tblGrid>
      <w:tr w:rsidR="007E797F" w14:paraId="7D210B38" w14:textId="77777777" w:rsidTr="007E797F">
        <w:tc>
          <w:tcPr>
            <w:tcW w:w="2263" w:type="dxa"/>
            <w:shd w:val="clear" w:color="auto" w:fill="C1E4F5" w:themeFill="accent1" w:themeFillTint="33"/>
          </w:tcPr>
          <w:p w14:paraId="1831E26C" w14:textId="7432FB68" w:rsidR="007E797F" w:rsidRPr="007E797F" w:rsidRDefault="007E797F" w:rsidP="007E797F">
            <w:pPr>
              <w:rPr>
                <w:b/>
                <w:bCs/>
              </w:rPr>
            </w:pPr>
            <w:r>
              <w:rPr>
                <w:b/>
                <w:bCs/>
              </w:rPr>
              <w:t>Aspect</w:t>
            </w:r>
          </w:p>
        </w:tc>
        <w:tc>
          <w:tcPr>
            <w:tcW w:w="3261" w:type="dxa"/>
            <w:shd w:val="clear" w:color="auto" w:fill="C1E4F5" w:themeFill="accent1" w:themeFillTint="33"/>
          </w:tcPr>
          <w:p w14:paraId="4CC81463" w14:textId="7D3FA6B0" w:rsidR="007E797F" w:rsidRPr="007E797F" w:rsidRDefault="007E797F" w:rsidP="007E797F">
            <w:pPr>
              <w:rPr>
                <w:b/>
                <w:bCs/>
              </w:rPr>
            </w:pPr>
            <w:r>
              <w:rPr>
                <w:b/>
                <w:bCs/>
              </w:rPr>
              <w:t>Traditional Models</w:t>
            </w:r>
          </w:p>
        </w:tc>
        <w:tc>
          <w:tcPr>
            <w:tcW w:w="3492" w:type="dxa"/>
            <w:shd w:val="clear" w:color="auto" w:fill="C1E4F5" w:themeFill="accent1" w:themeFillTint="33"/>
          </w:tcPr>
          <w:p w14:paraId="32C2FAEC" w14:textId="42877745" w:rsidR="007E797F" w:rsidRPr="007E797F" w:rsidRDefault="007E797F" w:rsidP="007E797F">
            <w:pPr>
              <w:rPr>
                <w:b/>
                <w:bCs/>
              </w:rPr>
            </w:pPr>
            <w:r>
              <w:rPr>
                <w:b/>
                <w:bCs/>
              </w:rPr>
              <w:t>DL Models</w:t>
            </w:r>
          </w:p>
        </w:tc>
      </w:tr>
      <w:tr w:rsidR="007E797F" w14:paraId="68DCA6C5" w14:textId="77777777" w:rsidTr="007E797F">
        <w:tc>
          <w:tcPr>
            <w:tcW w:w="2263" w:type="dxa"/>
            <w:shd w:val="clear" w:color="auto" w:fill="F2F2F2" w:themeFill="background1" w:themeFillShade="F2"/>
          </w:tcPr>
          <w:p w14:paraId="77B85B3A" w14:textId="14088DE1" w:rsidR="007E797F" w:rsidRPr="007E797F" w:rsidRDefault="007E797F" w:rsidP="007E797F">
            <w:pPr>
              <w:rPr>
                <w:b/>
                <w:bCs/>
              </w:rPr>
            </w:pPr>
            <w:r>
              <w:rPr>
                <w:b/>
                <w:bCs/>
              </w:rPr>
              <w:t>Data Handling</w:t>
            </w:r>
          </w:p>
        </w:tc>
        <w:tc>
          <w:tcPr>
            <w:tcW w:w="3261" w:type="dxa"/>
          </w:tcPr>
          <w:p w14:paraId="7690B1E2" w14:textId="08CA0309" w:rsidR="007E797F" w:rsidRDefault="007E797F" w:rsidP="007E797F">
            <w:r>
              <w:t>Small-scale, structured</w:t>
            </w:r>
          </w:p>
        </w:tc>
        <w:tc>
          <w:tcPr>
            <w:tcW w:w="3492" w:type="dxa"/>
          </w:tcPr>
          <w:p w14:paraId="28052802" w14:textId="272A5447" w:rsidR="007E797F" w:rsidRDefault="007E797F" w:rsidP="007E797F">
            <w:r>
              <w:t>Large-scale, multi-source</w:t>
            </w:r>
          </w:p>
        </w:tc>
      </w:tr>
      <w:tr w:rsidR="007E797F" w14:paraId="79EED0DF" w14:textId="77777777" w:rsidTr="007E797F">
        <w:tc>
          <w:tcPr>
            <w:tcW w:w="2263" w:type="dxa"/>
            <w:shd w:val="clear" w:color="auto" w:fill="F2F2F2" w:themeFill="background1" w:themeFillShade="F2"/>
          </w:tcPr>
          <w:p w14:paraId="656FF335" w14:textId="36CCBE61" w:rsidR="007E797F" w:rsidRPr="007E797F" w:rsidRDefault="007E797F" w:rsidP="007E797F">
            <w:pPr>
              <w:rPr>
                <w:b/>
                <w:bCs/>
              </w:rPr>
            </w:pPr>
            <w:r>
              <w:rPr>
                <w:b/>
                <w:bCs/>
              </w:rPr>
              <w:t>Dependencies</w:t>
            </w:r>
          </w:p>
        </w:tc>
        <w:tc>
          <w:tcPr>
            <w:tcW w:w="3261" w:type="dxa"/>
          </w:tcPr>
          <w:p w14:paraId="12D234F0" w14:textId="47A80E71" w:rsidR="007E797F" w:rsidRDefault="007E797F" w:rsidP="007E797F">
            <w:r>
              <w:t>Linear, short-term</w:t>
            </w:r>
          </w:p>
        </w:tc>
        <w:tc>
          <w:tcPr>
            <w:tcW w:w="3492" w:type="dxa"/>
          </w:tcPr>
          <w:p w14:paraId="25459842" w14:textId="3AE18D55" w:rsidR="007E797F" w:rsidRDefault="007E797F" w:rsidP="007E797F">
            <w:r>
              <w:t>Non-linear, long-term</w:t>
            </w:r>
          </w:p>
        </w:tc>
      </w:tr>
      <w:tr w:rsidR="007E797F" w14:paraId="08068B93" w14:textId="77777777" w:rsidTr="007E797F">
        <w:tc>
          <w:tcPr>
            <w:tcW w:w="2263" w:type="dxa"/>
            <w:shd w:val="clear" w:color="auto" w:fill="F2F2F2" w:themeFill="background1" w:themeFillShade="F2"/>
          </w:tcPr>
          <w:p w14:paraId="73F6CFCB" w14:textId="0C59D998" w:rsidR="007E797F" w:rsidRPr="007E797F" w:rsidRDefault="007E797F" w:rsidP="007E797F">
            <w:pPr>
              <w:rPr>
                <w:b/>
                <w:bCs/>
              </w:rPr>
            </w:pPr>
            <w:r>
              <w:rPr>
                <w:b/>
                <w:bCs/>
              </w:rPr>
              <w:t>Complexity</w:t>
            </w:r>
          </w:p>
        </w:tc>
        <w:tc>
          <w:tcPr>
            <w:tcW w:w="3261" w:type="dxa"/>
          </w:tcPr>
          <w:p w14:paraId="5E8EA517" w14:textId="458A7FCA" w:rsidR="007E797F" w:rsidRDefault="007E797F" w:rsidP="007E797F">
            <w:r>
              <w:t>Low (functional forms)</w:t>
            </w:r>
          </w:p>
        </w:tc>
        <w:tc>
          <w:tcPr>
            <w:tcW w:w="3492" w:type="dxa"/>
          </w:tcPr>
          <w:p w14:paraId="2160576C" w14:textId="48E3D238" w:rsidR="007E797F" w:rsidRDefault="007E797F" w:rsidP="007E797F">
            <w:r>
              <w:t>High (hierarchical features)</w:t>
            </w:r>
          </w:p>
        </w:tc>
      </w:tr>
      <w:tr w:rsidR="007E797F" w14:paraId="36368D5D" w14:textId="77777777" w:rsidTr="007E797F">
        <w:tc>
          <w:tcPr>
            <w:tcW w:w="2263" w:type="dxa"/>
            <w:shd w:val="clear" w:color="auto" w:fill="F2F2F2" w:themeFill="background1" w:themeFillShade="F2"/>
          </w:tcPr>
          <w:p w14:paraId="7E2548DC" w14:textId="07F4D0EB" w:rsidR="007E797F" w:rsidRPr="007E797F" w:rsidRDefault="007E797F" w:rsidP="007E797F">
            <w:pPr>
              <w:rPr>
                <w:b/>
                <w:bCs/>
              </w:rPr>
            </w:pPr>
            <w:r>
              <w:rPr>
                <w:b/>
                <w:bCs/>
              </w:rPr>
              <w:t>Assumptions</w:t>
            </w:r>
          </w:p>
        </w:tc>
        <w:tc>
          <w:tcPr>
            <w:tcW w:w="3261" w:type="dxa"/>
          </w:tcPr>
          <w:p w14:paraId="7769248B" w14:textId="2D5FDF5E" w:rsidR="007E797F" w:rsidRDefault="007E797F" w:rsidP="007E797F">
            <w:r>
              <w:t>Strict (Stationarity, normality)</w:t>
            </w:r>
          </w:p>
        </w:tc>
        <w:tc>
          <w:tcPr>
            <w:tcW w:w="3492" w:type="dxa"/>
          </w:tcPr>
          <w:p w14:paraId="17ABD5D2" w14:textId="0E603571" w:rsidR="007E797F" w:rsidRDefault="007E797F" w:rsidP="007E797F">
            <w:r>
              <w:t>Minimal (Data-driven)</w:t>
            </w:r>
          </w:p>
        </w:tc>
      </w:tr>
      <w:tr w:rsidR="007E797F" w14:paraId="6506D1AA" w14:textId="77777777" w:rsidTr="007E797F">
        <w:tc>
          <w:tcPr>
            <w:tcW w:w="2263" w:type="dxa"/>
            <w:shd w:val="clear" w:color="auto" w:fill="F2F2F2" w:themeFill="background1" w:themeFillShade="F2"/>
          </w:tcPr>
          <w:p w14:paraId="65DA0BD7" w14:textId="1BDB7C11" w:rsidR="007E797F" w:rsidRPr="007E797F" w:rsidRDefault="007E797F" w:rsidP="007E797F">
            <w:pPr>
              <w:rPr>
                <w:b/>
                <w:bCs/>
              </w:rPr>
            </w:pPr>
            <w:r>
              <w:rPr>
                <w:b/>
                <w:bCs/>
              </w:rPr>
              <w:t>Interpretability</w:t>
            </w:r>
          </w:p>
        </w:tc>
        <w:tc>
          <w:tcPr>
            <w:tcW w:w="3261" w:type="dxa"/>
          </w:tcPr>
          <w:p w14:paraId="790515E3" w14:textId="2314D91C" w:rsidR="007E797F" w:rsidRDefault="007E797F" w:rsidP="007E797F">
            <w:r>
              <w:t>High</w:t>
            </w:r>
          </w:p>
        </w:tc>
        <w:tc>
          <w:tcPr>
            <w:tcW w:w="3492" w:type="dxa"/>
          </w:tcPr>
          <w:p w14:paraId="53259D0D" w14:textId="52FAD829" w:rsidR="007E797F" w:rsidRDefault="007E797F" w:rsidP="007E797F">
            <w:r>
              <w:t>Lower (Black-box nature)</w:t>
            </w:r>
          </w:p>
        </w:tc>
      </w:tr>
      <w:tr w:rsidR="007E797F" w14:paraId="7C29DA12" w14:textId="77777777" w:rsidTr="007E797F">
        <w:tc>
          <w:tcPr>
            <w:tcW w:w="2263" w:type="dxa"/>
            <w:shd w:val="clear" w:color="auto" w:fill="F2F2F2" w:themeFill="background1" w:themeFillShade="F2"/>
          </w:tcPr>
          <w:p w14:paraId="51A64DB5" w14:textId="5BF6A479" w:rsidR="007E797F" w:rsidRPr="007E797F" w:rsidRDefault="007E797F" w:rsidP="007E797F">
            <w:pPr>
              <w:rPr>
                <w:b/>
                <w:bCs/>
              </w:rPr>
            </w:pPr>
            <w:r>
              <w:rPr>
                <w:b/>
                <w:bCs/>
              </w:rPr>
              <w:t>Scalability</w:t>
            </w:r>
          </w:p>
        </w:tc>
        <w:tc>
          <w:tcPr>
            <w:tcW w:w="3261" w:type="dxa"/>
          </w:tcPr>
          <w:p w14:paraId="7400089E" w14:textId="497F85BD" w:rsidR="007E797F" w:rsidRDefault="007E797F" w:rsidP="007E797F">
            <w:r>
              <w:t>Limited</w:t>
            </w:r>
          </w:p>
        </w:tc>
        <w:tc>
          <w:tcPr>
            <w:tcW w:w="3492" w:type="dxa"/>
          </w:tcPr>
          <w:p w14:paraId="40579CDE" w14:textId="1B588696" w:rsidR="007E797F" w:rsidRDefault="007E797F" w:rsidP="007E797F">
            <w:r>
              <w:t>High</w:t>
            </w:r>
          </w:p>
        </w:tc>
      </w:tr>
    </w:tbl>
    <w:p w14:paraId="66FA63FA" w14:textId="13747668" w:rsidR="00305371" w:rsidRDefault="007E797F" w:rsidP="007E797F">
      <w:pPr>
        <w:pStyle w:val="Caption"/>
        <w:spacing w:before="240"/>
        <w:jc w:val="center"/>
        <w:rPr>
          <w:color w:val="auto"/>
          <w:sz w:val="24"/>
          <w:szCs w:val="24"/>
        </w:rPr>
      </w:pPr>
      <w:r w:rsidRPr="007E797F">
        <w:rPr>
          <w:color w:val="auto"/>
          <w:sz w:val="24"/>
          <w:szCs w:val="24"/>
        </w:rPr>
        <w:t xml:space="preserve">Table </w:t>
      </w:r>
      <w:r w:rsidRPr="007E797F">
        <w:rPr>
          <w:color w:val="auto"/>
          <w:sz w:val="24"/>
          <w:szCs w:val="24"/>
        </w:rPr>
        <w:fldChar w:fldCharType="begin"/>
      </w:r>
      <w:r w:rsidRPr="007E797F">
        <w:rPr>
          <w:color w:val="auto"/>
          <w:sz w:val="24"/>
          <w:szCs w:val="24"/>
        </w:rPr>
        <w:instrText xml:space="preserve"> SEQ Table \* ARABIC </w:instrText>
      </w:r>
      <w:r w:rsidRPr="007E797F">
        <w:rPr>
          <w:color w:val="auto"/>
          <w:sz w:val="24"/>
          <w:szCs w:val="24"/>
        </w:rPr>
        <w:fldChar w:fldCharType="separate"/>
      </w:r>
      <w:r w:rsidR="0050272D">
        <w:rPr>
          <w:noProof/>
          <w:color w:val="auto"/>
          <w:sz w:val="24"/>
          <w:szCs w:val="24"/>
        </w:rPr>
        <w:t>4</w:t>
      </w:r>
      <w:r w:rsidRPr="007E797F">
        <w:rPr>
          <w:color w:val="auto"/>
          <w:sz w:val="24"/>
          <w:szCs w:val="24"/>
        </w:rPr>
        <w:fldChar w:fldCharType="end"/>
      </w:r>
      <w:r w:rsidRPr="007E797F">
        <w:rPr>
          <w:color w:val="auto"/>
          <w:sz w:val="24"/>
          <w:szCs w:val="24"/>
        </w:rPr>
        <w:t>: A brief comparison of different aspects between traditional models and DL models</w:t>
      </w:r>
    </w:p>
    <w:p w14:paraId="0D75F8A7" w14:textId="1F3DA860" w:rsidR="007E797F" w:rsidRDefault="00AF01A8" w:rsidP="00AF01A8">
      <w:pPr>
        <w:ind w:firstLine="720"/>
      </w:pPr>
      <w:r>
        <w:lastRenderedPageBreak/>
        <w:t xml:space="preserve">Based on table 4 above, the interpretability and straightforwardness of traditional models are best for simpler scenarios. Contrastingly, it often struggles with dynamic and complex nature of modern transit data. </w:t>
      </w:r>
    </w:p>
    <w:p w14:paraId="764A743A" w14:textId="420303F8" w:rsidR="000370F9" w:rsidRDefault="000370F9" w:rsidP="00AF01A8">
      <w:pPr>
        <w:ind w:firstLine="720"/>
        <w:rPr>
          <w:noProof/>
        </w:rPr>
      </w:pPr>
      <w:r>
        <w:t xml:space="preserve">Yin et al. (2022) highlight that statistical methods generally need data to satisfy specific </w:t>
      </w:r>
      <w:r w:rsidR="00A62224">
        <w:t>assumptions,</w:t>
      </w:r>
      <w:r>
        <w:t xml:space="preserve"> </w:t>
      </w:r>
      <w:r w:rsidR="00A62224">
        <w:t xml:space="preserve">but time-varying traffic data is unpredictable. These methods also mostly limited to smaller datasets instead of larger datasets. Similarly, </w:t>
      </w:r>
      <w:proofErr w:type="spellStart"/>
      <w:r w:rsidR="00A62224">
        <w:t>Sobrie</w:t>
      </w:r>
      <w:proofErr w:type="spellEnd"/>
      <w:r w:rsidR="00A62224">
        <w:rPr>
          <w:noProof/>
        </w:rPr>
        <w:t xml:space="preserve"> et al. (2023) also prove that even though rule-based models are commonly used in business operations because it is easy to interpret and deploy, they also reach</w:t>
      </w:r>
      <w:r w:rsidR="00D66569">
        <w:rPr>
          <w:noProof/>
        </w:rPr>
        <w:t xml:space="preserve"> their limits when inputted with complex spatiotemporal settings like railway delay prediction. These inflexible models presume functional forms and general rules without adequately weighing in varying time-space interactions.</w:t>
      </w:r>
    </w:p>
    <w:p w14:paraId="32B59C42" w14:textId="053CFF70" w:rsidR="00D66569" w:rsidRPr="007E797F" w:rsidRDefault="00B561D8" w:rsidP="00AF01A8">
      <w:pPr>
        <w:ind w:firstLine="720"/>
      </w:pPr>
      <w:r>
        <w:rPr>
          <w:noProof/>
        </w:rPr>
        <w:t>The main advantage of traditional models is solely because of their interpretability and computational efficiency for basic smaller-scale datasets. Nevertheless, their natural premise on data distribution and linearity make them imponent</w:t>
      </w:r>
      <w:r w:rsidR="00E809CF">
        <w:rPr>
          <w:noProof/>
        </w:rPr>
        <w:t xml:space="preserve"> in highly volatile and dynamic environments. These limitations emphasizes on the imperative for more advanced modeling foundation to handle the complexities of present-day transit data. The development and adoption of DL approaches are motivated by the inability of traditional models to effectively utilizes large, diverse datasets and capture multifaceted spatiotemporal relationships.</w:t>
      </w:r>
    </w:p>
    <w:p w14:paraId="7C23B68D" w14:textId="56777EE0" w:rsidR="009F0E76" w:rsidRDefault="009F0E76">
      <w:pPr>
        <w:pStyle w:val="Heading3"/>
        <w:numPr>
          <w:ilvl w:val="2"/>
          <w:numId w:val="3"/>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1FFA7726" w:rsidR="00305371" w:rsidRDefault="00AB03E8" w:rsidP="00AB03E8">
      <w:pPr>
        <w:ind w:firstLine="720"/>
      </w:pPr>
      <w:r>
        <w:t>The limitations of traditional models mentioned in Chapter 2.3.1 have urged the implementation of DL approaches. DL models excel at learning complex, non-linear patterns from large, multi-source datasets. Thus, they are well-suited for spatiotemporal prediction tasks in public transport (Chen et al., 2022; Yin et al., 2022).</w:t>
      </w:r>
    </w:p>
    <w:p w14:paraId="7CFE5C87" w14:textId="6DCDCC68" w:rsidR="00AB03E8" w:rsidRDefault="00AB03E8" w:rsidP="00AB03E8">
      <w:pPr>
        <w:ind w:firstLine="720"/>
        <w:rPr>
          <w:noProof/>
        </w:rPr>
      </w:pPr>
      <w:r>
        <w:t>DL models offer superior capabilities in capturing the complex spatiotemporal dependencies presented in urban transit data. Instances of DL models are convolutional neural networks (CNNs), recurrent neural networks (RNNs), graph convolutional networks (GCNs), and attention-based mechanisms. Firstly, CNNs are widely used to extract spatial correlations from grid-structured data where it treats spatial information</w:t>
      </w:r>
      <w:r w:rsidR="00A401F1">
        <w:t xml:space="preserve"> </w:t>
      </w:r>
      <w:proofErr w:type="gramStart"/>
      <w:r w:rsidR="00A401F1">
        <w:t>similar to</w:t>
      </w:r>
      <w:proofErr w:type="gramEnd"/>
      <w:r>
        <w:t xml:space="preserve"> images (Yin et al., 2022).</w:t>
      </w:r>
      <w:r w:rsidR="00A401F1">
        <w:t xml:space="preserve"> For example, </w:t>
      </w:r>
      <w:r w:rsidR="00A401F1">
        <w:rPr>
          <w:noProof/>
        </w:rPr>
        <w:t xml:space="preserve">Jiang et al. (2021) categorize grid-based models like ST-ResNet that leverages CNNs for taxi in-out flow prediction. Secondly, RNNs and their variants, which is LSTM and Gated Recurrent Units (GRUs) are the core for modeling temporal dependencies in sequential data (Yin et al., 2022). Using LSTMs as a DL approach </w:t>
      </w:r>
      <w:r w:rsidR="004D051D">
        <w:rPr>
          <w:noProof/>
        </w:rPr>
        <w:t xml:space="preserve">is capable of integrating multiple data sources to capture </w:t>
      </w:r>
      <w:r w:rsidR="00597392">
        <w:rPr>
          <w:noProof/>
        </w:rPr>
        <w:t>spatiotemporal</w:t>
      </w:r>
      <w:r w:rsidR="004D051D">
        <w:rPr>
          <w:noProof/>
        </w:rPr>
        <w:t xml:space="preserve"> relationships.</w:t>
      </w:r>
      <w:r w:rsidR="00BB3E3C">
        <w:rPr>
          <w:noProof/>
        </w:rPr>
        <w:t xml:space="preserve"> Thirdly</w:t>
      </w:r>
      <w:r w:rsidR="00E3550F">
        <w:rPr>
          <w:noProof/>
        </w:rPr>
        <w:t xml:space="preserve">, GCNs extend convolutional </w:t>
      </w:r>
      <w:r w:rsidR="00E3550F">
        <w:rPr>
          <w:noProof/>
        </w:rPr>
        <w:lastRenderedPageBreak/>
        <w:t>operations to more general graph-structured data</w:t>
      </w:r>
      <w:r w:rsidR="003B411E">
        <w:rPr>
          <w:noProof/>
        </w:rPr>
        <w:t>. It is ideal for representing road networks and transit systems where connections between nodes (e.g., stations, stops) are important (Yin et al., 2022). A list of graph-based models like STGCN, ASTGCN, and diffusion convolutional recurrent neural network (DCRNN) are proposed by Jiang et al. (2021) for traffic volume and speed prediction. Wang et al. (2024) continues to explore graph neural networks (GNNs) for urban rail transit origin-destination prediction to demostrate their effectiveness in modeling complex network structures.</w:t>
      </w:r>
      <w:r w:rsidR="009D2E86">
        <w:rPr>
          <w:noProof/>
        </w:rPr>
        <w:t xml:space="preserve"> Last but not least, attention mechanisms have been integrated into DL architectures to dynamically weigh the significance of </w:t>
      </w:r>
      <w:r w:rsidR="00597392">
        <w:rPr>
          <w:noProof/>
        </w:rPr>
        <w:t>spatiotemporal</w:t>
      </w:r>
      <w:r w:rsidR="009D2E86">
        <w:rPr>
          <w:noProof/>
        </w:rPr>
        <w:t xml:space="preserve"> inputs thus enhancing its prediction accuracy (Vaswani, et al., 2017; S.K.B et al., 2024). Consequently, hybrid models where LSTM combined with attention mechanisms like TPA-LSTM are noted for their ability to capture long-range dependencies (Jiang et al., 2021; Zhou et al., 2024).</w:t>
      </w:r>
    </w:p>
    <w:p w14:paraId="073AF765" w14:textId="21057D08" w:rsidR="009D2E86" w:rsidRPr="00305371" w:rsidRDefault="0040009C" w:rsidP="00AB03E8">
      <w:pPr>
        <w:ind w:firstLine="720"/>
      </w:pPr>
      <w:r>
        <w:rPr>
          <w:noProof/>
        </w:rPr>
        <w:t xml:space="preserve">These DL architectures directly address the shortcomings of traditional models where it learns the hierarchical features. This reduces the need for manual heavy feature engineering as DL models automatically extracts relevant features from raw data. DL is best at handling complex non-linear relationships between diverse spatiotemporal factors that influence transit ridership. Moreover, Chen et al. (2022) also agreed that DL architectures can integrate both structured data (e.g., GTFS) and unstructured data (e.g., weather, POIs) effectively to build more comprehensive predictive models. For instance, the GeoSpatial-Temporal LSTM (GT-LSTM) as proposed by S.K.B et al. (2024) framework combines temporal dependencies with geographic information through a multi-modal approach. </w:t>
      </w:r>
      <w:r w:rsidRPr="00337704">
        <w:rPr>
          <w:noProof/>
        </w:rPr>
        <w:t>The result they achieved is GT-LSTM shown a notable improvements (</w:t>
      </w:r>
      <w:r w:rsidRPr="00337704">
        <w:rPr>
          <w:b/>
          <w:bCs/>
          <w:noProof/>
        </w:rPr>
        <w:t>15%</w:t>
      </w:r>
      <w:r w:rsidRPr="00337704">
        <w:rPr>
          <w:noProof/>
        </w:rPr>
        <w:t xml:space="preserve"> reductions in </w:t>
      </w:r>
      <w:r w:rsidR="00AD5ADB" w:rsidRPr="00337704">
        <w:rPr>
          <w:b/>
          <w:bCs/>
          <w:noProof/>
        </w:rPr>
        <w:t>MAPE</w:t>
      </w:r>
      <w:r w:rsidR="00AD5ADB" w:rsidRPr="00337704">
        <w:rPr>
          <w:noProof/>
        </w:rPr>
        <w:t xml:space="preserve"> and </w:t>
      </w:r>
      <w:r w:rsidR="00AD5ADB" w:rsidRPr="00337704">
        <w:rPr>
          <w:b/>
          <w:bCs/>
          <w:noProof/>
        </w:rPr>
        <w:t>20%</w:t>
      </w:r>
      <w:r w:rsidR="00AD5ADB" w:rsidRPr="00337704">
        <w:rPr>
          <w:noProof/>
        </w:rPr>
        <w:t xml:space="preserve"> in </w:t>
      </w:r>
      <w:r w:rsidR="00AD5ADB" w:rsidRPr="00337704">
        <w:rPr>
          <w:b/>
          <w:bCs/>
          <w:noProof/>
        </w:rPr>
        <w:t>RMSE</w:t>
      </w:r>
      <w:r w:rsidR="00AD5ADB" w:rsidRPr="00337704">
        <w:rPr>
          <w:noProof/>
        </w:rPr>
        <w:t>)</w:t>
      </w:r>
      <w:r w:rsidRPr="00337704">
        <w:rPr>
          <w:noProof/>
        </w:rPr>
        <w:t xml:space="preserve"> over traditional methods and other DL baselines like ConvLSTM and GCN.</w:t>
      </w:r>
      <w:r w:rsidR="00063F69">
        <w:rPr>
          <w:noProof/>
        </w:rPr>
        <w:t xml:space="preserve"> The successful application of these h</w:t>
      </w:r>
      <w:r w:rsidR="00063F69" w:rsidRPr="00063F69">
        <w:rPr>
          <w:noProof/>
        </w:rPr>
        <w:t>eterogeneous</w:t>
      </w:r>
      <w:r w:rsidR="00063F69">
        <w:rPr>
          <w:noProof/>
        </w:rPr>
        <w:t xml:space="preserve"> DL approaches requires a thorough methodologies for evaluating and benchmarking their performance against each other and against traditional models.</w:t>
      </w:r>
    </w:p>
    <w:p w14:paraId="55912C4C" w14:textId="0C2575BD" w:rsidR="006E03AB" w:rsidRDefault="006E03AB">
      <w:pPr>
        <w:pStyle w:val="Heading3"/>
        <w:numPr>
          <w:ilvl w:val="2"/>
          <w:numId w:val="3"/>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EE93CCB" w:rsidR="00305371" w:rsidRDefault="003A13C0" w:rsidP="008D7402">
      <w:pPr>
        <w:ind w:firstLine="720"/>
      </w:pPr>
      <w:r>
        <w:t xml:space="preserve">DL models in spatiotemporal transit data prediction </w:t>
      </w:r>
      <w:r w:rsidR="00EC18F1">
        <w:t>are advancing rapidly and requires</w:t>
      </w:r>
      <w:r>
        <w:t xml:space="preserve"> a strict benchmarking methodologies and evaluation metrics. An effective benchmarking provides a standardized framework for model validation, consistently, regardless of the model architecture used during comparison.</w:t>
      </w:r>
      <w:r w:rsidR="00EC18F1">
        <w:t xml:space="preserve"> Having a fixed standardization, only then all DL models can be fairly compared to ensure the reliability and generalizability of their predictions. Furthermore, it can also be used to identify the most optimal strategy for each distinct and specific transit prediction challenges.</w:t>
      </w:r>
    </w:p>
    <w:p w14:paraId="0D5A4877" w14:textId="2918A9D3" w:rsidR="00FB71D0" w:rsidRDefault="00052656" w:rsidP="008D7402">
      <w:pPr>
        <w:ind w:firstLine="720"/>
        <w:rPr>
          <w:noProof/>
        </w:rPr>
      </w:pPr>
      <w:r>
        <w:lastRenderedPageBreak/>
        <w:t>A set of established evaluation metrics</w:t>
      </w:r>
      <w:r w:rsidR="007B4D3D">
        <w:t xml:space="preserve"> is needed to quantify the accuracy, consistency, and error of transit prediction models so that meaningful comparisons across diverse architectures can be equally analysed. Jiang et al. (2021) consistently use MAE, RMSE, and MAPE as their primary metrics for evaluating grid-based, graph-based and multivariate time-series models for urban traffic predictions in their DL-Traff survey with a slight mention of accuracy and R</w:t>
      </w:r>
      <w:r w:rsidR="007B4D3D">
        <w:rPr>
          <w:vertAlign w:val="superscript"/>
        </w:rPr>
        <w:t>2</w:t>
      </w:r>
      <w:r w:rsidR="007B4D3D">
        <w:t xml:space="preserve"> for some models.</w:t>
      </w:r>
      <w:r w:rsidR="00A24D64">
        <w:t xml:space="preserve"> S.K.B et al. (2024) also reported their GT-LSTM model improved in terms of MAPE and RMSE compared to traditional methods, </w:t>
      </w:r>
      <w:proofErr w:type="spellStart"/>
      <w:r w:rsidR="00A24D64">
        <w:t>ConvLSTM</w:t>
      </w:r>
      <w:proofErr w:type="spellEnd"/>
      <w:r w:rsidR="00A24D64">
        <w:t xml:space="preserve"> and GCN baselines. </w:t>
      </w:r>
      <w:r w:rsidR="00E47898">
        <w:rPr>
          <w:noProof/>
        </w:rPr>
        <w:t>Mystakidis et al. (2025) discuss both relative and absolute evaluation metrics in their paper about traffic congestion prediction, emphasizing on the imporatnce of these metrics for comparing SOTA results on benchmark datasets.</w:t>
      </w:r>
    </w:p>
    <w:tbl>
      <w:tblPr>
        <w:tblStyle w:val="TableGrid"/>
        <w:tblW w:w="0" w:type="auto"/>
        <w:tblLook w:val="04A0" w:firstRow="1" w:lastRow="0" w:firstColumn="1" w:lastColumn="0" w:noHBand="0" w:noVBand="1"/>
      </w:tblPr>
      <w:tblGrid>
        <w:gridCol w:w="1838"/>
        <w:gridCol w:w="7178"/>
      </w:tblGrid>
      <w:tr w:rsidR="00AB28DE" w14:paraId="71C58F2E" w14:textId="77777777" w:rsidTr="00771C1B">
        <w:tc>
          <w:tcPr>
            <w:tcW w:w="1838" w:type="dxa"/>
            <w:shd w:val="clear" w:color="auto" w:fill="C1E4F5" w:themeFill="accent1" w:themeFillTint="33"/>
          </w:tcPr>
          <w:p w14:paraId="1EF50883" w14:textId="289245BF" w:rsidR="00AB28DE" w:rsidRPr="00AB28DE" w:rsidRDefault="00AB28DE" w:rsidP="00AB28DE">
            <w:pPr>
              <w:rPr>
                <w:b/>
                <w:bCs/>
                <w:noProof/>
              </w:rPr>
            </w:pPr>
            <w:r>
              <w:rPr>
                <w:b/>
                <w:bCs/>
                <w:noProof/>
              </w:rPr>
              <w:t>Metric</w:t>
            </w:r>
          </w:p>
        </w:tc>
        <w:tc>
          <w:tcPr>
            <w:tcW w:w="7178" w:type="dxa"/>
            <w:shd w:val="clear" w:color="auto" w:fill="C1E4F5" w:themeFill="accent1" w:themeFillTint="33"/>
          </w:tcPr>
          <w:p w14:paraId="39544AC7" w14:textId="77D6789B" w:rsidR="00AB28DE" w:rsidRPr="00AB28DE" w:rsidRDefault="00AB28DE" w:rsidP="00AB28DE">
            <w:pPr>
              <w:rPr>
                <w:b/>
                <w:bCs/>
                <w:noProof/>
              </w:rPr>
            </w:pPr>
            <w:r>
              <w:rPr>
                <w:b/>
                <w:bCs/>
                <w:noProof/>
              </w:rPr>
              <w:t>Focus</w:t>
            </w:r>
          </w:p>
        </w:tc>
      </w:tr>
      <w:tr w:rsidR="00AB28DE" w14:paraId="5245F51A" w14:textId="77777777" w:rsidTr="00771C1B">
        <w:tc>
          <w:tcPr>
            <w:tcW w:w="1838" w:type="dxa"/>
            <w:shd w:val="clear" w:color="auto" w:fill="F2F2F2" w:themeFill="background1" w:themeFillShade="F2"/>
          </w:tcPr>
          <w:p w14:paraId="4312BE37" w14:textId="5E2A83ED" w:rsidR="00AB28DE" w:rsidRPr="00AB28DE" w:rsidRDefault="00AB28DE" w:rsidP="00AB28DE">
            <w:pPr>
              <w:rPr>
                <w:b/>
                <w:bCs/>
                <w:noProof/>
              </w:rPr>
            </w:pPr>
            <w:r>
              <w:rPr>
                <w:b/>
                <w:bCs/>
                <w:noProof/>
              </w:rPr>
              <w:t>MAE</w:t>
            </w:r>
          </w:p>
        </w:tc>
        <w:tc>
          <w:tcPr>
            <w:tcW w:w="7178" w:type="dxa"/>
          </w:tcPr>
          <w:p w14:paraId="41180A0A" w14:textId="79F477D7" w:rsidR="00AB28DE" w:rsidRDefault="00046786" w:rsidP="00AB28DE">
            <w:pPr>
              <w:rPr>
                <w:noProof/>
              </w:rPr>
            </w:pPr>
            <w:r>
              <w:rPr>
                <w:noProof/>
              </w:rPr>
              <w:t>Treats all errors equally and highly robust to outliers</w:t>
            </w:r>
          </w:p>
        </w:tc>
      </w:tr>
      <w:tr w:rsidR="00AB28DE" w14:paraId="76660BBA" w14:textId="77777777" w:rsidTr="00771C1B">
        <w:tc>
          <w:tcPr>
            <w:tcW w:w="1838" w:type="dxa"/>
            <w:shd w:val="clear" w:color="auto" w:fill="F2F2F2" w:themeFill="background1" w:themeFillShade="F2"/>
          </w:tcPr>
          <w:p w14:paraId="60D8CD9F" w14:textId="55192DAB" w:rsidR="00AB28DE" w:rsidRPr="00AB28DE" w:rsidRDefault="00AB28DE" w:rsidP="00AB28DE">
            <w:pPr>
              <w:rPr>
                <w:b/>
                <w:bCs/>
                <w:noProof/>
              </w:rPr>
            </w:pPr>
            <w:r>
              <w:rPr>
                <w:b/>
                <w:bCs/>
                <w:noProof/>
              </w:rPr>
              <w:t>RMSE</w:t>
            </w:r>
          </w:p>
        </w:tc>
        <w:tc>
          <w:tcPr>
            <w:tcW w:w="7178" w:type="dxa"/>
          </w:tcPr>
          <w:p w14:paraId="78552B2B" w14:textId="0D03F066" w:rsidR="00AB28DE" w:rsidRDefault="00046786" w:rsidP="00AB28DE">
            <w:pPr>
              <w:rPr>
                <w:noProof/>
              </w:rPr>
            </w:pPr>
            <w:r>
              <w:rPr>
                <w:noProof/>
              </w:rPr>
              <w:t>Heavily penalized large erro</w:t>
            </w:r>
            <w:r w:rsidR="00771C1B">
              <w:rPr>
                <w:noProof/>
              </w:rPr>
              <w:t>r</w:t>
            </w:r>
            <w:r>
              <w:rPr>
                <w:noProof/>
              </w:rPr>
              <w:t xml:space="preserve">s and </w:t>
            </w:r>
            <w:r w:rsidR="00771C1B">
              <w:rPr>
                <w:noProof/>
              </w:rPr>
              <w:t xml:space="preserve">sensitive to </w:t>
            </w:r>
            <w:r>
              <w:rPr>
                <w:noProof/>
              </w:rPr>
              <w:t>outliers</w:t>
            </w:r>
          </w:p>
        </w:tc>
      </w:tr>
      <w:tr w:rsidR="00AB28DE" w14:paraId="333D63B2" w14:textId="77777777" w:rsidTr="00771C1B">
        <w:tc>
          <w:tcPr>
            <w:tcW w:w="1838" w:type="dxa"/>
            <w:shd w:val="clear" w:color="auto" w:fill="F2F2F2" w:themeFill="background1" w:themeFillShade="F2"/>
          </w:tcPr>
          <w:p w14:paraId="43DCC932" w14:textId="067D7E56" w:rsidR="00AB28DE" w:rsidRPr="00AB28DE" w:rsidRDefault="00AB28DE" w:rsidP="00AB28DE">
            <w:pPr>
              <w:rPr>
                <w:b/>
                <w:bCs/>
                <w:noProof/>
              </w:rPr>
            </w:pPr>
            <w:r>
              <w:rPr>
                <w:b/>
                <w:bCs/>
                <w:noProof/>
              </w:rPr>
              <w:t>MAPE</w:t>
            </w:r>
          </w:p>
        </w:tc>
        <w:tc>
          <w:tcPr>
            <w:tcW w:w="7178" w:type="dxa"/>
          </w:tcPr>
          <w:p w14:paraId="081F48ED" w14:textId="31069098" w:rsidR="00AB28DE" w:rsidRDefault="00771C1B" w:rsidP="00AB28DE">
            <w:pPr>
              <w:rPr>
                <w:noProof/>
              </w:rPr>
            </w:pPr>
            <w:r>
              <w:rPr>
                <w:noProof/>
              </w:rPr>
              <w:t>Measures e</w:t>
            </w:r>
            <w:r w:rsidR="00046786">
              <w:rPr>
                <w:noProof/>
              </w:rPr>
              <w:t>rror relative to actual values</w:t>
            </w:r>
            <w:r>
              <w:rPr>
                <w:noProof/>
              </w:rPr>
              <w:t>, easy to understand</w:t>
            </w:r>
          </w:p>
        </w:tc>
      </w:tr>
      <w:tr w:rsidR="00AB28DE" w14:paraId="28992CA0" w14:textId="77777777" w:rsidTr="00771C1B">
        <w:tc>
          <w:tcPr>
            <w:tcW w:w="1838" w:type="dxa"/>
            <w:shd w:val="clear" w:color="auto" w:fill="F2F2F2" w:themeFill="background1" w:themeFillShade="F2"/>
          </w:tcPr>
          <w:p w14:paraId="552674F6" w14:textId="7F967867" w:rsidR="00AB28DE" w:rsidRPr="00AB28DE" w:rsidRDefault="00AB28DE" w:rsidP="00AB28DE">
            <w:pPr>
              <w:rPr>
                <w:b/>
                <w:bCs/>
                <w:noProof/>
                <w:vertAlign w:val="superscript"/>
              </w:rPr>
            </w:pPr>
            <w:r>
              <w:rPr>
                <w:b/>
                <w:bCs/>
                <w:noProof/>
              </w:rPr>
              <w:t>R</w:t>
            </w:r>
            <w:r>
              <w:rPr>
                <w:b/>
                <w:bCs/>
                <w:noProof/>
                <w:vertAlign w:val="superscript"/>
              </w:rPr>
              <w:t>2</w:t>
            </w:r>
          </w:p>
        </w:tc>
        <w:tc>
          <w:tcPr>
            <w:tcW w:w="7178" w:type="dxa"/>
          </w:tcPr>
          <w:p w14:paraId="3F61DE47" w14:textId="2C9F1CEC" w:rsidR="00AB28DE" w:rsidRDefault="00046786" w:rsidP="00AB28DE">
            <w:pPr>
              <w:rPr>
                <w:noProof/>
              </w:rPr>
            </w:pPr>
            <w:r>
              <w:rPr>
                <w:noProof/>
              </w:rPr>
              <w:t>Explanatory power</w:t>
            </w:r>
            <w:r w:rsidR="00771C1B">
              <w:rPr>
                <w:noProof/>
              </w:rPr>
              <w:t>, how well model predict based on given data</w:t>
            </w:r>
          </w:p>
        </w:tc>
      </w:tr>
    </w:tbl>
    <w:p w14:paraId="273019A6" w14:textId="05A0F94C" w:rsidR="00AB28DE" w:rsidRPr="00771C1B" w:rsidRDefault="00771C1B" w:rsidP="00771C1B">
      <w:pPr>
        <w:pStyle w:val="Caption"/>
        <w:spacing w:before="240"/>
        <w:jc w:val="center"/>
        <w:rPr>
          <w:noProof/>
          <w:color w:val="000000" w:themeColor="text1"/>
          <w:sz w:val="24"/>
          <w:szCs w:val="24"/>
        </w:rPr>
      </w:pPr>
      <w:r w:rsidRPr="00771C1B">
        <w:rPr>
          <w:color w:val="000000" w:themeColor="text1"/>
          <w:sz w:val="24"/>
          <w:szCs w:val="24"/>
        </w:rPr>
        <w:t xml:space="preserve">Table </w:t>
      </w:r>
      <w:r w:rsidRPr="00771C1B">
        <w:rPr>
          <w:color w:val="000000" w:themeColor="text1"/>
          <w:sz w:val="24"/>
          <w:szCs w:val="24"/>
        </w:rPr>
        <w:fldChar w:fldCharType="begin"/>
      </w:r>
      <w:r w:rsidRPr="00771C1B">
        <w:rPr>
          <w:color w:val="000000" w:themeColor="text1"/>
          <w:sz w:val="24"/>
          <w:szCs w:val="24"/>
        </w:rPr>
        <w:instrText xml:space="preserve"> SEQ Table \* ARABIC </w:instrText>
      </w:r>
      <w:r w:rsidRPr="00771C1B">
        <w:rPr>
          <w:color w:val="000000" w:themeColor="text1"/>
          <w:sz w:val="24"/>
          <w:szCs w:val="24"/>
        </w:rPr>
        <w:fldChar w:fldCharType="separate"/>
      </w:r>
      <w:r w:rsidR="0050272D">
        <w:rPr>
          <w:noProof/>
          <w:color w:val="000000" w:themeColor="text1"/>
          <w:sz w:val="24"/>
          <w:szCs w:val="24"/>
        </w:rPr>
        <w:t>5</w:t>
      </w:r>
      <w:r w:rsidRPr="00771C1B">
        <w:rPr>
          <w:color w:val="000000" w:themeColor="text1"/>
          <w:sz w:val="24"/>
          <w:szCs w:val="24"/>
        </w:rPr>
        <w:fldChar w:fldCharType="end"/>
      </w:r>
      <w:r w:rsidRPr="00771C1B">
        <w:rPr>
          <w:color w:val="000000" w:themeColor="text1"/>
          <w:sz w:val="24"/>
          <w:szCs w:val="24"/>
        </w:rPr>
        <w:t xml:space="preserve">: </w:t>
      </w:r>
      <w:r>
        <w:rPr>
          <w:color w:val="000000" w:themeColor="text1"/>
          <w:sz w:val="24"/>
          <w:szCs w:val="24"/>
        </w:rPr>
        <w:t>Common e</w:t>
      </w:r>
      <w:r w:rsidRPr="00771C1B">
        <w:rPr>
          <w:color w:val="000000" w:themeColor="text1"/>
          <w:sz w:val="24"/>
          <w:szCs w:val="24"/>
        </w:rPr>
        <w:t xml:space="preserve">valuation metrics and its focus integrated by Jiang et al. (2021), S.K.B et al. (2024), and </w:t>
      </w:r>
      <w:proofErr w:type="spellStart"/>
      <w:r w:rsidR="000358F7" w:rsidRPr="000358F7">
        <w:rPr>
          <w:color w:val="000000" w:themeColor="text1"/>
          <w:sz w:val="24"/>
          <w:szCs w:val="24"/>
        </w:rPr>
        <w:t>Mystakidis</w:t>
      </w:r>
      <w:proofErr w:type="spellEnd"/>
      <w:r w:rsidR="000358F7" w:rsidRPr="000358F7">
        <w:rPr>
          <w:color w:val="000000" w:themeColor="text1"/>
          <w:sz w:val="24"/>
          <w:szCs w:val="24"/>
        </w:rPr>
        <w:t xml:space="preserve"> </w:t>
      </w:r>
      <w:r w:rsidRPr="00771C1B">
        <w:rPr>
          <w:color w:val="000000" w:themeColor="text1"/>
          <w:sz w:val="24"/>
          <w:szCs w:val="24"/>
        </w:rPr>
        <w:t>et al. (2025) in their studies.</w:t>
      </w:r>
    </w:p>
    <w:p w14:paraId="6574D1D4" w14:textId="70E8E37D" w:rsidR="00AB28DE" w:rsidRDefault="00FE69DE" w:rsidP="002C61C6">
      <w:pPr>
        <w:ind w:firstLine="720"/>
        <w:rPr>
          <w:noProof/>
        </w:rPr>
      </w:pPr>
      <w:r>
        <w:rPr>
          <w:noProof/>
        </w:rPr>
        <w:t>The selection of appropriate evaluation metrics is important to create a holistic assessment of model performance. Benchmarking often involves: (1) directly comparing the performance of a proposed model against established baselines (e.g., ARIMA) and SOTA DL models (e.g., LSTM, GCN, Transformer-based models) on same dataset</w:t>
      </w:r>
      <w:r w:rsidR="00DD72F4">
        <w:rPr>
          <w:noProof/>
        </w:rPr>
        <w:t>, this is known as comparative analysis; (2) evaluating model performance under various conditions like different time horizones, data densities, presence of anomalies (e.g., MCO period) etc, this is known as sensitivity analysis; lastly, (3) assessing how well models univeralise to unseen or different geographical context, this is known as robustness testing or generalisation</w:t>
      </w:r>
      <w:r w:rsidR="003E0584">
        <w:rPr>
          <w:noProof/>
        </w:rPr>
        <w:t>.</w:t>
      </w:r>
      <w:r w:rsidR="000358F7">
        <w:rPr>
          <w:noProof/>
        </w:rPr>
        <w:t xml:space="preserve"> </w:t>
      </w:r>
      <w:r w:rsidR="002C61C6">
        <w:rPr>
          <w:noProof/>
        </w:rPr>
        <w:t>For a precision comparison between different DL models, consistent use of these metrics is imperative, so that all advantages and limitations associated with each model can be considered. It is critical to incorporate proper benchmarking techniques and metrics in DL model development because of its ability to provide accuracy in the prediction process. This is also important to validate and improve forecasting accuracy for real-world public transit.</w:t>
      </w:r>
    </w:p>
    <w:p w14:paraId="590445BB" w14:textId="4D9EDBCB" w:rsidR="006E03AB" w:rsidRDefault="00703936">
      <w:pPr>
        <w:pStyle w:val="Heading2"/>
        <w:numPr>
          <w:ilvl w:val="1"/>
          <w:numId w:val="3"/>
        </w:numPr>
        <w:rPr>
          <w:b/>
          <w:bCs/>
          <w:sz w:val="24"/>
          <w:szCs w:val="24"/>
          <w:u w:val="single"/>
        </w:rPr>
      </w:pPr>
      <w:bookmarkStart w:id="22" w:name="_Toc230901618"/>
      <w:r w:rsidRPr="00C7720B">
        <w:rPr>
          <w:b/>
          <w:bCs/>
          <w:sz w:val="24"/>
          <w:szCs w:val="24"/>
          <w:u w:val="single"/>
        </w:rPr>
        <w:lastRenderedPageBreak/>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643B76E1" w:rsidR="00305371" w:rsidRPr="00305371" w:rsidRDefault="00B01FC7" w:rsidP="00B01FC7">
      <w:pPr>
        <w:ind w:firstLine="720"/>
      </w:pPr>
      <w:r>
        <w:t xml:space="preserve">Public transport systems are being fundamentally </w:t>
      </w:r>
      <w:r w:rsidRPr="00B01FC7">
        <w:t xml:space="preserve">revolutionized </w:t>
      </w:r>
      <w:r>
        <w:t xml:space="preserve">by AI with its ability to enhance operational strategies and fostering sustainability. Urban mobility transformation is pivotal as mentioned by </w:t>
      </w:r>
      <w:r>
        <w:rPr>
          <w:noProof/>
        </w:rPr>
        <w:t>Son et al. (2025)</w:t>
      </w:r>
      <w:r w:rsidR="00CE1625">
        <w:rPr>
          <w:noProof/>
        </w:rPr>
        <w:t xml:space="preserve"> because of the urgent need to reduce environmental impact</w:t>
      </w:r>
      <w:r w:rsidR="0099646F">
        <w:rPr>
          <w:noProof/>
        </w:rPr>
        <w:t xml:space="preserve"> from increasing urbanization and congestion worldwide. Jevinger et al. (2024) claims that public transport systems are evolving into an efficient, reliable, and environmentally friendly services, thanks to AI’s capabilities in data analysis, prediction, and optimization. Another study from Gheorghe &amp; Soica (2025)</w:t>
      </w:r>
      <w:r w:rsidR="00664D12">
        <w:rPr>
          <w:noProof/>
        </w:rPr>
        <w:t xml:space="preserve"> claims that real-time decision-making is enabled by the integration of AI integrated in technologies like Internet of Things (IoT) and predicitve analytics. It has paved the way for a smarter and more sustainable urban transportation solutions in terms of efficiency and safety. Furthermore, data science methods are instrumental in optimizing public transport networks and services which Keller et al. (2022) supports it has contributed to the overarching goal of sustainable urban mobility.</w:t>
      </w:r>
    </w:p>
    <w:p w14:paraId="04F54AFF" w14:textId="16DBB2A0" w:rsidR="009F0E76" w:rsidRDefault="009F0E76">
      <w:pPr>
        <w:pStyle w:val="Heading3"/>
        <w:numPr>
          <w:ilvl w:val="2"/>
          <w:numId w:val="3"/>
        </w:numPr>
        <w:rPr>
          <w:b/>
          <w:bCs/>
          <w:sz w:val="24"/>
          <w:szCs w:val="24"/>
          <w:u w:val="single"/>
        </w:rPr>
      </w:pPr>
      <w:bookmarkStart w:id="23" w:name="_Toc230901619"/>
      <w:r>
        <w:rPr>
          <w:b/>
          <w:bCs/>
          <w:sz w:val="24"/>
          <w:szCs w:val="24"/>
          <w:u w:val="single"/>
        </w:rPr>
        <w:t>Proactive Scheduling and Resource Allocation</w:t>
      </w:r>
      <w:bookmarkEnd w:id="23"/>
    </w:p>
    <w:p w14:paraId="60703680" w14:textId="26A9511B" w:rsidR="00305371" w:rsidRPr="00305371" w:rsidRDefault="00E5304F" w:rsidP="00E5304F">
      <w:pPr>
        <w:ind w:firstLine="720"/>
      </w:pPr>
      <w:r>
        <w:t>Instead of reacting inefficiencies in operational management, AI helps to anticipate it via proactive scheduling and resource allocation in advance, supported by accurate predictions and dynamic adjustments</w:t>
      </w:r>
      <w:r w:rsidR="0050632E">
        <w:t xml:space="preserve"> (</w:t>
      </w:r>
      <w:proofErr w:type="spellStart"/>
      <w:r>
        <w:t>Jevinger</w:t>
      </w:r>
      <w:proofErr w:type="spellEnd"/>
      <w:r>
        <w:t xml:space="preserve"> et al.</w:t>
      </w:r>
      <w:r w:rsidR="0050632E">
        <w:t>,</w:t>
      </w:r>
      <w:r>
        <w:t xml:space="preserve"> 2024). For example, </w:t>
      </w:r>
      <w:r>
        <w:rPr>
          <w:noProof/>
        </w:rPr>
        <w:t>Sobrie et al. (2023) demonstrates</w:t>
      </w:r>
      <w:r w:rsidR="0050632E">
        <w:rPr>
          <w:noProof/>
        </w:rPr>
        <w:t>, in their empirical study,</w:t>
      </w:r>
      <w:r>
        <w:rPr>
          <w:noProof/>
        </w:rPr>
        <w:t xml:space="preserve"> that </w:t>
      </w:r>
      <w:r w:rsidR="0050632E">
        <w:rPr>
          <w:noProof/>
        </w:rPr>
        <w:t>LSTM encoder-decoder model outperform traditional rule-based systems in real-time delay prediction by 18%, increasing to 23% for more complex scenarios. This shows AI’s capacity to improve operational efficiency and provide robust decision support in highly interdependent transit environments.</w:t>
      </w:r>
      <w:r w:rsidR="00091FA6">
        <w:rPr>
          <w:noProof/>
        </w:rPr>
        <w:t xml:space="preserve"> Son et al. (2025) suggests that proactive congestion management and the development multimodal transportation planning strategies can also be guided by AI-driven decision support systems. </w:t>
      </w:r>
      <w:r w:rsidR="00443E31">
        <w:rPr>
          <w:noProof/>
        </w:rPr>
        <w:t>The above claim may be validate by citing the AI-powered tools being used to optimize bus schedules, considering operational efficiency, better resource allocation, and making more informed decisions in transport management as stated by Levner (2025) and CCS Global Tech (2026). Through this, transportation agencies can make dynamic changes to service intervals while allocating resources in an optimal way. With that said, this approach will greatly increase the reliability of public transport and passenger satisfaction due to the AI’s abilit</w:t>
      </w:r>
      <w:r w:rsidR="009467A5">
        <w:rPr>
          <w:noProof/>
        </w:rPr>
        <w:t>ies</w:t>
      </w:r>
      <w:r w:rsidR="00443E31">
        <w:rPr>
          <w:noProof/>
        </w:rPr>
        <w:t xml:space="preserve"> to anticipate and adapt to changing demands or disruptions.</w:t>
      </w:r>
    </w:p>
    <w:p w14:paraId="37C84E00" w14:textId="6262D795" w:rsidR="00040728" w:rsidRDefault="00040728">
      <w:pPr>
        <w:pStyle w:val="Heading3"/>
        <w:numPr>
          <w:ilvl w:val="2"/>
          <w:numId w:val="3"/>
        </w:numPr>
        <w:rPr>
          <w:b/>
          <w:bCs/>
          <w:sz w:val="24"/>
          <w:szCs w:val="24"/>
          <w:u w:val="single"/>
        </w:rPr>
      </w:pPr>
      <w:bookmarkStart w:id="24" w:name="_Toc230901620"/>
      <w:r w:rsidRPr="00C7720B">
        <w:rPr>
          <w:b/>
          <w:bCs/>
          <w:sz w:val="24"/>
          <w:szCs w:val="24"/>
          <w:u w:val="single"/>
        </w:rPr>
        <w:lastRenderedPageBreak/>
        <w:t>Deployment Challenges</w:t>
      </w:r>
      <w:r w:rsidR="009F0E76">
        <w:rPr>
          <w:b/>
          <w:bCs/>
          <w:sz w:val="24"/>
          <w:szCs w:val="24"/>
          <w:u w:val="single"/>
        </w:rPr>
        <w:t xml:space="preserve"> of AI in Transit Management</w:t>
      </w:r>
      <w:bookmarkEnd w:id="24"/>
    </w:p>
    <w:p w14:paraId="1523B865" w14:textId="1F10CDFC" w:rsidR="00305371" w:rsidRPr="00305371" w:rsidRDefault="00140854" w:rsidP="00507030">
      <w:pPr>
        <w:ind w:firstLine="720"/>
      </w:pPr>
      <w:r>
        <w:t>The implementation of AI in transit management faces several challenges</w:t>
      </w:r>
      <w:r w:rsidR="002940A9">
        <w:t xml:space="preserve"> related to data, infrastructure, and organizational aspects</w:t>
      </w:r>
      <w:r w:rsidR="00981888">
        <w:t xml:space="preserve">, </w:t>
      </w:r>
      <w:proofErr w:type="gramStart"/>
      <w:r w:rsidR="00981888">
        <w:t>in spite of</w:t>
      </w:r>
      <w:proofErr w:type="gramEnd"/>
      <w:r w:rsidR="00981888">
        <w:t xml:space="preserve"> the considerable benefits.</w:t>
      </w:r>
      <w:r w:rsidR="00507030">
        <w:t xml:space="preserve"> It requires a large volume of high-quality data with heavy preprocessing efforts while addressing data privacy concerns (</w:t>
      </w:r>
      <w:proofErr w:type="spellStart"/>
      <w:r w:rsidR="00507030">
        <w:t>Jevinger</w:t>
      </w:r>
      <w:proofErr w:type="spellEnd"/>
      <w:r w:rsidR="00507030">
        <w:t xml:space="preserve"> et al., 2024). Keller et al. (2022) argues that typical problems associated with managing big public transport data and organizational challenges within transit companies are hindering the effective application of data science methods in this domain. On top of that, high implementation costs along with data privacy concerns and stakeholders’ decline to changes impose additional barriers to AI adoption in the broader logistics and transportation sectors</w:t>
      </w:r>
      <w:r w:rsidR="00E44986">
        <w:t xml:space="preserve"> </w:t>
      </w:r>
      <w:r w:rsidR="00E44986">
        <w:rPr>
          <w:noProof/>
        </w:rPr>
        <w:t>(Suwaidi et al., 2022; Hashimzai &amp; Mohammadi, 2024)</w:t>
      </w:r>
      <w:r w:rsidR="00507030">
        <w:t>.</w:t>
      </w:r>
      <w:r w:rsidR="00EA24BE">
        <w:t xml:space="preserve"> The absence of comprehensive information on how to essentially manage data quality and its availability also one of the reasons that impedes widespread AI solution adoption.</w:t>
      </w:r>
      <w:r w:rsidR="003E2283">
        <w:t xml:space="preserve"> Consequently, a concerted effort to address these multifaceted challenges is highly recommended to develop robust data governance frameworks, scalable infrastructure, and promote a culture of innovation and collaboration between software developers and transit operators.</w:t>
      </w:r>
    </w:p>
    <w:p w14:paraId="51B69B89" w14:textId="05A8224A" w:rsidR="00040728" w:rsidRDefault="00040728">
      <w:pPr>
        <w:pStyle w:val="Heading3"/>
        <w:numPr>
          <w:ilvl w:val="2"/>
          <w:numId w:val="3"/>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052B4133" w:rsidR="00305371" w:rsidRDefault="000E0919" w:rsidP="00C27BBC">
      <w:pPr>
        <w:ind w:firstLine="720"/>
        <w:rPr>
          <w:noProof/>
        </w:rPr>
      </w:pPr>
      <w:r>
        <w:t xml:space="preserve">AI plays a major role in fostering sustainable urban mobility and significantly mitigating the environmental impact of transportation. Public transport is introduced as an alternative to private transport and AI are integrated to optimize planning for achieving sustainable mobility goals (Keller et al., 2022). </w:t>
      </w:r>
      <w:r w:rsidR="00C27BBC">
        <w:rPr>
          <w:noProof/>
        </w:rPr>
        <w:t xml:space="preserve">Vujadinovic et al. (2024) mentioned that sustainability through AI-driven approaches in urban public transport can be achieved by improving service regularity and addressing headway deviations. As a result, transit agencies can reduce operational inefficiencies like overtime, emergency repairs, fuel waste, and suboptimal scheduling. </w:t>
      </w:r>
      <w:r w:rsidR="000B16C8">
        <w:rPr>
          <w:noProof/>
        </w:rPr>
        <w:t>All these small changes</w:t>
      </w:r>
      <w:r w:rsidR="00E91B2A">
        <w:rPr>
          <w:noProof/>
        </w:rPr>
        <w:t xml:space="preserve"> will eventually reduce</w:t>
      </w:r>
      <w:r w:rsidR="00C27BBC">
        <w:rPr>
          <w:noProof/>
        </w:rPr>
        <w:t xml:space="preserve"> emissions</w:t>
      </w:r>
      <w:r w:rsidR="00E91B2A">
        <w:rPr>
          <w:noProof/>
        </w:rPr>
        <w:t xml:space="preserve"> rates and improve overall </w:t>
      </w:r>
      <w:r w:rsidR="00C27BBC">
        <w:rPr>
          <w:noProof/>
        </w:rPr>
        <w:t xml:space="preserve">air quality, </w:t>
      </w:r>
      <w:r w:rsidR="000B16C8">
        <w:rPr>
          <w:noProof/>
        </w:rPr>
        <w:t>hence</w:t>
      </w:r>
      <w:r w:rsidR="00C27BBC">
        <w:rPr>
          <w:noProof/>
        </w:rPr>
        <w:t xml:space="preserve"> a healthier urban environment (CSS Global Tech, 2026). </w:t>
      </w:r>
      <w:r w:rsidR="0032444B">
        <w:rPr>
          <w:noProof/>
        </w:rPr>
        <w:t>Other than efficiency in transport networks by employing AI technology, other aspects like energy and waste disposal can also be enhanced to provide a better quality of life to the citizens and advancing urban sustainability goals.</w:t>
      </w:r>
    </w:p>
    <w:p w14:paraId="42E0B32B" w14:textId="3757CC01" w:rsidR="003D3D0C" w:rsidRDefault="003D3D0C" w:rsidP="003D3D0C">
      <w:r>
        <w:rPr>
          <w:noProof/>
        </w:rPr>
        <w:lastRenderedPageBreak/>
        <w:drawing>
          <wp:inline distT="0" distB="0" distL="0" distR="0" wp14:anchorId="55D5E98C" wp14:editId="3AFE0737">
            <wp:extent cx="5732145" cy="4191000"/>
            <wp:effectExtent l="19050" t="19050" r="20955" b="19050"/>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2145" cy="4191000"/>
                    </a:xfrm>
                    <a:prstGeom prst="rect">
                      <a:avLst/>
                    </a:prstGeom>
                    <a:noFill/>
                    <a:ln>
                      <a:solidFill>
                        <a:schemeClr val="tx1"/>
                      </a:solidFill>
                    </a:ln>
                  </pic:spPr>
                </pic:pic>
              </a:graphicData>
            </a:graphic>
          </wp:inline>
        </w:drawing>
      </w:r>
    </w:p>
    <w:p w14:paraId="794A9FD8" w14:textId="48CAEF4C" w:rsidR="003D3D0C" w:rsidRPr="003D3D0C" w:rsidRDefault="003D3D0C" w:rsidP="003D3D0C">
      <w:pPr>
        <w:pStyle w:val="Caption"/>
        <w:jc w:val="center"/>
        <w:rPr>
          <w:color w:val="000000" w:themeColor="text1"/>
          <w:sz w:val="24"/>
          <w:szCs w:val="24"/>
        </w:rPr>
      </w:pPr>
      <w:r w:rsidRPr="003D3D0C">
        <w:rPr>
          <w:color w:val="000000" w:themeColor="text1"/>
          <w:sz w:val="24"/>
          <w:szCs w:val="24"/>
        </w:rPr>
        <w:t xml:space="preserve">Figure </w:t>
      </w:r>
      <w:r w:rsidRPr="003D3D0C">
        <w:rPr>
          <w:color w:val="000000" w:themeColor="text1"/>
          <w:sz w:val="24"/>
          <w:szCs w:val="24"/>
        </w:rPr>
        <w:fldChar w:fldCharType="begin"/>
      </w:r>
      <w:r w:rsidRPr="003D3D0C">
        <w:rPr>
          <w:color w:val="000000" w:themeColor="text1"/>
          <w:sz w:val="24"/>
          <w:szCs w:val="24"/>
        </w:rPr>
        <w:instrText xml:space="preserve"> SEQ Figure \* ARABIC </w:instrText>
      </w:r>
      <w:r w:rsidRPr="003D3D0C">
        <w:rPr>
          <w:color w:val="000000" w:themeColor="text1"/>
          <w:sz w:val="24"/>
          <w:szCs w:val="24"/>
        </w:rPr>
        <w:fldChar w:fldCharType="separate"/>
      </w:r>
      <w:r w:rsidR="009C2312">
        <w:rPr>
          <w:noProof/>
          <w:color w:val="000000" w:themeColor="text1"/>
          <w:sz w:val="24"/>
          <w:szCs w:val="24"/>
        </w:rPr>
        <w:t>2</w:t>
      </w:r>
      <w:r w:rsidRPr="003D3D0C">
        <w:rPr>
          <w:color w:val="000000" w:themeColor="text1"/>
          <w:sz w:val="24"/>
          <w:szCs w:val="24"/>
        </w:rPr>
        <w:fldChar w:fldCharType="end"/>
      </w:r>
      <w:r>
        <w:rPr>
          <w:color w:val="000000" w:themeColor="text1"/>
          <w:sz w:val="24"/>
          <w:szCs w:val="24"/>
        </w:rPr>
        <w:t xml:space="preserve">: A brief cause-and-effect diagram showing if deployment challenges of AI in public transit systems </w:t>
      </w:r>
      <w:r w:rsidR="001D0FAA">
        <w:rPr>
          <w:color w:val="000000" w:themeColor="text1"/>
          <w:sz w:val="24"/>
          <w:szCs w:val="24"/>
        </w:rPr>
        <w:t>are</w:t>
      </w:r>
      <w:r>
        <w:rPr>
          <w:color w:val="000000" w:themeColor="text1"/>
          <w:sz w:val="24"/>
          <w:szCs w:val="24"/>
        </w:rPr>
        <w:t xml:space="preserve"> solved.</w:t>
      </w:r>
    </w:p>
    <w:p w14:paraId="2E79F128" w14:textId="0B3D5C6B" w:rsidR="005E1FED" w:rsidRDefault="005E1FED">
      <w:pPr>
        <w:pStyle w:val="Heading2"/>
        <w:numPr>
          <w:ilvl w:val="1"/>
          <w:numId w:val="3"/>
        </w:numPr>
        <w:rPr>
          <w:b/>
          <w:bCs/>
          <w:sz w:val="24"/>
          <w:szCs w:val="24"/>
          <w:u w:val="single"/>
        </w:rPr>
      </w:pPr>
      <w:bookmarkStart w:id="26" w:name="_Toc230901622"/>
      <w:r w:rsidRPr="00C7720B">
        <w:rPr>
          <w:b/>
          <w:bCs/>
          <w:sz w:val="24"/>
          <w:szCs w:val="24"/>
          <w:u w:val="single"/>
        </w:rPr>
        <w:t>Research Gap</w:t>
      </w:r>
      <w:bookmarkEnd w:id="26"/>
    </w:p>
    <w:p w14:paraId="4E19A22F" w14:textId="786D680E" w:rsidR="00305371" w:rsidRPr="00305371" w:rsidRDefault="00AE01F3" w:rsidP="004038DA">
      <w:pPr>
        <w:ind w:firstLine="720"/>
      </w:pPr>
      <w:r>
        <w:t>The problem of public transport ridership forecasting in Malaysia mainly arises from the inadequacy of hybrid models which incorporate multi-scale spatiotemporal data properties to avoid any biases caused by extreme values such as ridership data collected during MCO period. Branching from this context, although DL techniques have been applied to predict the ridership of both bus and rail networks in existing literatures (Farahmand et al., 2023; Amir et al., 2025), they tend to use standard architectures that cannot address complex interactions in multi-scale time and multi-dimensional space.</w:t>
      </w:r>
      <w:r w:rsidR="007560D5">
        <w:t xml:space="preserve"> Furthermore, Zhao and Lan (2025) highlighted the confounding nature of COVID-19 anomalies, and yet </w:t>
      </w:r>
      <w:r w:rsidR="006B5292">
        <w:t>there is a lack of</w:t>
      </w:r>
      <w:r w:rsidR="007560D5">
        <w:t xml:space="preserve"> empirical research in Malaysia that proof and quantify how such non-typical patterns degrade the performance of existing graph-based and attention-based SOTA models.</w:t>
      </w:r>
      <w:r w:rsidR="002021CF">
        <w:t xml:space="preserve"> Removal of ridership data during MCO period would also </w:t>
      </w:r>
      <w:r w:rsidR="00B804E5">
        <w:t>lead to insufficient data for accurate long-term prediction.</w:t>
      </w:r>
      <w:r w:rsidR="002021CF">
        <w:t xml:space="preserve"> </w:t>
      </w:r>
      <w:r w:rsidR="00401C15">
        <w:t>This absence of comprehensive benchmarking across diverse architecture</w:t>
      </w:r>
      <w:r w:rsidR="002021CF">
        <w:t xml:space="preserve">s leaves a critical void in identifying the most robust predictive systems for Malaysia’s unique urban mobility landscape. As a result, the research aims to address these gaps through the development of the Hybrid </w:t>
      </w:r>
      <w:r w:rsidR="002021CF">
        <w:lastRenderedPageBreak/>
        <w:t>Multi-scale Temporal Spatio-Feature (HMT-TSF) for transitioning Malaysia’s transit management from a reactive to a proactive, data-driven paradigm.</w:t>
      </w:r>
    </w:p>
    <w:p w14:paraId="2C0DBCA4" w14:textId="51D71C71" w:rsidR="00020CC2" w:rsidRPr="0062152E" w:rsidRDefault="00030C66">
      <w:pPr>
        <w:pStyle w:val="Heading1"/>
        <w:numPr>
          <w:ilvl w:val="0"/>
          <w:numId w:val="3"/>
        </w:numPr>
        <w:jc w:val="left"/>
        <w:rPr>
          <w:b/>
          <w:bCs/>
          <w:sz w:val="24"/>
          <w:szCs w:val="24"/>
          <w:u w:val="single"/>
        </w:rPr>
      </w:pPr>
      <w:bookmarkStart w:id="27" w:name="_Toc230901623"/>
      <w:r w:rsidRPr="001D34FB">
        <w:rPr>
          <w:b/>
          <w:bCs/>
          <w:sz w:val="24"/>
          <w:szCs w:val="24"/>
          <w:u w:val="single"/>
        </w:rPr>
        <w:t>Methodology</w:t>
      </w:r>
      <w:bookmarkEnd w:id="27"/>
    </w:p>
    <w:p w14:paraId="681608FA" w14:textId="3909C516" w:rsidR="00096B40" w:rsidRDefault="00040728">
      <w:pPr>
        <w:pStyle w:val="Heading2"/>
        <w:numPr>
          <w:ilvl w:val="1"/>
          <w:numId w:val="3"/>
        </w:numPr>
        <w:rPr>
          <w:b/>
          <w:bCs/>
          <w:sz w:val="24"/>
          <w:szCs w:val="24"/>
          <w:u w:val="single"/>
        </w:rPr>
      </w:pPr>
      <w:bookmarkStart w:id="28" w:name="_Toc230901624"/>
      <w:r w:rsidRPr="00C7720B">
        <w:rPr>
          <w:b/>
          <w:bCs/>
          <w:sz w:val="24"/>
          <w:szCs w:val="24"/>
          <w:u w:val="single"/>
        </w:rPr>
        <w:t>Data Collection</w:t>
      </w:r>
      <w:bookmarkEnd w:id="28"/>
      <w:r w:rsidR="008B2B97">
        <w:rPr>
          <w:b/>
          <w:bCs/>
          <w:sz w:val="24"/>
          <w:szCs w:val="24"/>
          <w:u w:val="single"/>
        </w:rPr>
        <w:t xml:space="preserve"> and Understanding</w:t>
      </w:r>
    </w:p>
    <w:p w14:paraId="0CC36B06" w14:textId="5A5EC17C" w:rsidR="00096B40" w:rsidRDefault="005B3440" w:rsidP="00327E1B">
      <w:pPr>
        <w:ind w:firstLine="720"/>
      </w:pPr>
      <w:r>
        <w:t xml:space="preserve">Accurate prediction of public transportation ridership depends on an efficient multi-source data integration approach. In this study, the researcher </w:t>
      </w:r>
      <w:r w:rsidR="005149E2">
        <w:t>employs</w:t>
      </w:r>
      <w:r>
        <w:t xml:space="preserve"> a unique combination of dataset which includes historical ridership data of 2 bus and 10 rail service lines, GTFS data, and external factors like fuel prices, rainfall, and other geospatial data.</w:t>
      </w:r>
    </w:p>
    <w:p w14:paraId="3A27237E" w14:textId="000BCECC" w:rsidR="005149E2" w:rsidRDefault="005149E2">
      <w:pPr>
        <w:pStyle w:val="Heading2"/>
        <w:numPr>
          <w:ilvl w:val="2"/>
          <w:numId w:val="3"/>
        </w:numPr>
        <w:rPr>
          <w:b/>
          <w:bCs/>
          <w:sz w:val="24"/>
          <w:szCs w:val="24"/>
          <w:u w:val="single"/>
        </w:rPr>
      </w:pPr>
      <w:r>
        <w:rPr>
          <w:b/>
          <w:bCs/>
          <w:sz w:val="24"/>
          <w:szCs w:val="24"/>
          <w:u w:val="single"/>
        </w:rPr>
        <w:t>Primary Transit and Network Data</w:t>
      </w:r>
    </w:p>
    <w:p w14:paraId="55D6594C" w14:textId="30AF126A" w:rsidR="005149E2" w:rsidRDefault="005149E2" w:rsidP="005149E2">
      <w:pPr>
        <w:ind w:firstLine="720"/>
      </w:pPr>
      <w:r>
        <w:t>The foundation of the predictive model builds on top of a high-resolution historical ridership and transit network topology. A spreadsheet of daily ridership counts was downloaded from Malaysia’s official open data portal (data.gov.my), covering 12 distinct service lines:</w:t>
      </w:r>
    </w:p>
    <w:p w14:paraId="345A1989" w14:textId="37F59C27" w:rsidR="005149E2" w:rsidRDefault="008A376A">
      <w:pPr>
        <w:pStyle w:val="ListParagraph"/>
        <w:numPr>
          <w:ilvl w:val="0"/>
          <w:numId w:val="10"/>
        </w:numPr>
      </w:pPr>
      <w:r>
        <w:t>Light Rail Transit (LRT): Ampang Line, Kelana Jaya Line</w:t>
      </w:r>
    </w:p>
    <w:p w14:paraId="5D89C3E8" w14:textId="42E295D4" w:rsidR="008A376A" w:rsidRDefault="008A376A">
      <w:pPr>
        <w:pStyle w:val="ListParagraph"/>
        <w:numPr>
          <w:ilvl w:val="0"/>
          <w:numId w:val="10"/>
        </w:numPr>
      </w:pPr>
      <w:r>
        <w:t>Mass Rapid Transit (MRT): Putrajaya Line, Kajang Line</w:t>
      </w:r>
    </w:p>
    <w:p w14:paraId="0FC4F17C" w14:textId="05AEBD55" w:rsidR="008A376A" w:rsidRDefault="008A376A">
      <w:pPr>
        <w:pStyle w:val="ListParagraph"/>
        <w:numPr>
          <w:ilvl w:val="0"/>
          <w:numId w:val="10"/>
        </w:numPr>
      </w:pPr>
      <w:r>
        <w:t>Monorail</w:t>
      </w:r>
    </w:p>
    <w:p w14:paraId="3426B012" w14:textId="302A195F" w:rsidR="008A376A" w:rsidRDefault="008A376A">
      <w:pPr>
        <w:pStyle w:val="ListParagraph"/>
        <w:numPr>
          <w:ilvl w:val="0"/>
          <w:numId w:val="10"/>
        </w:numPr>
      </w:pPr>
      <w:proofErr w:type="spellStart"/>
      <w:r>
        <w:t>Keretapi</w:t>
      </w:r>
      <w:proofErr w:type="spellEnd"/>
      <w:r>
        <w:t xml:space="preserve"> Tanah Melaya (KTM): </w:t>
      </w:r>
      <w:proofErr w:type="spellStart"/>
      <w:r>
        <w:t>Komuter</w:t>
      </w:r>
      <w:proofErr w:type="spellEnd"/>
      <w:r>
        <w:t xml:space="preserve">, </w:t>
      </w:r>
      <w:proofErr w:type="spellStart"/>
      <w:r>
        <w:t>Komuter</w:t>
      </w:r>
      <w:proofErr w:type="spellEnd"/>
      <w:r>
        <w:t xml:space="preserve"> Utara, Intercity, </w:t>
      </w:r>
      <w:proofErr w:type="spellStart"/>
      <w:r>
        <w:t>Tebrau</w:t>
      </w:r>
      <w:proofErr w:type="spellEnd"/>
      <w:r>
        <w:t>, Electric Train Service (ETS)</w:t>
      </w:r>
    </w:p>
    <w:p w14:paraId="019BDCB4" w14:textId="5EB63150" w:rsidR="008A376A" w:rsidRDefault="008A376A">
      <w:pPr>
        <w:pStyle w:val="ListParagraph"/>
        <w:numPr>
          <w:ilvl w:val="0"/>
          <w:numId w:val="10"/>
        </w:numPr>
      </w:pPr>
      <w:proofErr w:type="spellStart"/>
      <w:r>
        <w:t>RapidBus</w:t>
      </w:r>
      <w:proofErr w:type="spellEnd"/>
      <w:r>
        <w:t>: Kuala Lumpur, Penang</w:t>
      </w:r>
    </w:p>
    <w:p w14:paraId="74C92887" w14:textId="6F363444" w:rsidR="008A376A" w:rsidRDefault="00394D96" w:rsidP="00394D96">
      <w:pPr>
        <w:ind w:firstLine="720"/>
        <w:rPr>
          <w:noProof/>
        </w:rPr>
      </w:pPr>
      <w:r>
        <w:t xml:space="preserve">Static GTFS data were also collected </w:t>
      </w:r>
      <w:r w:rsidR="00B77CE9">
        <w:t xml:space="preserve">from data.gov.my </w:t>
      </w:r>
      <w:r>
        <w:t xml:space="preserve">to model the physical constraints and connectivity of the network. As highlighted by </w:t>
      </w:r>
      <w:r>
        <w:rPr>
          <w:noProof/>
        </w:rPr>
        <w:t xml:space="preserve">Hassan et al. (2025), Malaysia’s newly released GTFS static datasets allows for a granular assessment of network efficiency and accessibility when used with secondary spatial layers. These data enable models to capture the baseline demand patterns and structural supply of the transit system. However, it is worth noting that GTFS realtime data is not being used because of a developer note from data.gov.my website stating that it only offers vehicle position to date, service alerts and trip updates are </w:t>
      </w:r>
      <w:r w:rsidR="000E4719">
        <w:rPr>
          <w:noProof/>
        </w:rPr>
        <w:t>released in latter 2026. It is because vehicle positon requires additional real-time calculation which will greatly deteriorate the model efficiency</w:t>
      </w:r>
      <w:r w:rsidR="00F666DE">
        <w:rPr>
          <w:noProof/>
        </w:rPr>
        <w:t xml:space="preserve"> when deployed for inference</w:t>
      </w:r>
      <w:r w:rsidR="000E4719">
        <w:rPr>
          <w:noProof/>
        </w:rPr>
        <w:t>.</w:t>
      </w:r>
    </w:p>
    <w:p w14:paraId="33C93AD0" w14:textId="5A623468" w:rsidR="003D1A6A" w:rsidRDefault="003D1A6A">
      <w:pPr>
        <w:pStyle w:val="Heading2"/>
        <w:numPr>
          <w:ilvl w:val="2"/>
          <w:numId w:val="3"/>
        </w:numPr>
        <w:rPr>
          <w:b/>
          <w:bCs/>
          <w:sz w:val="24"/>
          <w:szCs w:val="24"/>
          <w:u w:val="single"/>
        </w:rPr>
      </w:pPr>
      <w:r>
        <w:rPr>
          <w:b/>
          <w:bCs/>
          <w:sz w:val="24"/>
          <w:szCs w:val="24"/>
          <w:u w:val="single"/>
        </w:rPr>
        <w:t>Administrative Geography and Spatial Connectivity</w:t>
      </w:r>
    </w:p>
    <w:p w14:paraId="44EC2EB9" w14:textId="068CA185" w:rsidR="003D1A6A" w:rsidRDefault="003D1A6A" w:rsidP="003D1A6A">
      <w:pPr>
        <w:ind w:firstLine="720"/>
        <w:rPr>
          <w:noProof/>
        </w:rPr>
      </w:pPr>
      <w:r>
        <w:rPr>
          <w:noProof/>
        </w:rPr>
        <w:t xml:space="preserve">Beyond physical network topology, administrative boundaries are as equally important for capturing macro-level spatial dependencies and regional transit dynamics. This study uses </w:t>
      </w:r>
      <w:r>
        <w:rPr>
          <w:noProof/>
        </w:rPr>
        <w:lastRenderedPageBreak/>
        <w:t>the Database of Global Administrative Areas (GADM) level-1 boundaries for Malaysia to distinguish</w:t>
      </w:r>
      <w:r w:rsidR="00773B69">
        <w:rPr>
          <w:noProof/>
        </w:rPr>
        <w:t xml:space="preserve"> state and federal territories. These boundaries were cleaned and standardized to WGS-84 coordinate reference system to ensure spatial alignment with transit nodes. Jin et al (2022)</w:t>
      </w:r>
      <w:r w:rsidR="000440F9">
        <w:rPr>
          <w:noProof/>
        </w:rPr>
        <w:t xml:space="preserve"> stated that it is critical to represent transit networks through graph-based structures like adjacency matrices dervied from spatial connectivity. This is mainly because spatial heterogeneity can be captured and the “neighbor effect” where ridership at one node is affected by its surrounding administrative and functional neighbors.</w:t>
      </w:r>
      <w:r w:rsidR="00D92332">
        <w:rPr>
          <w:noProof/>
        </w:rPr>
        <w:t xml:space="preserve"> Consequently, both binary and border-length-weighted NxN adjacency matrices were built with structured representation fo the spatial relationships between Malaysian states and feed into the model.</w:t>
      </w:r>
    </w:p>
    <w:p w14:paraId="692EBCA2" w14:textId="658B8654" w:rsidR="00DC442F" w:rsidRDefault="00DC442F">
      <w:pPr>
        <w:pStyle w:val="Heading2"/>
        <w:numPr>
          <w:ilvl w:val="2"/>
          <w:numId w:val="3"/>
        </w:numPr>
        <w:rPr>
          <w:b/>
          <w:bCs/>
          <w:sz w:val="24"/>
          <w:szCs w:val="24"/>
          <w:u w:val="single"/>
        </w:rPr>
      </w:pPr>
      <w:r>
        <w:rPr>
          <w:b/>
          <w:bCs/>
          <w:sz w:val="24"/>
          <w:szCs w:val="24"/>
          <w:u w:val="single"/>
        </w:rPr>
        <w:t>Economic and Temporal Indicators</w:t>
      </w:r>
    </w:p>
    <w:p w14:paraId="743F5EEA" w14:textId="6184148D" w:rsidR="00DC442F" w:rsidRDefault="00D77DFA" w:rsidP="00D77DFA">
      <w:pPr>
        <w:ind w:firstLine="720"/>
        <w:rPr>
          <w:noProof/>
        </w:rPr>
      </w:pPr>
      <w:r>
        <w:t xml:space="preserve">Socio-economic shifts and calendar-based events are among the drivers for temporal fluctuations in ridership. Hence, this research also included weekly retail fuel prices (RON95, RON97, and diesel) taken from data.gov.my data catalogue and forward filled to a daily index. </w:t>
      </w:r>
      <w:r>
        <w:rPr>
          <w:noProof/>
        </w:rPr>
        <w:t>Ahmad et al. (2024)</w:t>
      </w:r>
      <w:r w:rsidR="00CE32F8">
        <w:rPr>
          <w:noProof/>
        </w:rPr>
        <w:t xml:space="preserve"> supports this statement because they also demostrated a significant positive correlation between fuel price hikes and increased ridership in public transportation. Logically speaking, from the perspective of urban traffic context, it is more cost-effective to take commuters or buses instead of private vehicles.</w:t>
      </w:r>
      <w:r w:rsidR="00BA1D7B">
        <w:rPr>
          <w:noProof/>
        </w:rPr>
        <w:t xml:space="preserve"> </w:t>
      </w:r>
      <w:r w:rsidR="00B77CE9">
        <w:rPr>
          <w:noProof/>
        </w:rPr>
        <w:t>Furthermore, historical Malaysian public and school holiday from 2019 to 202</w:t>
      </w:r>
      <w:r w:rsidR="00A0354D">
        <w:rPr>
          <w:noProof/>
        </w:rPr>
        <w:t>6</w:t>
      </w:r>
      <w:r w:rsidR="00B77CE9">
        <w:rPr>
          <w:noProof/>
        </w:rPr>
        <w:t xml:space="preserve"> is retrieved from </w:t>
      </w:r>
      <w:r w:rsidR="00F20198">
        <w:rPr>
          <w:noProof/>
        </w:rPr>
        <w:t>timeanddate.com and incorporated as binary flags and lead/lag indicators.</w:t>
      </w:r>
      <w:r w:rsidR="00EC2E50">
        <w:rPr>
          <w:noProof/>
        </w:rPr>
        <w:t xml:space="preserve"> These temporal features are essential for the model to distinguish between normal daily commuting patterns and demand spikes during festive seasons.</w:t>
      </w:r>
    </w:p>
    <w:p w14:paraId="6DB44D61" w14:textId="20BF1E64" w:rsidR="005F2A44" w:rsidRDefault="005F2A44">
      <w:pPr>
        <w:pStyle w:val="Heading2"/>
        <w:numPr>
          <w:ilvl w:val="2"/>
          <w:numId w:val="3"/>
        </w:numPr>
        <w:rPr>
          <w:b/>
          <w:bCs/>
          <w:sz w:val="24"/>
          <w:szCs w:val="24"/>
          <w:u w:val="single"/>
        </w:rPr>
      </w:pPr>
      <w:r>
        <w:rPr>
          <w:b/>
          <w:bCs/>
          <w:sz w:val="24"/>
          <w:szCs w:val="24"/>
          <w:u w:val="single"/>
        </w:rPr>
        <w:t>Environmental and Geospatial Features</w:t>
      </w:r>
    </w:p>
    <w:p w14:paraId="4628BACE" w14:textId="3DD31836" w:rsidR="005F2A44" w:rsidRDefault="00190069" w:rsidP="00190069">
      <w:pPr>
        <w:ind w:firstLine="720"/>
      </w:pPr>
      <w:r>
        <w:t xml:space="preserve">The dataset integrates gridded population density (2020) from </w:t>
      </w:r>
      <w:r w:rsidRPr="00190069">
        <w:t>hub.worldpop.org</w:t>
      </w:r>
      <w:r>
        <w:t xml:space="preserve"> and POIs were exported via OpenStreetMap (OSM) Overpass API to account for “</w:t>
      </w:r>
      <w:proofErr w:type="gramStart"/>
      <w:r>
        <w:t>last-mile</w:t>
      </w:r>
      <w:proofErr w:type="gramEnd"/>
      <w:r>
        <w:t xml:space="preserve">” connectivity and environmental constraints. Population density was interpolated to each GTFS stop location to </w:t>
      </w:r>
      <w:r w:rsidR="007D082E">
        <w:t xml:space="preserve">determine potential demand while POIs were grouped by commercial, residential, education etc. to describe the land-use profile of transit nodes. </w:t>
      </w:r>
      <w:r w:rsidR="007D082E">
        <w:rPr>
          <w:noProof/>
        </w:rPr>
        <w:t xml:space="preserve">Shi et al. (2024) </w:t>
      </w:r>
      <w:r w:rsidR="00B17DEE">
        <w:rPr>
          <w:noProof/>
        </w:rPr>
        <w:t>emphasize that non-linear relationships in ridership prediction can only be captured using such semantic and spatial factors. In addition, historical daily sub-national rainfall totals with “final” flag (2019 – 2026) were integrated as well to mimic the effect of bad weather on transit reliability.</w:t>
      </w:r>
      <w:r w:rsidR="00DD3CFE">
        <w:rPr>
          <w:noProof/>
        </w:rPr>
        <w:t xml:space="preserve"> This multi-dimensional spatial approach ensures that the model accounts for both environmental context and socio-spatial attractiveness of each station</w:t>
      </w:r>
      <w:r w:rsidR="003D1A6A">
        <w:rPr>
          <w:noProof/>
        </w:rPr>
        <w:t>/stop</w:t>
      </w:r>
      <w:r w:rsidR="00DD3CFE">
        <w:rPr>
          <w:noProof/>
        </w:rPr>
        <w:t>.</w:t>
      </w:r>
    </w:p>
    <w:p w14:paraId="7E18E783" w14:textId="7B87DF41" w:rsidR="005F2A44" w:rsidRDefault="005F2A44">
      <w:pPr>
        <w:pStyle w:val="Heading2"/>
        <w:numPr>
          <w:ilvl w:val="2"/>
          <w:numId w:val="3"/>
        </w:numPr>
        <w:rPr>
          <w:b/>
          <w:bCs/>
          <w:sz w:val="24"/>
          <w:szCs w:val="24"/>
          <w:u w:val="single"/>
        </w:rPr>
      </w:pPr>
      <w:r>
        <w:rPr>
          <w:b/>
          <w:bCs/>
          <w:sz w:val="24"/>
          <w:szCs w:val="24"/>
          <w:u w:val="single"/>
        </w:rPr>
        <w:lastRenderedPageBreak/>
        <w:t>Data Segmentation and MCO Considerations</w:t>
      </w:r>
    </w:p>
    <w:p w14:paraId="2EC180FC" w14:textId="2F28D980" w:rsidR="005F2A44" w:rsidRPr="005F2A44" w:rsidRDefault="004C1540" w:rsidP="004C1540">
      <w:pPr>
        <w:ind w:firstLine="720"/>
      </w:pPr>
      <w:r>
        <w:t>A critical aspect of the data collection process is the strategic segmentation of the time-series data. The raw dataset from data.gov.my spans from 1</w:t>
      </w:r>
      <w:r w:rsidRPr="004C1540">
        <w:rPr>
          <w:vertAlign w:val="superscript"/>
        </w:rPr>
        <w:t>st</w:t>
      </w:r>
      <w:r>
        <w:t xml:space="preserve"> January 2019 to 30</w:t>
      </w:r>
      <w:r w:rsidRPr="004C1540">
        <w:rPr>
          <w:vertAlign w:val="superscript"/>
        </w:rPr>
        <w:t>th</w:t>
      </w:r>
      <w:r>
        <w:t xml:space="preserve"> April 2026 but the researcher limited to until 31</w:t>
      </w:r>
      <w:r w:rsidRPr="004C1540">
        <w:rPr>
          <w:vertAlign w:val="superscript"/>
        </w:rPr>
        <w:t>st</w:t>
      </w:r>
      <w:r>
        <w:t xml:space="preserve"> December 2025 for a better alignment with annual cycles. It is bisected into two variants: one including MCO period</w:t>
      </w:r>
      <w:r w:rsidR="00CA25B7">
        <w:t>, and one excluding it. This segmentation is guided by the recommendations of Zhao &amp; Lan (2025), who argued that DL models on extreme outlier data will cause significant predictive bias as pandemic-era ridership counts are not typical urban behaviour.</w:t>
      </w:r>
      <w:r w:rsidR="00ED3717">
        <w:t xml:space="preserve"> By having two distinct datasets, the study can empirically evaluate the impact of extreme noise on the forecasting accuracy of various DL architectures.</w:t>
      </w:r>
    </w:p>
    <w:tbl>
      <w:tblPr>
        <w:tblStyle w:val="TableGrid"/>
        <w:tblW w:w="0" w:type="auto"/>
        <w:tblLook w:val="04A0" w:firstRow="1" w:lastRow="0" w:firstColumn="1" w:lastColumn="0" w:noHBand="0" w:noVBand="1"/>
      </w:tblPr>
      <w:tblGrid>
        <w:gridCol w:w="1555"/>
        <w:gridCol w:w="1559"/>
        <w:gridCol w:w="2835"/>
        <w:gridCol w:w="3067"/>
      </w:tblGrid>
      <w:tr w:rsidR="00A0354D" w14:paraId="0245AA5D" w14:textId="4E5F5D41" w:rsidTr="008829CA">
        <w:tc>
          <w:tcPr>
            <w:tcW w:w="1555" w:type="dxa"/>
            <w:shd w:val="clear" w:color="auto" w:fill="C1E4F5" w:themeFill="accent1" w:themeFillTint="33"/>
          </w:tcPr>
          <w:p w14:paraId="299E4569" w14:textId="21B3126D" w:rsidR="00A0354D" w:rsidRPr="00ED3717" w:rsidRDefault="00A0354D" w:rsidP="005F2A44">
            <w:pPr>
              <w:rPr>
                <w:b/>
                <w:bCs/>
              </w:rPr>
            </w:pPr>
            <w:r>
              <w:rPr>
                <w:b/>
                <w:bCs/>
              </w:rPr>
              <w:t>Data Source</w:t>
            </w:r>
          </w:p>
        </w:tc>
        <w:tc>
          <w:tcPr>
            <w:tcW w:w="1559" w:type="dxa"/>
            <w:shd w:val="clear" w:color="auto" w:fill="C1E4F5" w:themeFill="accent1" w:themeFillTint="33"/>
          </w:tcPr>
          <w:p w14:paraId="37D98917" w14:textId="58E86D7A" w:rsidR="00A0354D" w:rsidRPr="00ED3717" w:rsidRDefault="00A0354D" w:rsidP="005F2A44">
            <w:pPr>
              <w:rPr>
                <w:b/>
                <w:bCs/>
              </w:rPr>
            </w:pPr>
            <w:r>
              <w:rPr>
                <w:b/>
                <w:bCs/>
              </w:rPr>
              <w:t>Coverage</w:t>
            </w:r>
          </w:p>
        </w:tc>
        <w:tc>
          <w:tcPr>
            <w:tcW w:w="2835" w:type="dxa"/>
            <w:shd w:val="clear" w:color="auto" w:fill="C1E4F5" w:themeFill="accent1" w:themeFillTint="33"/>
          </w:tcPr>
          <w:p w14:paraId="2F6CF6D2" w14:textId="7184B453" w:rsidR="00A0354D" w:rsidRPr="00ED3717" w:rsidRDefault="00A0354D" w:rsidP="005F2A44">
            <w:pPr>
              <w:rPr>
                <w:b/>
                <w:bCs/>
              </w:rPr>
            </w:pPr>
            <w:r>
              <w:rPr>
                <w:b/>
                <w:bCs/>
              </w:rPr>
              <w:t>Content</w:t>
            </w:r>
          </w:p>
        </w:tc>
        <w:tc>
          <w:tcPr>
            <w:tcW w:w="3067" w:type="dxa"/>
            <w:shd w:val="clear" w:color="auto" w:fill="C1E4F5" w:themeFill="accent1" w:themeFillTint="33"/>
          </w:tcPr>
          <w:p w14:paraId="3B8955D0" w14:textId="2811C855" w:rsidR="00A0354D" w:rsidRDefault="00A0354D" w:rsidP="005F2A44">
            <w:pPr>
              <w:rPr>
                <w:b/>
                <w:bCs/>
              </w:rPr>
            </w:pPr>
            <w:r>
              <w:rPr>
                <w:b/>
                <w:bCs/>
              </w:rPr>
              <w:t>Usage</w:t>
            </w:r>
          </w:p>
        </w:tc>
      </w:tr>
      <w:tr w:rsidR="00A0354D" w14:paraId="36C811AD" w14:textId="1EADE62E" w:rsidTr="008829CA">
        <w:tc>
          <w:tcPr>
            <w:tcW w:w="1555" w:type="dxa"/>
            <w:shd w:val="clear" w:color="auto" w:fill="F2F2F2" w:themeFill="background1" w:themeFillShade="F2"/>
          </w:tcPr>
          <w:p w14:paraId="45A55D9E" w14:textId="0757573A" w:rsidR="00A0354D" w:rsidRDefault="00A0354D" w:rsidP="00EF7102">
            <w:pPr>
              <w:jc w:val="left"/>
            </w:pPr>
            <w:r>
              <w:t>Ridership</w:t>
            </w:r>
          </w:p>
        </w:tc>
        <w:tc>
          <w:tcPr>
            <w:tcW w:w="1559" w:type="dxa"/>
          </w:tcPr>
          <w:p w14:paraId="74055A34" w14:textId="136D4287" w:rsidR="00A0354D" w:rsidRDefault="00A0354D" w:rsidP="00EF7102">
            <w:pPr>
              <w:jc w:val="left"/>
            </w:pPr>
            <w:r>
              <w:t>2019-01-01 – present</w:t>
            </w:r>
          </w:p>
        </w:tc>
        <w:tc>
          <w:tcPr>
            <w:tcW w:w="2835" w:type="dxa"/>
          </w:tcPr>
          <w:p w14:paraId="0C626BA3" w14:textId="346FD66F" w:rsidR="00A0354D" w:rsidRDefault="00EF7102" w:rsidP="00EF7102">
            <w:pPr>
              <w:jc w:val="left"/>
            </w:pPr>
            <w:r>
              <w:t>Daily passenger counts for 12 transit services + total</w:t>
            </w:r>
          </w:p>
        </w:tc>
        <w:tc>
          <w:tcPr>
            <w:tcW w:w="3067" w:type="dxa"/>
          </w:tcPr>
          <w:p w14:paraId="10642F7B" w14:textId="5A0F732A" w:rsidR="00A0354D" w:rsidRDefault="008829CA" w:rsidP="00EF7102">
            <w:pPr>
              <w:jc w:val="left"/>
            </w:pPr>
            <w:r>
              <w:t>Primary forecast target; provides the 13 output variables (12 service lines + total) the models are trained to predict</w:t>
            </w:r>
          </w:p>
        </w:tc>
      </w:tr>
      <w:tr w:rsidR="00A0354D" w14:paraId="6EE62DC2" w14:textId="6E7E4112" w:rsidTr="008829CA">
        <w:tc>
          <w:tcPr>
            <w:tcW w:w="1555" w:type="dxa"/>
            <w:shd w:val="clear" w:color="auto" w:fill="F2F2F2" w:themeFill="background1" w:themeFillShade="F2"/>
          </w:tcPr>
          <w:p w14:paraId="345ADBEF" w14:textId="6DFB489E" w:rsidR="00A0354D" w:rsidRDefault="00A0354D" w:rsidP="00EF7102">
            <w:pPr>
              <w:jc w:val="left"/>
            </w:pPr>
            <w:r>
              <w:t>Fuel Price</w:t>
            </w:r>
          </w:p>
        </w:tc>
        <w:tc>
          <w:tcPr>
            <w:tcW w:w="1559" w:type="dxa"/>
          </w:tcPr>
          <w:p w14:paraId="1CB4419C" w14:textId="2A1C09AC" w:rsidR="00A0354D" w:rsidRDefault="00A0354D" w:rsidP="00EF7102">
            <w:pPr>
              <w:jc w:val="left"/>
            </w:pPr>
            <w:r>
              <w:t>2017-03-30 – present</w:t>
            </w:r>
          </w:p>
        </w:tc>
        <w:tc>
          <w:tcPr>
            <w:tcW w:w="2835" w:type="dxa"/>
          </w:tcPr>
          <w:p w14:paraId="4A45B2B9" w14:textId="10958CA4" w:rsidR="00A0354D" w:rsidRDefault="00EF7102" w:rsidP="00EF7102">
            <w:pPr>
              <w:jc w:val="left"/>
            </w:pPr>
            <w:r>
              <w:t>Weekly retail prices for 6 fuel types (level + weekly change)</w:t>
            </w:r>
          </w:p>
        </w:tc>
        <w:tc>
          <w:tcPr>
            <w:tcW w:w="3067" w:type="dxa"/>
          </w:tcPr>
          <w:p w14:paraId="7C934300" w14:textId="300FD75F" w:rsidR="00A0354D" w:rsidRDefault="008829CA" w:rsidP="00EF7102">
            <w:pPr>
              <w:jc w:val="left"/>
            </w:pPr>
            <w:r>
              <w:t>Demand driver; capturing modal substitution behaviour</w:t>
            </w:r>
          </w:p>
        </w:tc>
      </w:tr>
      <w:tr w:rsidR="00A0354D" w14:paraId="0D9128E3" w14:textId="77777777" w:rsidTr="008829CA">
        <w:tc>
          <w:tcPr>
            <w:tcW w:w="1555" w:type="dxa"/>
            <w:shd w:val="clear" w:color="auto" w:fill="F2F2F2" w:themeFill="background1" w:themeFillShade="F2"/>
          </w:tcPr>
          <w:p w14:paraId="5F40D633" w14:textId="6CC63B3B" w:rsidR="00A0354D" w:rsidRDefault="00A0354D" w:rsidP="00EF7102">
            <w:pPr>
              <w:jc w:val="left"/>
            </w:pPr>
            <w:r>
              <w:t>GTFS Static</w:t>
            </w:r>
          </w:p>
        </w:tc>
        <w:tc>
          <w:tcPr>
            <w:tcW w:w="1559" w:type="dxa"/>
          </w:tcPr>
          <w:p w14:paraId="55664DE6" w14:textId="7DB02341" w:rsidR="00A0354D" w:rsidRDefault="00A0354D" w:rsidP="00EF7102">
            <w:pPr>
              <w:jc w:val="left"/>
            </w:pPr>
            <w:r>
              <w:t>Snapshot</w:t>
            </w:r>
          </w:p>
        </w:tc>
        <w:tc>
          <w:tcPr>
            <w:tcW w:w="2835" w:type="dxa"/>
          </w:tcPr>
          <w:p w14:paraId="50C7558F" w14:textId="289A077D" w:rsidR="00A0354D" w:rsidRDefault="00EF7102" w:rsidP="00EF7102">
            <w:pPr>
              <w:jc w:val="left"/>
            </w:pPr>
            <w:r>
              <w:t xml:space="preserve">Standard GTFS files for Rapid Rail KL, </w:t>
            </w:r>
            <w:proofErr w:type="spellStart"/>
            <w:r>
              <w:t>RapidBus</w:t>
            </w:r>
            <w:proofErr w:type="spellEnd"/>
            <w:r>
              <w:t xml:space="preserve"> KL, </w:t>
            </w:r>
            <w:proofErr w:type="spellStart"/>
            <w:r>
              <w:t>RapidBus</w:t>
            </w:r>
            <w:proofErr w:type="spellEnd"/>
            <w:r>
              <w:t xml:space="preserve"> Penang, KTMB</w:t>
            </w:r>
          </w:p>
        </w:tc>
        <w:tc>
          <w:tcPr>
            <w:tcW w:w="3067" w:type="dxa"/>
          </w:tcPr>
          <w:p w14:paraId="0A2A2319" w14:textId="73CF6CA7" w:rsidR="00A0354D" w:rsidRDefault="0071376A" w:rsidP="00EF7102">
            <w:pPr>
              <w:jc w:val="left"/>
            </w:pPr>
            <w:r>
              <w:t>Network topology; stop counts, route density and travel-time edges quantify transit supply and accessibility per region</w:t>
            </w:r>
          </w:p>
        </w:tc>
      </w:tr>
      <w:tr w:rsidR="00A0354D" w14:paraId="003C974C" w14:textId="77777777" w:rsidTr="008829CA">
        <w:tc>
          <w:tcPr>
            <w:tcW w:w="1555" w:type="dxa"/>
            <w:shd w:val="clear" w:color="auto" w:fill="F2F2F2" w:themeFill="background1" w:themeFillShade="F2"/>
          </w:tcPr>
          <w:p w14:paraId="6D7157DF" w14:textId="050EBADA" w:rsidR="00A0354D" w:rsidRDefault="00A0354D" w:rsidP="00EF7102">
            <w:pPr>
              <w:jc w:val="left"/>
            </w:pPr>
            <w:r>
              <w:t>Rainfall</w:t>
            </w:r>
          </w:p>
        </w:tc>
        <w:tc>
          <w:tcPr>
            <w:tcW w:w="1559" w:type="dxa"/>
          </w:tcPr>
          <w:p w14:paraId="30450444" w14:textId="0424FA97" w:rsidR="00A0354D" w:rsidRDefault="00A0354D" w:rsidP="00EF7102">
            <w:pPr>
              <w:jc w:val="left"/>
            </w:pPr>
            <w:r>
              <w:t>2019-01-01 – present</w:t>
            </w:r>
          </w:p>
        </w:tc>
        <w:tc>
          <w:tcPr>
            <w:tcW w:w="2835" w:type="dxa"/>
          </w:tcPr>
          <w:p w14:paraId="62C18117" w14:textId="2288F23B" w:rsidR="00A0354D" w:rsidRDefault="00EF7102" w:rsidP="00EF7102">
            <w:pPr>
              <w:jc w:val="left"/>
            </w:pPr>
            <w:r>
              <w:t>Daily precipitation at state level; 9 metrics including accumulation and anomaly indices</w:t>
            </w:r>
          </w:p>
        </w:tc>
        <w:tc>
          <w:tcPr>
            <w:tcW w:w="3067" w:type="dxa"/>
          </w:tcPr>
          <w:p w14:paraId="348227C6" w14:textId="21154E0B" w:rsidR="0071376A" w:rsidRDefault="0071376A" w:rsidP="00EF7102">
            <w:pPr>
              <w:jc w:val="left"/>
            </w:pPr>
            <w:r>
              <w:t>Weather covariate; state-level daily precipitation adds a spatially varying external signal that influences travel mode choice</w:t>
            </w:r>
          </w:p>
        </w:tc>
      </w:tr>
      <w:tr w:rsidR="00A0354D" w14:paraId="22688546" w14:textId="77777777" w:rsidTr="008829CA">
        <w:tc>
          <w:tcPr>
            <w:tcW w:w="1555" w:type="dxa"/>
            <w:shd w:val="clear" w:color="auto" w:fill="F2F2F2" w:themeFill="background1" w:themeFillShade="F2"/>
          </w:tcPr>
          <w:p w14:paraId="6F77F6DE" w14:textId="649E225E" w:rsidR="00A0354D" w:rsidRDefault="00A0354D" w:rsidP="00EF7102">
            <w:pPr>
              <w:jc w:val="left"/>
            </w:pPr>
            <w:r>
              <w:t>GADM</w:t>
            </w:r>
          </w:p>
        </w:tc>
        <w:tc>
          <w:tcPr>
            <w:tcW w:w="1559" w:type="dxa"/>
          </w:tcPr>
          <w:p w14:paraId="68468973" w14:textId="5E27736C" w:rsidR="00A0354D" w:rsidRDefault="00A0354D" w:rsidP="00EF7102">
            <w:pPr>
              <w:jc w:val="left"/>
            </w:pPr>
            <w:r>
              <w:t>2020</w:t>
            </w:r>
          </w:p>
        </w:tc>
        <w:tc>
          <w:tcPr>
            <w:tcW w:w="2835" w:type="dxa"/>
          </w:tcPr>
          <w:p w14:paraId="7513E2B5" w14:textId="7556093A" w:rsidR="00A0354D" w:rsidRDefault="00EF7102" w:rsidP="00EF7102">
            <w:pPr>
              <w:jc w:val="left"/>
            </w:pPr>
            <w:proofErr w:type="spellStart"/>
            <w:r>
              <w:t>GeoJSON</w:t>
            </w:r>
            <w:proofErr w:type="spellEnd"/>
            <w:r>
              <w:t xml:space="preserve"> polygons for 16 Malaysian states (Level 1 admin divisions)</w:t>
            </w:r>
          </w:p>
        </w:tc>
        <w:tc>
          <w:tcPr>
            <w:tcW w:w="3067" w:type="dxa"/>
          </w:tcPr>
          <w:p w14:paraId="16ED231B" w14:textId="0826E33B" w:rsidR="00A0354D" w:rsidRDefault="0071376A" w:rsidP="00EF7102">
            <w:pPr>
              <w:jc w:val="left"/>
            </w:pPr>
            <w:r>
              <w:t xml:space="preserve">Spatial structure; state boundary polygons are used to spatially aggregate </w:t>
            </w:r>
            <w:r>
              <w:lastRenderedPageBreak/>
              <w:t>features by administrative region and derive inter-state adjacency weights</w:t>
            </w:r>
          </w:p>
        </w:tc>
      </w:tr>
      <w:tr w:rsidR="00A0354D" w14:paraId="28BD2E01" w14:textId="387E53C2" w:rsidTr="008829CA">
        <w:tc>
          <w:tcPr>
            <w:tcW w:w="1555" w:type="dxa"/>
            <w:shd w:val="clear" w:color="auto" w:fill="F2F2F2" w:themeFill="background1" w:themeFillShade="F2"/>
          </w:tcPr>
          <w:p w14:paraId="0F76616B" w14:textId="6470C15B" w:rsidR="00A0354D" w:rsidRDefault="00A0354D" w:rsidP="00EF7102">
            <w:pPr>
              <w:jc w:val="left"/>
            </w:pPr>
            <w:r>
              <w:lastRenderedPageBreak/>
              <w:t>POIs</w:t>
            </w:r>
          </w:p>
        </w:tc>
        <w:tc>
          <w:tcPr>
            <w:tcW w:w="1559" w:type="dxa"/>
          </w:tcPr>
          <w:p w14:paraId="4B83F5C0" w14:textId="29B035D2" w:rsidR="00A0354D" w:rsidRDefault="00A0354D" w:rsidP="00EF7102">
            <w:pPr>
              <w:jc w:val="left"/>
            </w:pPr>
            <w:r>
              <w:t>Snapshot</w:t>
            </w:r>
          </w:p>
        </w:tc>
        <w:tc>
          <w:tcPr>
            <w:tcW w:w="2835" w:type="dxa"/>
          </w:tcPr>
          <w:p w14:paraId="2077A337" w14:textId="28A9B42A" w:rsidR="00A0354D" w:rsidRDefault="00EF7102" w:rsidP="00EF7102">
            <w:pPr>
              <w:jc w:val="left"/>
            </w:pPr>
            <w:r>
              <w:t>OSM POI extract; 7 categories (transport, food, retail, education, healthcare, leisure, other)</w:t>
            </w:r>
          </w:p>
        </w:tc>
        <w:tc>
          <w:tcPr>
            <w:tcW w:w="3067" w:type="dxa"/>
          </w:tcPr>
          <w:p w14:paraId="615FFD96" w14:textId="1B91B375" w:rsidR="00A0354D" w:rsidRDefault="00E26EAB" w:rsidP="00EF7102">
            <w:pPr>
              <w:jc w:val="left"/>
            </w:pPr>
            <w:r>
              <w:t>Land-use context; POI category counts within a 500m catchment of each stop capture activity generators that drive trip origins and destinations</w:t>
            </w:r>
          </w:p>
        </w:tc>
      </w:tr>
      <w:tr w:rsidR="00A0354D" w14:paraId="29AA8A65" w14:textId="3A90419A" w:rsidTr="008829CA">
        <w:tc>
          <w:tcPr>
            <w:tcW w:w="1555" w:type="dxa"/>
            <w:shd w:val="clear" w:color="auto" w:fill="F2F2F2" w:themeFill="background1" w:themeFillShade="F2"/>
          </w:tcPr>
          <w:p w14:paraId="7C9A989A" w14:textId="76FCE369" w:rsidR="00A0354D" w:rsidRDefault="00A0354D" w:rsidP="00EF7102">
            <w:pPr>
              <w:jc w:val="left"/>
            </w:pPr>
            <w:r>
              <w:t>Population Density</w:t>
            </w:r>
          </w:p>
        </w:tc>
        <w:tc>
          <w:tcPr>
            <w:tcW w:w="1559" w:type="dxa"/>
          </w:tcPr>
          <w:p w14:paraId="51DD4DA5" w14:textId="56F25CB8" w:rsidR="00A0354D" w:rsidRDefault="00A0354D" w:rsidP="00EF7102">
            <w:pPr>
              <w:jc w:val="left"/>
            </w:pPr>
            <w:r>
              <w:t>2020</w:t>
            </w:r>
          </w:p>
        </w:tc>
        <w:tc>
          <w:tcPr>
            <w:tcW w:w="2835" w:type="dxa"/>
          </w:tcPr>
          <w:p w14:paraId="31F89CF7" w14:textId="13B5445A" w:rsidR="00A0354D" w:rsidRPr="00EF7102" w:rsidRDefault="00EF7102" w:rsidP="00EF7102">
            <w:pPr>
              <w:jc w:val="left"/>
            </w:pPr>
            <w:r>
              <w:t>~1km</w:t>
            </w:r>
            <w:r>
              <w:rPr>
                <w:vertAlign w:val="superscript"/>
              </w:rPr>
              <w:t>2</w:t>
            </w:r>
            <w:r>
              <w:t xml:space="preserve"> gridded raster of population density across Malaysia</w:t>
            </w:r>
          </w:p>
        </w:tc>
        <w:tc>
          <w:tcPr>
            <w:tcW w:w="3067" w:type="dxa"/>
          </w:tcPr>
          <w:p w14:paraId="4B31902E" w14:textId="7B0ED003" w:rsidR="00A0354D" w:rsidRDefault="008829CA" w:rsidP="00EF7102">
            <w:pPr>
              <w:jc w:val="left"/>
            </w:pPr>
            <w:r>
              <w:t>Spatial context; residential density is a static proxy for transit catchment potential and latent demand at each stop</w:t>
            </w:r>
          </w:p>
        </w:tc>
      </w:tr>
      <w:tr w:rsidR="00A0354D" w14:paraId="008E3EF4" w14:textId="77777777" w:rsidTr="008829CA">
        <w:tc>
          <w:tcPr>
            <w:tcW w:w="1555" w:type="dxa"/>
            <w:shd w:val="clear" w:color="auto" w:fill="F2F2F2" w:themeFill="background1" w:themeFillShade="F2"/>
          </w:tcPr>
          <w:p w14:paraId="361565C7" w14:textId="248C562D" w:rsidR="00A0354D" w:rsidRDefault="00A0354D" w:rsidP="00EF7102">
            <w:pPr>
              <w:jc w:val="left"/>
            </w:pPr>
            <w:r>
              <w:t>Holidays</w:t>
            </w:r>
          </w:p>
        </w:tc>
        <w:tc>
          <w:tcPr>
            <w:tcW w:w="1559" w:type="dxa"/>
          </w:tcPr>
          <w:p w14:paraId="6DEE4335" w14:textId="480853E1" w:rsidR="00A0354D" w:rsidRDefault="00A0354D" w:rsidP="00EF7102">
            <w:pPr>
              <w:jc w:val="left"/>
            </w:pPr>
            <w:r>
              <w:t>2019 - 2026</w:t>
            </w:r>
          </w:p>
        </w:tc>
        <w:tc>
          <w:tcPr>
            <w:tcW w:w="2835" w:type="dxa"/>
          </w:tcPr>
          <w:p w14:paraId="68952D68" w14:textId="77FFC6E2" w:rsidR="00A0354D" w:rsidRDefault="00EF7102" w:rsidP="00EF7102">
            <w:pPr>
              <w:jc w:val="left"/>
            </w:pPr>
            <w:r>
              <w:t>Date-range calendar of public holiday and academic break periods</w:t>
            </w:r>
          </w:p>
        </w:tc>
        <w:tc>
          <w:tcPr>
            <w:tcW w:w="3067" w:type="dxa"/>
          </w:tcPr>
          <w:p w14:paraId="3DFBD103" w14:textId="192DC17C" w:rsidR="00A0354D" w:rsidRDefault="008829CA" w:rsidP="00EF7102">
            <w:pPr>
              <w:jc w:val="left"/>
            </w:pPr>
            <w:r>
              <w:t>Demand modifier; holidays might cause systematic ridership drops; lead/lag features capture anticipation dips and post-holiday return surges</w:t>
            </w:r>
          </w:p>
        </w:tc>
      </w:tr>
    </w:tbl>
    <w:p w14:paraId="7182557E" w14:textId="0A1DADA8" w:rsidR="00020CC2" w:rsidRPr="008B2B97" w:rsidRDefault="008B2B97" w:rsidP="008B2B97">
      <w:pPr>
        <w:pStyle w:val="Caption"/>
        <w:spacing w:before="240"/>
        <w:jc w:val="center"/>
        <w:rPr>
          <w:color w:val="auto"/>
          <w:sz w:val="24"/>
          <w:szCs w:val="24"/>
        </w:rPr>
      </w:pPr>
      <w:r w:rsidRPr="008B2B97">
        <w:rPr>
          <w:color w:val="auto"/>
          <w:sz w:val="24"/>
          <w:szCs w:val="24"/>
        </w:rPr>
        <w:t xml:space="preserve">Table </w:t>
      </w:r>
      <w:r w:rsidRPr="008B2B97">
        <w:rPr>
          <w:color w:val="auto"/>
          <w:sz w:val="24"/>
          <w:szCs w:val="24"/>
        </w:rPr>
        <w:fldChar w:fldCharType="begin"/>
      </w:r>
      <w:r w:rsidRPr="008B2B97">
        <w:rPr>
          <w:color w:val="auto"/>
          <w:sz w:val="24"/>
          <w:szCs w:val="24"/>
        </w:rPr>
        <w:instrText xml:space="preserve"> SEQ Table \* ARABIC </w:instrText>
      </w:r>
      <w:r w:rsidRPr="008B2B97">
        <w:rPr>
          <w:color w:val="auto"/>
          <w:sz w:val="24"/>
          <w:szCs w:val="24"/>
        </w:rPr>
        <w:fldChar w:fldCharType="separate"/>
      </w:r>
      <w:r w:rsidR="0050272D">
        <w:rPr>
          <w:noProof/>
          <w:color w:val="auto"/>
          <w:sz w:val="24"/>
          <w:szCs w:val="24"/>
        </w:rPr>
        <w:t>6</w:t>
      </w:r>
      <w:r w:rsidRPr="008B2B97">
        <w:rPr>
          <w:color w:val="auto"/>
          <w:sz w:val="24"/>
          <w:szCs w:val="24"/>
        </w:rPr>
        <w:fldChar w:fldCharType="end"/>
      </w:r>
      <w:r>
        <w:rPr>
          <w:color w:val="auto"/>
          <w:sz w:val="24"/>
          <w:szCs w:val="24"/>
        </w:rPr>
        <w:t>: Eight independent raw data sources used and integrated together in this study along with its coverage, content, and usage.</w:t>
      </w:r>
    </w:p>
    <w:p w14:paraId="40C0402C" w14:textId="400D67F9" w:rsidR="005D4B89" w:rsidRDefault="005D4B89">
      <w:pPr>
        <w:pStyle w:val="Heading2"/>
        <w:numPr>
          <w:ilvl w:val="1"/>
          <w:numId w:val="3"/>
        </w:numPr>
        <w:rPr>
          <w:b/>
          <w:bCs/>
          <w:sz w:val="24"/>
          <w:szCs w:val="24"/>
          <w:u w:val="single"/>
        </w:rPr>
      </w:pPr>
      <w:bookmarkStart w:id="29" w:name="_Toc230901626"/>
      <w:r>
        <w:rPr>
          <w:b/>
          <w:bCs/>
          <w:sz w:val="24"/>
          <w:szCs w:val="24"/>
          <w:u w:val="single"/>
        </w:rPr>
        <w:t>Feature Engineering</w:t>
      </w:r>
      <w:bookmarkEnd w:id="29"/>
    </w:p>
    <w:p w14:paraId="517D2DB8" w14:textId="6FD85769" w:rsidR="00216E1B" w:rsidRPr="00742161" w:rsidRDefault="00662D3A" w:rsidP="00216E1B">
      <w:pPr>
        <w:ind w:firstLine="720"/>
      </w:pPr>
      <w:r>
        <w:t>Before proceeding with model training</w:t>
      </w:r>
      <w:r w:rsidR="00216E1B">
        <w:t xml:space="preserve"> and evaluation</w:t>
      </w:r>
      <w:r>
        <w:t>, eight heterogenous data sources into a unified daily</w:t>
      </w:r>
      <w:r w:rsidR="00216E1B">
        <w:t xml:space="preserve"> feature matrix, from which overlapping sliding-window tensors are constructed. The pipeline operates in three sequential stages: per-source data cleaning and feature derivation, feature alignment onto a shared date index, and sequence assembly into model-ready tensors. All stages run from raw data files with no manual preprocessing; each stage’s outputs are versioned alongside a metadata JSON that records column groups, null counts, and feature dimensionality.</w:t>
      </w:r>
    </w:p>
    <w:p w14:paraId="179599BD" w14:textId="72B9AA94" w:rsidR="00166559" w:rsidRDefault="00166559">
      <w:pPr>
        <w:pStyle w:val="Heading2"/>
        <w:numPr>
          <w:ilvl w:val="2"/>
          <w:numId w:val="3"/>
        </w:numPr>
        <w:rPr>
          <w:b/>
          <w:bCs/>
          <w:sz w:val="24"/>
          <w:szCs w:val="24"/>
          <w:u w:val="single"/>
        </w:rPr>
      </w:pPr>
      <w:r>
        <w:rPr>
          <w:b/>
          <w:bCs/>
          <w:sz w:val="24"/>
          <w:szCs w:val="24"/>
          <w:u w:val="single"/>
        </w:rPr>
        <w:lastRenderedPageBreak/>
        <w:t>Data Cleaning</w:t>
      </w:r>
    </w:p>
    <w:p w14:paraId="2C2C2C0D" w14:textId="4D66A4DC" w:rsidR="00166559" w:rsidRDefault="00216E1B" w:rsidP="00216E1B">
      <w:pPr>
        <w:ind w:firstLine="720"/>
      </w:pPr>
      <w:r>
        <w:t>Eight independent cleaning scripts were written to process each source into a standardised daily format before merging.</w:t>
      </w:r>
    </w:p>
    <w:tbl>
      <w:tblPr>
        <w:tblStyle w:val="TableGrid"/>
        <w:tblW w:w="9067" w:type="dxa"/>
        <w:tblLook w:val="04A0" w:firstRow="1" w:lastRow="0" w:firstColumn="1" w:lastColumn="0" w:noHBand="0" w:noVBand="1"/>
      </w:tblPr>
      <w:tblGrid>
        <w:gridCol w:w="1838"/>
        <w:gridCol w:w="2410"/>
        <w:gridCol w:w="4819"/>
      </w:tblGrid>
      <w:tr w:rsidR="00216E1B" w14:paraId="293EDF64" w14:textId="77777777" w:rsidTr="00216E1B">
        <w:tc>
          <w:tcPr>
            <w:tcW w:w="1838" w:type="dxa"/>
            <w:shd w:val="clear" w:color="auto" w:fill="C1E4F5" w:themeFill="accent1" w:themeFillTint="33"/>
          </w:tcPr>
          <w:p w14:paraId="79AC079A" w14:textId="7832CAFB" w:rsidR="00216E1B" w:rsidRPr="00216E1B" w:rsidRDefault="00216E1B" w:rsidP="00216E1B">
            <w:pPr>
              <w:jc w:val="left"/>
              <w:rPr>
                <w:b/>
                <w:bCs/>
              </w:rPr>
            </w:pPr>
            <w:r>
              <w:rPr>
                <w:b/>
                <w:bCs/>
              </w:rPr>
              <w:t>Source</w:t>
            </w:r>
          </w:p>
        </w:tc>
        <w:tc>
          <w:tcPr>
            <w:tcW w:w="2410" w:type="dxa"/>
            <w:shd w:val="clear" w:color="auto" w:fill="C1E4F5" w:themeFill="accent1" w:themeFillTint="33"/>
          </w:tcPr>
          <w:p w14:paraId="57AC988E" w14:textId="7A57A743" w:rsidR="00216E1B" w:rsidRPr="00216E1B" w:rsidRDefault="00216E1B" w:rsidP="00216E1B">
            <w:pPr>
              <w:jc w:val="left"/>
              <w:rPr>
                <w:b/>
                <w:bCs/>
              </w:rPr>
            </w:pPr>
            <w:r>
              <w:rPr>
                <w:b/>
                <w:bCs/>
              </w:rPr>
              <w:t>Raw Format</w:t>
            </w:r>
          </w:p>
        </w:tc>
        <w:tc>
          <w:tcPr>
            <w:tcW w:w="4819" w:type="dxa"/>
            <w:shd w:val="clear" w:color="auto" w:fill="C1E4F5" w:themeFill="accent1" w:themeFillTint="33"/>
          </w:tcPr>
          <w:p w14:paraId="136551EF" w14:textId="71CFAE0E" w:rsidR="00216E1B" w:rsidRPr="00216E1B" w:rsidRDefault="00216E1B" w:rsidP="00216E1B">
            <w:pPr>
              <w:jc w:val="left"/>
              <w:rPr>
                <w:b/>
                <w:bCs/>
              </w:rPr>
            </w:pPr>
            <w:r>
              <w:rPr>
                <w:b/>
                <w:bCs/>
              </w:rPr>
              <w:t>Key Cleaning Operations</w:t>
            </w:r>
          </w:p>
        </w:tc>
      </w:tr>
      <w:tr w:rsidR="00216E1B" w14:paraId="7F800413" w14:textId="77777777" w:rsidTr="00216E1B">
        <w:tc>
          <w:tcPr>
            <w:tcW w:w="1838" w:type="dxa"/>
            <w:shd w:val="clear" w:color="auto" w:fill="F2F2F2" w:themeFill="background1" w:themeFillShade="F2"/>
          </w:tcPr>
          <w:p w14:paraId="6C0CCE73" w14:textId="73CEAE07" w:rsidR="00216E1B" w:rsidRDefault="00216E1B" w:rsidP="00216E1B">
            <w:pPr>
              <w:jc w:val="left"/>
            </w:pPr>
            <w:r>
              <w:t>Ridership</w:t>
            </w:r>
          </w:p>
        </w:tc>
        <w:tc>
          <w:tcPr>
            <w:tcW w:w="2410" w:type="dxa"/>
          </w:tcPr>
          <w:p w14:paraId="42590AC9" w14:textId="586A23C5" w:rsidR="00216E1B" w:rsidRDefault="00216E1B" w:rsidP="00216E1B">
            <w:pPr>
              <w:jc w:val="left"/>
            </w:pPr>
            <w:r>
              <w:t>Daily CSV, 12 service lines, 2019-2026</w:t>
            </w:r>
          </w:p>
        </w:tc>
        <w:tc>
          <w:tcPr>
            <w:tcW w:w="4819" w:type="dxa"/>
          </w:tcPr>
          <w:p w14:paraId="6CFFA858" w14:textId="7E859CB7" w:rsidR="00216E1B" w:rsidRDefault="00216E1B" w:rsidP="00216E1B">
            <w:pPr>
              <w:jc w:val="left"/>
            </w:pPr>
            <w:r>
              <w:t xml:space="preserve">Date parsing, MCO binary flag, pre-/post-launch null handling, </w:t>
            </w:r>
            <w:proofErr w:type="spellStart"/>
            <w:r>
              <w:t>total_ridership</w:t>
            </w:r>
            <w:proofErr w:type="spellEnd"/>
            <w:r>
              <w:t xml:space="preserve"> derivation</w:t>
            </w:r>
          </w:p>
        </w:tc>
      </w:tr>
      <w:tr w:rsidR="00216E1B" w14:paraId="40F8EF4F" w14:textId="77777777" w:rsidTr="00216E1B">
        <w:tc>
          <w:tcPr>
            <w:tcW w:w="1838" w:type="dxa"/>
            <w:shd w:val="clear" w:color="auto" w:fill="F2F2F2" w:themeFill="background1" w:themeFillShade="F2"/>
          </w:tcPr>
          <w:p w14:paraId="5B8854FD" w14:textId="785FFEE5" w:rsidR="00216E1B" w:rsidRDefault="00216E1B" w:rsidP="00216E1B">
            <w:pPr>
              <w:jc w:val="left"/>
            </w:pPr>
            <w:r>
              <w:t>Fuel price</w:t>
            </w:r>
          </w:p>
        </w:tc>
        <w:tc>
          <w:tcPr>
            <w:tcW w:w="2410" w:type="dxa"/>
          </w:tcPr>
          <w:p w14:paraId="183146A1" w14:textId="5DCA981E" w:rsidR="00216E1B" w:rsidRDefault="00216E1B" w:rsidP="00216E1B">
            <w:pPr>
              <w:jc w:val="left"/>
            </w:pPr>
            <w:r>
              <w:t>Weekly CSV (level + weekly change)</w:t>
            </w:r>
          </w:p>
        </w:tc>
        <w:tc>
          <w:tcPr>
            <w:tcW w:w="4819" w:type="dxa"/>
          </w:tcPr>
          <w:p w14:paraId="356F445D" w14:textId="31A16FAA" w:rsidR="00216E1B" w:rsidRDefault="00216E1B" w:rsidP="00216E1B">
            <w:pPr>
              <w:jc w:val="left"/>
            </w:pPr>
            <w:r>
              <w:t>Daily forward-fill reindex, percent-change derivation, back-fill of leading nulls</w:t>
            </w:r>
          </w:p>
        </w:tc>
      </w:tr>
      <w:tr w:rsidR="00216E1B" w14:paraId="0D094213" w14:textId="77777777" w:rsidTr="00216E1B">
        <w:tc>
          <w:tcPr>
            <w:tcW w:w="1838" w:type="dxa"/>
            <w:shd w:val="clear" w:color="auto" w:fill="F2F2F2" w:themeFill="background1" w:themeFillShade="F2"/>
          </w:tcPr>
          <w:p w14:paraId="6B665B43" w14:textId="2A628600" w:rsidR="00216E1B" w:rsidRDefault="00216E1B" w:rsidP="00216E1B">
            <w:pPr>
              <w:jc w:val="left"/>
            </w:pPr>
            <w:r>
              <w:t>Holidays</w:t>
            </w:r>
          </w:p>
        </w:tc>
        <w:tc>
          <w:tcPr>
            <w:tcW w:w="2410" w:type="dxa"/>
          </w:tcPr>
          <w:p w14:paraId="50C81B57" w14:textId="2C9B6B49" w:rsidR="00216E1B" w:rsidRDefault="00216E1B" w:rsidP="00216E1B">
            <w:pPr>
              <w:jc w:val="left"/>
            </w:pPr>
            <w:r>
              <w:t>Data-range CSV</w:t>
            </w:r>
          </w:p>
        </w:tc>
        <w:tc>
          <w:tcPr>
            <w:tcW w:w="4819" w:type="dxa"/>
          </w:tcPr>
          <w:p w14:paraId="27CDB824" w14:textId="47071733" w:rsidR="00216E1B" w:rsidRDefault="00216E1B" w:rsidP="00216E1B">
            <w:pPr>
              <w:jc w:val="left"/>
            </w:pPr>
            <w:r>
              <w:t>Expansion to daily rows, lead/lag proximity features, cyclic DOW/month encoding</w:t>
            </w:r>
          </w:p>
        </w:tc>
      </w:tr>
      <w:tr w:rsidR="00216E1B" w14:paraId="09C4DAD0" w14:textId="77777777" w:rsidTr="00216E1B">
        <w:tc>
          <w:tcPr>
            <w:tcW w:w="1838" w:type="dxa"/>
            <w:shd w:val="clear" w:color="auto" w:fill="F2F2F2" w:themeFill="background1" w:themeFillShade="F2"/>
          </w:tcPr>
          <w:p w14:paraId="4B0D768C" w14:textId="5513855E" w:rsidR="00216E1B" w:rsidRDefault="00216E1B" w:rsidP="00216E1B">
            <w:pPr>
              <w:jc w:val="left"/>
            </w:pPr>
            <w:r>
              <w:t>Rainfall</w:t>
            </w:r>
          </w:p>
        </w:tc>
        <w:tc>
          <w:tcPr>
            <w:tcW w:w="2410" w:type="dxa"/>
          </w:tcPr>
          <w:p w14:paraId="5E89B060" w14:textId="795EF8B1" w:rsidR="00216E1B" w:rsidRDefault="00216E1B" w:rsidP="00216E1B">
            <w:pPr>
              <w:jc w:val="left"/>
            </w:pPr>
            <w:r>
              <w:t>Long-format, sub-national, daily</w:t>
            </w:r>
          </w:p>
        </w:tc>
        <w:tc>
          <w:tcPr>
            <w:tcW w:w="4819" w:type="dxa"/>
          </w:tcPr>
          <w:p w14:paraId="634032B5" w14:textId="3493B062" w:rsidR="00216E1B" w:rsidRDefault="00216E1B" w:rsidP="00216E1B">
            <w:pPr>
              <w:jc w:val="left"/>
            </w:pPr>
            <w:r>
              <w:t xml:space="preserve">Version filter (final only), wide pivot (date * state), 7-day linear interpolation, </w:t>
            </w:r>
            <w:proofErr w:type="spellStart"/>
            <w:r>
              <w:t>bfill</w:t>
            </w:r>
            <w:proofErr w:type="spellEnd"/>
            <w:r>
              <w:t>/</w:t>
            </w:r>
            <w:proofErr w:type="spellStart"/>
            <w:r>
              <w:t>ffill</w:t>
            </w:r>
            <w:proofErr w:type="spellEnd"/>
          </w:p>
        </w:tc>
      </w:tr>
      <w:tr w:rsidR="00216E1B" w14:paraId="2262EBB9" w14:textId="77777777" w:rsidTr="00216E1B">
        <w:tc>
          <w:tcPr>
            <w:tcW w:w="1838" w:type="dxa"/>
            <w:shd w:val="clear" w:color="auto" w:fill="F2F2F2" w:themeFill="background1" w:themeFillShade="F2"/>
          </w:tcPr>
          <w:p w14:paraId="6D294622" w14:textId="2F171B91" w:rsidR="00216E1B" w:rsidRDefault="00216E1B" w:rsidP="00216E1B">
            <w:pPr>
              <w:jc w:val="left"/>
            </w:pPr>
            <w:r>
              <w:t>GTFS</w:t>
            </w:r>
          </w:p>
        </w:tc>
        <w:tc>
          <w:tcPr>
            <w:tcW w:w="2410" w:type="dxa"/>
          </w:tcPr>
          <w:p w14:paraId="637482A8" w14:textId="0747D772" w:rsidR="00216E1B" w:rsidRDefault="00216E1B" w:rsidP="00216E1B">
            <w:pPr>
              <w:jc w:val="left"/>
            </w:pPr>
            <w:r>
              <w:t>Four operator feeds (.txt)</w:t>
            </w:r>
          </w:p>
        </w:tc>
        <w:tc>
          <w:tcPr>
            <w:tcW w:w="4819" w:type="dxa"/>
          </w:tcPr>
          <w:p w14:paraId="07C54E10" w14:textId="690A1542" w:rsidR="00216E1B" w:rsidRDefault="00216E1B" w:rsidP="00216E1B">
            <w:pPr>
              <w:jc w:val="left"/>
            </w:pPr>
            <w:r>
              <w:t>Referential integrity verification, coordinate validation, directed edge extraction, static scalars</w:t>
            </w:r>
          </w:p>
        </w:tc>
      </w:tr>
      <w:tr w:rsidR="00216E1B" w14:paraId="1D6A332B" w14:textId="77777777" w:rsidTr="00216E1B">
        <w:tc>
          <w:tcPr>
            <w:tcW w:w="1838" w:type="dxa"/>
            <w:shd w:val="clear" w:color="auto" w:fill="F2F2F2" w:themeFill="background1" w:themeFillShade="F2"/>
          </w:tcPr>
          <w:p w14:paraId="47F9DBA4" w14:textId="193FD937" w:rsidR="00216E1B" w:rsidRDefault="00216E1B" w:rsidP="00216E1B">
            <w:pPr>
              <w:jc w:val="left"/>
            </w:pPr>
            <w:r>
              <w:t>OSM POI</w:t>
            </w:r>
          </w:p>
        </w:tc>
        <w:tc>
          <w:tcPr>
            <w:tcW w:w="2410" w:type="dxa"/>
          </w:tcPr>
          <w:p w14:paraId="576C0EB3" w14:textId="3C39C312" w:rsidR="00216E1B" w:rsidRDefault="00216E1B" w:rsidP="00216E1B">
            <w:pPr>
              <w:jc w:val="left"/>
            </w:pPr>
            <w:r>
              <w:t xml:space="preserve">Overpass API </w:t>
            </w:r>
            <w:proofErr w:type="spellStart"/>
            <w:r>
              <w:t>GeoJSON</w:t>
            </w:r>
            <w:proofErr w:type="spellEnd"/>
          </w:p>
        </w:tc>
        <w:tc>
          <w:tcPr>
            <w:tcW w:w="4819" w:type="dxa"/>
          </w:tcPr>
          <w:p w14:paraId="677CC6FC" w14:textId="782D6BEE" w:rsidR="00216E1B" w:rsidRDefault="00216E1B" w:rsidP="00216E1B">
            <w:pPr>
              <w:jc w:val="left"/>
            </w:pPr>
            <w:r>
              <w:t>Element deduplication, 7-category taxonomy, 500m catchment counts, per-stop log transforms</w:t>
            </w:r>
          </w:p>
        </w:tc>
      </w:tr>
      <w:tr w:rsidR="00216E1B" w14:paraId="74ACD262" w14:textId="77777777" w:rsidTr="00216E1B">
        <w:tc>
          <w:tcPr>
            <w:tcW w:w="1838" w:type="dxa"/>
            <w:shd w:val="clear" w:color="auto" w:fill="F2F2F2" w:themeFill="background1" w:themeFillShade="F2"/>
          </w:tcPr>
          <w:p w14:paraId="0E39B517" w14:textId="2258DC50" w:rsidR="00216E1B" w:rsidRDefault="00216E1B" w:rsidP="00216E1B">
            <w:pPr>
              <w:jc w:val="left"/>
            </w:pPr>
            <w:r>
              <w:t>Population Density</w:t>
            </w:r>
          </w:p>
        </w:tc>
        <w:tc>
          <w:tcPr>
            <w:tcW w:w="2410" w:type="dxa"/>
          </w:tcPr>
          <w:p w14:paraId="56E4FD3C" w14:textId="01855DEB" w:rsidR="00216E1B" w:rsidRPr="00216E1B" w:rsidRDefault="00216E1B" w:rsidP="00216E1B">
            <w:pPr>
              <w:jc w:val="left"/>
            </w:pPr>
            <w:r>
              <w:t>1km</w:t>
            </w:r>
            <w:r>
              <w:rPr>
                <w:vertAlign w:val="superscript"/>
              </w:rPr>
              <w:t>2</w:t>
            </w:r>
            <w:r>
              <w:t xml:space="preserve"> raster CSV</w:t>
            </w:r>
          </w:p>
        </w:tc>
        <w:tc>
          <w:tcPr>
            <w:tcW w:w="4819" w:type="dxa"/>
          </w:tcPr>
          <w:p w14:paraId="29D3C462" w14:textId="24F34467" w:rsidR="00216E1B" w:rsidRDefault="00216E1B" w:rsidP="00216E1B">
            <w:pPr>
              <w:jc w:val="left"/>
            </w:pPr>
            <w:r>
              <w:t>Bounding-box filter, log1p transform, state aggregation, national median scalars</w:t>
            </w:r>
          </w:p>
        </w:tc>
      </w:tr>
      <w:tr w:rsidR="00216E1B" w14:paraId="3CEF6E14" w14:textId="77777777" w:rsidTr="00216E1B">
        <w:tc>
          <w:tcPr>
            <w:tcW w:w="1838" w:type="dxa"/>
            <w:shd w:val="clear" w:color="auto" w:fill="F2F2F2" w:themeFill="background1" w:themeFillShade="F2"/>
          </w:tcPr>
          <w:p w14:paraId="251000ED" w14:textId="50A08474" w:rsidR="00216E1B" w:rsidRDefault="00216E1B" w:rsidP="00216E1B">
            <w:pPr>
              <w:jc w:val="left"/>
            </w:pPr>
            <w:r>
              <w:t>GADM Boundaries</w:t>
            </w:r>
          </w:p>
        </w:tc>
        <w:tc>
          <w:tcPr>
            <w:tcW w:w="2410" w:type="dxa"/>
          </w:tcPr>
          <w:p w14:paraId="7200395E" w14:textId="69B89FB5" w:rsidR="00216E1B" w:rsidRDefault="00216E1B" w:rsidP="00216E1B">
            <w:pPr>
              <w:jc w:val="left"/>
            </w:pPr>
            <w:proofErr w:type="spellStart"/>
            <w:r>
              <w:t>GeoJSON</w:t>
            </w:r>
            <w:proofErr w:type="spellEnd"/>
            <w:r>
              <w:t>, Level</w:t>
            </w:r>
            <w:r w:rsidR="009E264A">
              <w:t xml:space="preserve"> </w:t>
            </w:r>
            <w:r>
              <w:t>1</w:t>
            </w:r>
          </w:p>
        </w:tc>
        <w:tc>
          <w:tcPr>
            <w:tcW w:w="4819" w:type="dxa"/>
          </w:tcPr>
          <w:p w14:paraId="0DA5D0F9" w14:textId="02AEF7AF" w:rsidR="00216E1B" w:rsidRDefault="00216E1B" w:rsidP="00216E1B">
            <w:pPr>
              <w:jc w:val="left"/>
            </w:pPr>
            <w:r>
              <w:t>Property cleaning, centroid extraction, shared-border adjacency matrix</w:t>
            </w:r>
          </w:p>
        </w:tc>
      </w:tr>
    </w:tbl>
    <w:p w14:paraId="3179D043" w14:textId="38924849" w:rsidR="00216E1B" w:rsidRDefault="00216E1B" w:rsidP="00216E1B">
      <w:pPr>
        <w:pStyle w:val="Caption"/>
        <w:spacing w:before="240"/>
        <w:jc w:val="center"/>
        <w:rPr>
          <w:color w:val="auto"/>
          <w:sz w:val="24"/>
          <w:szCs w:val="24"/>
        </w:rPr>
      </w:pPr>
      <w:r w:rsidRPr="00216E1B">
        <w:rPr>
          <w:color w:val="auto"/>
          <w:sz w:val="24"/>
          <w:szCs w:val="24"/>
        </w:rPr>
        <w:t xml:space="preserve">Table </w:t>
      </w:r>
      <w:r w:rsidRPr="00216E1B">
        <w:rPr>
          <w:color w:val="auto"/>
          <w:sz w:val="24"/>
          <w:szCs w:val="24"/>
        </w:rPr>
        <w:fldChar w:fldCharType="begin"/>
      </w:r>
      <w:r w:rsidRPr="00216E1B">
        <w:rPr>
          <w:color w:val="auto"/>
          <w:sz w:val="24"/>
          <w:szCs w:val="24"/>
        </w:rPr>
        <w:instrText xml:space="preserve"> SEQ Table \* ARABIC </w:instrText>
      </w:r>
      <w:r w:rsidRPr="00216E1B">
        <w:rPr>
          <w:color w:val="auto"/>
          <w:sz w:val="24"/>
          <w:szCs w:val="24"/>
        </w:rPr>
        <w:fldChar w:fldCharType="separate"/>
      </w:r>
      <w:r w:rsidR="0050272D">
        <w:rPr>
          <w:noProof/>
          <w:color w:val="auto"/>
          <w:sz w:val="24"/>
          <w:szCs w:val="24"/>
        </w:rPr>
        <w:t>7</w:t>
      </w:r>
      <w:r w:rsidRPr="00216E1B">
        <w:rPr>
          <w:color w:val="auto"/>
          <w:sz w:val="24"/>
          <w:szCs w:val="24"/>
        </w:rPr>
        <w:fldChar w:fldCharType="end"/>
      </w:r>
      <w:r>
        <w:rPr>
          <w:color w:val="auto"/>
          <w:sz w:val="24"/>
          <w:szCs w:val="24"/>
        </w:rPr>
        <w:t>: Summary table of each source, its raw format, and primary cleaning operations applied.</w:t>
      </w:r>
    </w:p>
    <w:p w14:paraId="377A3D08" w14:textId="4F920686" w:rsidR="00216E1B" w:rsidRDefault="00216E1B" w:rsidP="00D264FB">
      <w:pPr>
        <w:ind w:firstLine="720"/>
      </w:pPr>
      <w:r>
        <w:t>Daily ridership count</w:t>
      </w:r>
      <w:r w:rsidR="00D264FB">
        <w:t xml:space="preserve">s for 12 transit service lines are sourced from data.gov.my published headline dataset, as of last updated in May 2026. Date strings are parsed to datetime64 and the frame sorted chronologically. Three service lines show structural null values attributable to lack of tracking system or documented late launch dates: the Putrajaya MRT line, </w:t>
      </w:r>
      <w:proofErr w:type="spellStart"/>
      <w:r w:rsidR="00D264FB">
        <w:t>Tebrau</w:t>
      </w:r>
      <w:proofErr w:type="spellEnd"/>
      <w:r w:rsidR="00D264FB">
        <w:t xml:space="preserve"> rail shuttle, and KTM </w:t>
      </w:r>
      <w:proofErr w:type="spellStart"/>
      <w:r w:rsidR="00D264FB">
        <w:t>Komuter</w:t>
      </w:r>
      <w:proofErr w:type="spellEnd"/>
      <w:r w:rsidR="00D264FB">
        <w:t xml:space="preserve">. Records before the selected date for data segmentation have remained as </w:t>
      </w:r>
      <w:proofErr w:type="spellStart"/>
      <w:r w:rsidR="00D264FB">
        <w:t>NaN</w:t>
      </w:r>
      <w:proofErr w:type="spellEnd"/>
      <w:r w:rsidR="00D264FB">
        <w:t xml:space="preserve"> to distinguish absent service from zero-demand days, while records between the selected date are zero-filled. A </w:t>
      </w:r>
      <w:proofErr w:type="spellStart"/>
      <w:r w:rsidR="00D264FB">
        <w:t>total_ridership</w:t>
      </w:r>
      <w:proofErr w:type="spellEnd"/>
      <w:r w:rsidR="00D264FB">
        <w:t xml:space="preserve"> column is derived as the row-wise sum across all 12 lines. A critical structural break caused by MCO produced as </w:t>
      </w:r>
      <w:r w:rsidR="00D264FB">
        <w:lastRenderedPageBreak/>
        <w:t xml:space="preserve">85-90% ridership drops across all services. However, if MCO period is removed would create a temporal gap that disrupts the continuity of sliding-window sequences; instead, an </w:t>
      </w:r>
      <w:proofErr w:type="spellStart"/>
      <w:r w:rsidR="00D264FB">
        <w:t>is_mco</w:t>
      </w:r>
      <w:proofErr w:type="spellEnd"/>
      <w:r w:rsidR="00D264FB">
        <w:t xml:space="preserve"> binary flag is applied to all MCO-period rows and the complete series is retained. A separate post-MCO split file is also exported for models that require a structurally stationary input.</w:t>
      </w:r>
    </w:p>
    <w:p w14:paraId="0A4E7300" w14:textId="76545DFC" w:rsidR="005B0BD0" w:rsidRDefault="005B0BD0" w:rsidP="00D264FB">
      <w:pPr>
        <w:ind w:firstLine="720"/>
      </w:pPr>
      <w:r>
        <w:t>As for Malaysian retail fuel prices (RON95, RON97, diesel, and subsidies variant) are announced weekly. Direct merging onto the daily ridership index without reindexing causes six missing values per week. After reindexing to a contiguous daily range, forward-fill is used because announced price remains in effect until the next week’s update.</w:t>
      </w:r>
      <w:r w:rsidR="008A3E2A">
        <w:t xml:space="preserve"> Three additional percent-change columns are derived for the primary fuel grades, providing a stationary representation of price movements alongside the non-stationary level series </w:t>
      </w:r>
      <w:r w:rsidR="008A3E2A">
        <w:rPr>
          <w:noProof/>
        </w:rPr>
        <w:t>(Pour et al., 2026)</w:t>
      </w:r>
      <w:r w:rsidR="008A3E2A">
        <w:t>.</w:t>
      </w:r>
      <w:r w:rsidR="005B21CE">
        <w:t xml:space="preserve"> Both series types (level and percent-change) are retained because fuel levels capture the long-run demand equilibrium while price changes capture short-run modal substitution responses.</w:t>
      </w:r>
    </w:p>
    <w:p w14:paraId="65FD04FB" w14:textId="41BB56D5" w:rsidR="005B21CE" w:rsidRDefault="005B21CE" w:rsidP="00D264FB">
      <w:pPr>
        <w:ind w:firstLine="720"/>
        <w:rPr>
          <w:noProof/>
        </w:rPr>
      </w:pPr>
      <w:r>
        <w:t>The school and public holiday calendar is distributed as date-range records (start-date, end-date, and event type) rather than individual calendar dates. Each range is expanded to one row per day and reindexed to a full calendar with binary flags for public holidays (</w:t>
      </w:r>
      <w:proofErr w:type="spellStart"/>
      <w:r>
        <w:t>is_public_holiday</w:t>
      </w:r>
      <w:proofErr w:type="spellEnd"/>
      <w:r>
        <w:t>), school holidays (</w:t>
      </w:r>
      <w:proofErr w:type="spellStart"/>
      <w:r>
        <w:t>is_school_holiday</w:t>
      </w:r>
      <w:proofErr w:type="spellEnd"/>
      <w:r>
        <w:t>), and a union flag (</w:t>
      </w:r>
      <w:proofErr w:type="spellStart"/>
      <w:r>
        <w:t>is_holiday_any</w:t>
      </w:r>
      <w:proofErr w:type="spellEnd"/>
      <w:r>
        <w:t xml:space="preserve">). Four lead/lag proximity features are derived to encode the anticipatory demand shifts that have been documented in transit ridership research </w:t>
      </w:r>
      <w:r>
        <w:rPr>
          <w:noProof/>
        </w:rPr>
        <w:t>(Wu et al., 2023). Six cyclic temporal features are computed using sine and cosine projection:</w:t>
      </w:r>
    </w:p>
    <w:p w14:paraId="576888B1" w14:textId="64B86AC8" w:rsidR="005B21CE" w:rsidRPr="005B21CE" w:rsidRDefault="005B21CE" w:rsidP="005B21CE">
      <w:pPr>
        <w:rPr>
          <w:noProof/>
        </w:rPr>
      </w:pPr>
      <w:proofErr w:type="spellStart"/>
      <m:oMathPara>
        <m:oMathParaPr>
          <m:jc m:val="center"/>
        </m:oMathParaPr>
        <m:oMath>
          <m:r>
            <m:rPr>
              <m:nor/>
            </m:rPr>
            <w:rPr>
              <w:rFonts w:ascii="Cambria Math" w:hAnsi="Cambria Math"/>
            </w:rPr>
            <m:t>dow_sin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2AD54509" w14:textId="02DA6363" w:rsidR="005B21CE" w:rsidRPr="005B21CE" w:rsidRDefault="005B21CE" w:rsidP="005B21CE">
      <w:pPr>
        <w:jc w:val="center"/>
        <w:rPr>
          <w:noProof/>
        </w:rPr>
      </w:pPr>
      <w:proofErr w:type="spellStart"/>
      <m:oMathPara>
        <m:oMathParaPr>
          <m:jc m:val="center"/>
        </m:oMathParaPr>
        <m:oMath>
          <m:r>
            <m:rPr>
              <m:nor/>
            </m:rPr>
            <w:rPr>
              <w:rFonts w:ascii="Cambria Math" w:hAnsi="Cambria Math"/>
            </w:rPr>
            <m:t>month_sin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61D20BE7" w14:textId="3BD946C1" w:rsidR="005B21CE" w:rsidRDefault="00580D53" w:rsidP="00580D53">
      <w:pPr>
        <w:rPr>
          <w:noProof/>
        </w:rPr>
      </w:pPr>
      <w:r>
        <w:rPr>
          <w:noProof/>
        </w:rPr>
        <w:t>According to Casolaro et al. (2023),</w:t>
      </w:r>
      <w:r w:rsidR="0089361D">
        <w:rPr>
          <w:noProof/>
        </w:rPr>
        <w:t xml:space="preserve"> circular encoding prevents the ordinal discontinuity that would otherwise cause a gradient-based model to perceive Sunday (index 6) as distant from Monday (index 0) rather than adjacent. An is_weekend binary flag, an absolute day_of_year scalar, and a year column are also kept.</w:t>
      </w:r>
    </w:p>
    <w:p w14:paraId="1FEDDD44" w14:textId="29D800EB" w:rsidR="006F1558" w:rsidRPr="005B21CE" w:rsidRDefault="006F1558" w:rsidP="00580D53">
      <w:pPr>
        <w:rPr>
          <w:noProof/>
        </w:rPr>
      </w:pPr>
      <w:r>
        <w:rPr>
          <w:noProof/>
        </w:rPr>
        <w:tab/>
        <w:t xml:space="preserve">On the other hand, </w:t>
      </w:r>
      <w:r w:rsidR="00271C5C">
        <w:rPr>
          <w:noProof/>
        </w:rPr>
        <w:t>sub-national daily rainfall data is provided in long format with one observation per administrative unit per date. Preliminary, and forecast estimates are filtered out, leaving only finalised observations. The data is pivoted to wide format (date * state), yielding 15 state-level rainfall_mm columns. Interior date gaps are filled by linear interpolation capped at seven consecutive days</w:t>
      </w:r>
      <w:r w:rsidR="00442BD4">
        <w:rPr>
          <w:noProof/>
        </w:rPr>
        <w:t xml:space="preserve">, a limit informed by typical duration of individual monsoon seasons, </w:t>
      </w:r>
      <w:r w:rsidR="00442BD4">
        <w:rPr>
          <w:noProof/>
        </w:rPr>
        <w:lastRenderedPageBreak/>
        <w:t>with boundary gaps handled by back-fill then forward-fill (Ngo &amp; Bashar, 2024). The cleaned export still contain accumulated and anomaly columns produced by the pivot but removed from the model input matrix to limit feature dimensionality.</w:t>
      </w:r>
    </w:p>
    <w:p w14:paraId="6FAA0E11" w14:textId="1C89C99A" w:rsidR="005B21CE" w:rsidRDefault="008E32D3" w:rsidP="005B21CE">
      <w:pPr>
        <w:rPr>
          <w:noProof/>
        </w:rPr>
      </w:pPr>
      <w:r>
        <w:rPr>
          <w:noProof/>
        </w:rPr>
        <w:tab/>
      </w:r>
      <w:r w:rsidR="0061161E">
        <w:rPr>
          <w:noProof/>
        </w:rPr>
        <w:t xml:space="preserve">Four operators are cleaned independently using operator-specific configurations: Rapid Rail KL (LRT, MRT, Monorail), RapidBus KL and Penang, and KTMB (KTM Komuter, Komuter Utara, ETS, Intercity, Terbau). Referential integrity is verified across all GTFS file pairs (stops, trips, routes, calendar, stop times) with RapidBus Penang having one additional shapes.txt file and both Rapid Rail KL, RapidBus KL having </w:t>
      </w:r>
      <w:r w:rsidR="00AC33DE">
        <w:rPr>
          <w:noProof/>
        </w:rPr>
        <w:t xml:space="preserve">two </w:t>
      </w:r>
      <w:r w:rsidR="0061161E">
        <w:rPr>
          <w:noProof/>
        </w:rPr>
        <w:t>additional frequencies.txt and shapes.txt. Stop coordinates outside the Malaysia bounding box are discarded; swapped latitude/longitude columns are corrected after values excedding the valid range are detected. Consecutive stop pairs from stop_times.txt are extracted to form directed edge tables with estimated segment travel times. All four operator tables are concatenated and summarised into four static scalars broadcast to every date: total unique stops, total routes, total directed edges, and mean segment travel time for wall-clock-timed services</w:t>
      </w:r>
      <w:r w:rsidR="000C32D3">
        <w:rPr>
          <w:noProof/>
        </w:rPr>
        <w:t xml:space="preserve"> </w:t>
      </w:r>
      <w:r w:rsidR="000C32D3">
        <w:rPr>
          <w:noProof/>
          <w:lang w:val="en-US"/>
        </w:rPr>
        <w:t>(Li et al., 2024)</w:t>
      </w:r>
      <w:r w:rsidR="0061161E">
        <w:rPr>
          <w:noProof/>
        </w:rPr>
        <w:t>.</w:t>
      </w:r>
    </w:p>
    <w:p w14:paraId="53BA684C" w14:textId="52F0B4E9" w:rsidR="00491630" w:rsidRPr="00B006BA" w:rsidRDefault="00491630" w:rsidP="005B21CE">
      <w:pPr>
        <w:rPr>
          <w:noProof/>
        </w:rPr>
      </w:pPr>
      <w:r>
        <w:rPr>
          <w:noProof/>
        </w:rPr>
        <w:tab/>
      </w:r>
      <w:r w:rsidR="00B006BA">
        <w:rPr>
          <w:noProof/>
        </w:rPr>
        <w:t>In terms of POIs, its raw elements exported from Overpass API are cleaned by removing coordinate-absent entries and deduplicating element IDs. Each element is assigned to one of seven categories via a priority-ordered tag lookup (amenity – shop – leisure – tourism). For each GTFS stop, a BallTree spatial query counts POIs within a 500m radius catchment, a standard threshold for how far an individual is willing to walk in transit research. Mean counts per category across all stops are then broadcast as eight static scalar features. For population density, it is extracted from a 1km</w:t>
      </w:r>
      <w:r w:rsidR="00B006BA">
        <w:rPr>
          <w:noProof/>
          <w:vertAlign w:val="superscript"/>
        </w:rPr>
        <w:t>2</w:t>
      </w:r>
      <w:r w:rsidR="00B006BA">
        <w:rPr>
          <w:noProof/>
          <w:vertAlign w:val="subscript"/>
        </w:rPr>
        <w:t xml:space="preserve"> </w:t>
      </w:r>
      <w:r w:rsidR="00B006BA">
        <w:rPr>
          <w:noProof/>
        </w:rPr>
        <w:t>national raster, filtered to valid coordinate bounds, and summarized as a national median and log-median scalar pair.</w:t>
      </w:r>
    </w:p>
    <w:p w14:paraId="595C73AA" w14:textId="3F9D32A5" w:rsidR="00491630" w:rsidRPr="00A0064E" w:rsidRDefault="00491630" w:rsidP="005B21CE">
      <w:pPr>
        <w:rPr>
          <w:noProof/>
        </w:rPr>
      </w:pPr>
      <w:r>
        <w:rPr>
          <w:noProof/>
        </w:rPr>
        <w:tab/>
      </w:r>
      <w:r w:rsidR="00A0064E">
        <w:rPr>
          <w:noProof/>
        </w:rPr>
        <w:t>Lastly, Level 1 GeoJSON boundaries for 16 Malaysian administrative units (13 states and 3 federal territories) are cleaned by converting “NA” string properties to None, splitting pipe-delimited (VARNAME_1) alternate name fields into lists, and removing two non-informative property fields (NL_NAME_1, CC_1). Duplicate GID_1 identifiers, which would corrupt the node index in downstream graph model, are detected and logged. Each feature’s geometry type is validated against the expected Polygon or Multipolygon types. State centroids are extracted via Shapely’s shape().centroid method, providing (centroid_lat, centroid_lon) coordinates for each administrative unit. A shared-border adjacency matrix is then constructed by computing the geometric intersection of every state-boundary pair; intersection lengths are converted from degrees to kilometres (* 111.0) and a minimum threshold of 1 * 10</w:t>
      </w:r>
      <w:r w:rsidR="00A0064E">
        <w:rPr>
          <w:noProof/>
          <w:vertAlign w:val="superscript"/>
        </w:rPr>
        <w:t>-6</w:t>
      </w:r>
      <w:r w:rsidR="00A0064E">
        <w:rPr>
          <w:noProof/>
        </w:rPr>
        <w:t xml:space="preserve"> degrees is </w:t>
      </w:r>
      <w:r w:rsidR="00A0064E">
        <w:rPr>
          <w:noProof/>
        </w:rPr>
        <w:lastRenderedPageBreak/>
        <w:t xml:space="preserve">applied to exclude point-only contacts at diagonal corners or sea boundaries. This produces a binary N x N adjacency matrix, a weighted variant (border length in km), and a corresponding edge list. Three static scalar summaries are populated to every date in aligned feature matrix: total state count </w:t>
      </w:r>
      <w:r w:rsidR="007B7DA7">
        <w:rPr>
          <w:noProof/>
        </w:rPr>
        <w:t>(</w:t>
      </w:r>
      <w:r w:rsidR="00A0064E">
        <w:rPr>
          <w:noProof/>
        </w:rPr>
        <w:t>16</w:t>
      </w:r>
      <w:r w:rsidR="007B7DA7">
        <w:rPr>
          <w:noProof/>
        </w:rPr>
        <w:t>)</w:t>
      </w:r>
      <w:r w:rsidR="00A0064E">
        <w:rPr>
          <w:noProof/>
        </w:rPr>
        <w:t>, number of state pairs sharing a land border, and mean shared-border length in km.</w:t>
      </w:r>
    </w:p>
    <w:p w14:paraId="43BD454C" w14:textId="4E73077B" w:rsidR="00166559" w:rsidRDefault="00166559">
      <w:pPr>
        <w:pStyle w:val="Heading2"/>
        <w:numPr>
          <w:ilvl w:val="2"/>
          <w:numId w:val="3"/>
        </w:numPr>
        <w:rPr>
          <w:b/>
          <w:bCs/>
          <w:sz w:val="24"/>
          <w:szCs w:val="24"/>
          <w:u w:val="single"/>
        </w:rPr>
      </w:pPr>
      <w:r>
        <w:rPr>
          <w:b/>
          <w:bCs/>
          <w:sz w:val="24"/>
          <w:szCs w:val="24"/>
          <w:u w:val="single"/>
        </w:rPr>
        <w:t>Feature Alignment</w:t>
      </w:r>
    </w:p>
    <w:p w14:paraId="711AAAF8" w14:textId="41F2B2C6" w:rsidR="00020CC2" w:rsidRDefault="00D922F9" w:rsidP="001F35DC">
      <w:pPr>
        <w:ind w:firstLine="720"/>
      </w:pPr>
      <w:r>
        <w:t xml:space="preserve">There will be an aggregate of 8 cleaned data sources which will be combined as one master </w:t>
      </w:r>
      <w:r w:rsidR="000E1B97">
        <w:t xml:space="preserve">daily </w:t>
      </w:r>
      <w:r>
        <w:t xml:space="preserve">date index </w:t>
      </w:r>
      <w:r w:rsidR="000E1B97">
        <w:t>spanning over</w:t>
      </w:r>
      <w:r>
        <w:t xml:space="preserve"> two periods: 2019-01-01 to 2025-12-31 and 2022-01-01 to 2025-12-31.</w:t>
      </w:r>
    </w:p>
    <w:tbl>
      <w:tblPr>
        <w:tblStyle w:val="TableGrid"/>
        <w:tblW w:w="0" w:type="auto"/>
        <w:tblLook w:val="04A0" w:firstRow="1" w:lastRow="0" w:firstColumn="1" w:lastColumn="0" w:noHBand="0" w:noVBand="1"/>
      </w:tblPr>
      <w:tblGrid>
        <w:gridCol w:w="2263"/>
        <w:gridCol w:w="4395"/>
        <w:gridCol w:w="2358"/>
      </w:tblGrid>
      <w:tr w:rsidR="007054C5" w14:paraId="52D5D1D1" w14:textId="77777777" w:rsidTr="00241443">
        <w:tc>
          <w:tcPr>
            <w:tcW w:w="2263" w:type="dxa"/>
            <w:shd w:val="clear" w:color="auto" w:fill="C1E4F5" w:themeFill="accent1" w:themeFillTint="33"/>
          </w:tcPr>
          <w:p w14:paraId="5A7E48D7" w14:textId="49AA3C58" w:rsidR="007054C5" w:rsidRPr="00241443" w:rsidRDefault="00241443" w:rsidP="007054C5">
            <w:pPr>
              <w:rPr>
                <w:b/>
                <w:bCs/>
              </w:rPr>
            </w:pPr>
            <w:r>
              <w:rPr>
                <w:b/>
                <w:bCs/>
              </w:rPr>
              <w:t>Source</w:t>
            </w:r>
          </w:p>
        </w:tc>
        <w:tc>
          <w:tcPr>
            <w:tcW w:w="4395" w:type="dxa"/>
            <w:shd w:val="clear" w:color="auto" w:fill="C1E4F5" w:themeFill="accent1" w:themeFillTint="33"/>
          </w:tcPr>
          <w:p w14:paraId="39BD373F" w14:textId="362414DD" w:rsidR="007054C5" w:rsidRPr="00241443" w:rsidRDefault="00241443" w:rsidP="007054C5">
            <w:pPr>
              <w:rPr>
                <w:b/>
                <w:bCs/>
              </w:rPr>
            </w:pPr>
            <w:r>
              <w:rPr>
                <w:b/>
                <w:bCs/>
              </w:rPr>
              <w:t>Join Method</w:t>
            </w:r>
          </w:p>
        </w:tc>
        <w:tc>
          <w:tcPr>
            <w:tcW w:w="2358" w:type="dxa"/>
            <w:shd w:val="clear" w:color="auto" w:fill="C1E4F5" w:themeFill="accent1" w:themeFillTint="33"/>
          </w:tcPr>
          <w:p w14:paraId="2AFD4F3E" w14:textId="46B0CC8D" w:rsidR="007054C5" w:rsidRPr="00241443" w:rsidRDefault="00241443" w:rsidP="007054C5">
            <w:pPr>
              <w:rPr>
                <w:b/>
                <w:bCs/>
              </w:rPr>
            </w:pPr>
            <w:r>
              <w:rPr>
                <w:b/>
                <w:bCs/>
              </w:rPr>
              <w:t>Null Handling</w:t>
            </w:r>
          </w:p>
        </w:tc>
      </w:tr>
      <w:tr w:rsidR="007054C5" w14:paraId="32342B31" w14:textId="77777777" w:rsidTr="00241443">
        <w:tc>
          <w:tcPr>
            <w:tcW w:w="2263" w:type="dxa"/>
            <w:shd w:val="clear" w:color="auto" w:fill="F2F2F2" w:themeFill="background1" w:themeFillShade="F2"/>
          </w:tcPr>
          <w:p w14:paraId="6FDF2606" w14:textId="3EB04634" w:rsidR="007054C5" w:rsidRDefault="00241443" w:rsidP="00241443">
            <w:pPr>
              <w:jc w:val="left"/>
            </w:pPr>
            <w:r>
              <w:t>Ridership (Targets)</w:t>
            </w:r>
          </w:p>
        </w:tc>
        <w:tc>
          <w:tcPr>
            <w:tcW w:w="4395" w:type="dxa"/>
          </w:tcPr>
          <w:p w14:paraId="5EC2B1FC" w14:textId="09DBB205" w:rsidR="007054C5" w:rsidRDefault="00241443" w:rsidP="00241443">
            <w:pPr>
              <w:jc w:val="left"/>
            </w:pPr>
            <w:r>
              <w:t>reindex</w:t>
            </w:r>
          </w:p>
        </w:tc>
        <w:tc>
          <w:tcPr>
            <w:tcW w:w="2358" w:type="dxa"/>
          </w:tcPr>
          <w:p w14:paraId="6E32E97C" w14:textId="29C831C8" w:rsidR="007054C5" w:rsidRDefault="00241443" w:rsidP="00241443">
            <w:pPr>
              <w:jc w:val="left"/>
            </w:pPr>
            <w:r>
              <w:t>Pre-launch nulls retained; filled to 0.0 in sequence assembly</w:t>
            </w:r>
          </w:p>
        </w:tc>
      </w:tr>
      <w:tr w:rsidR="00241443" w14:paraId="15A13157" w14:textId="77777777" w:rsidTr="00241443">
        <w:tc>
          <w:tcPr>
            <w:tcW w:w="2263" w:type="dxa"/>
            <w:shd w:val="clear" w:color="auto" w:fill="F2F2F2" w:themeFill="background1" w:themeFillShade="F2"/>
          </w:tcPr>
          <w:p w14:paraId="7F73E97B" w14:textId="5B80E41B" w:rsidR="00241443" w:rsidRDefault="00241443" w:rsidP="00241443">
            <w:pPr>
              <w:jc w:val="left"/>
            </w:pPr>
            <w:r>
              <w:t>Fuel Price</w:t>
            </w:r>
          </w:p>
        </w:tc>
        <w:tc>
          <w:tcPr>
            <w:tcW w:w="4395" w:type="dxa"/>
          </w:tcPr>
          <w:p w14:paraId="1CD0FDB6" w14:textId="2E59DC5F" w:rsidR="00241443" w:rsidRDefault="00241443" w:rsidP="00241443">
            <w:pPr>
              <w:jc w:val="left"/>
            </w:pPr>
            <w:r>
              <w:t xml:space="preserve">reindex + </w:t>
            </w:r>
            <w:proofErr w:type="spellStart"/>
            <w:r>
              <w:t>ffill</w:t>
            </w:r>
            <w:proofErr w:type="spellEnd"/>
          </w:p>
        </w:tc>
        <w:tc>
          <w:tcPr>
            <w:tcW w:w="2358" w:type="dxa"/>
          </w:tcPr>
          <w:p w14:paraId="18A1E37F" w14:textId="1EBAFFDA" w:rsidR="00241443" w:rsidRDefault="00241443" w:rsidP="00241443">
            <w:pPr>
              <w:jc w:val="left"/>
            </w:pPr>
            <w:r>
              <w:t>No gaps after forward-fill</w:t>
            </w:r>
          </w:p>
        </w:tc>
      </w:tr>
      <w:tr w:rsidR="00241443" w14:paraId="03465C95" w14:textId="77777777" w:rsidTr="00241443">
        <w:tc>
          <w:tcPr>
            <w:tcW w:w="2263" w:type="dxa"/>
            <w:shd w:val="clear" w:color="auto" w:fill="F2F2F2" w:themeFill="background1" w:themeFillShade="F2"/>
          </w:tcPr>
          <w:p w14:paraId="16BE48DF" w14:textId="511AA8F7" w:rsidR="00241443" w:rsidRDefault="00241443" w:rsidP="00241443">
            <w:pPr>
              <w:jc w:val="left"/>
            </w:pPr>
            <w:r>
              <w:t>Holiday / Cyclical</w:t>
            </w:r>
          </w:p>
        </w:tc>
        <w:tc>
          <w:tcPr>
            <w:tcW w:w="4395" w:type="dxa"/>
          </w:tcPr>
          <w:p w14:paraId="1CFE41FF" w14:textId="59CD2141" w:rsidR="00241443" w:rsidRDefault="00241443" w:rsidP="00241443">
            <w:pPr>
              <w:jc w:val="left"/>
            </w:pPr>
            <w:r>
              <w:t xml:space="preserve">reindex + </w:t>
            </w:r>
            <w:proofErr w:type="spellStart"/>
            <w:proofErr w:type="gramStart"/>
            <w:r>
              <w:t>fillna</w:t>
            </w:r>
            <w:proofErr w:type="spellEnd"/>
            <w:r>
              <w:t>(</w:t>
            </w:r>
            <w:proofErr w:type="gramEnd"/>
            <w:r>
              <w:t>0)</w:t>
            </w:r>
          </w:p>
        </w:tc>
        <w:tc>
          <w:tcPr>
            <w:tcW w:w="2358" w:type="dxa"/>
          </w:tcPr>
          <w:p w14:paraId="613682D7" w14:textId="5D6ACDFA" w:rsidR="00241443" w:rsidRDefault="00241443" w:rsidP="00241443">
            <w:pPr>
              <w:jc w:val="left"/>
            </w:pPr>
            <w:r>
              <w:t>Non-holiday days default to 0</w:t>
            </w:r>
          </w:p>
        </w:tc>
      </w:tr>
      <w:tr w:rsidR="007054C5" w14:paraId="5AB72442" w14:textId="77777777" w:rsidTr="00241443">
        <w:tc>
          <w:tcPr>
            <w:tcW w:w="2263" w:type="dxa"/>
            <w:shd w:val="clear" w:color="auto" w:fill="F2F2F2" w:themeFill="background1" w:themeFillShade="F2"/>
          </w:tcPr>
          <w:p w14:paraId="1669B512" w14:textId="74341811" w:rsidR="007054C5" w:rsidRDefault="00241443" w:rsidP="00241443">
            <w:pPr>
              <w:jc w:val="left"/>
            </w:pPr>
            <w:r>
              <w:t>Rainfall</w:t>
            </w:r>
          </w:p>
        </w:tc>
        <w:tc>
          <w:tcPr>
            <w:tcW w:w="4395" w:type="dxa"/>
          </w:tcPr>
          <w:p w14:paraId="705424D7" w14:textId="1A932B6F" w:rsidR="007054C5" w:rsidRDefault="00241443" w:rsidP="00241443">
            <w:pPr>
              <w:jc w:val="left"/>
            </w:pPr>
            <w:r>
              <w:t xml:space="preserve">reindex + interpolate(limit=7) + </w:t>
            </w:r>
            <w:proofErr w:type="spellStart"/>
            <w:r>
              <w:t>bfill</w:t>
            </w:r>
            <w:proofErr w:type="spellEnd"/>
            <w:r>
              <w:t>/</w:t>
            </w:r>
            <w:proofErr w:type="spellStart"/>
            <w:r>
              <w:t>ffill</w:t>
            </w:r>
            <w:proofErr w:type="spellEnd"/>
          </w:p>
        </w:tc>
        <w:tc>
          <w:tcPr>
            <w:tcW w:w="2358" w:type="dxa"/>
          </w:tcPr>
          <w:p w14:paraId="671639E0" w14:textId="6655184C" w:rsidR="007054C5" w:rsidRDefault="00241443" w:rsidP="00241443">
            <w:pPr>
              <w:jc w:val="left"/>
            </w:pPr>
            <w:r>
              <w:t>Contiguous after interpolation</w:t>
            </w:r>
          </w:p>
        </w:tc>
      </w:tr>
      <w:tr w:rsidR="007054C5" w14:paraId="0E192A88" w14:textId="77777777" w:rsidTr="00241443">
        <w:tc>
          <w:tcPr>
            <w:tcW w:w="2263" w:type="dxa"/>
            <w:shd w:val="clear" w:color="auto" w:fill="F2F2F2" w:themeFill="background1" w:themeFillShade="F2"/>
          </w:tcPr>
          <w:p w14:paraId="3EF6E8AB" w14:textId="2C53D66B" w:rsidR="007054C5" w:rsidRDefault="00241443" w:rsidP="00241443">
            <w:pPr>
              <w:jc w:val="left"/>
            </w:pPr>
            <w:r>
              <w:t>Population Density</w:t>
            </w:r>
          </w:p>
        </w:tc>
        <w:tc>
          <w:tcPr>
            <w:tcW w:w="4395" w:type="dxa"/>
          </w:tcPr>
          <w:p w14:paraId="2148C928" w14:textId="01513605" w:rsidR="007054C5" w:rsidRDefault="00241443" w:rsidP="00241443">
            <w:pPr>
              <w:jc w:val="left"/>
            </w:pPr>
            <w:r>
              <w:t>Scalar broadcast</w:t>
            </w:r>
          </w:p>
        </w:tc>
        <w:tc>
          <w:tcPr>
            <w:tcW w:w="2358" w:type="dxa"/>
          </w:tcPr>
          <w:p w14:paraId="0059BFA1" w14:textId="311774F2" w:rsidR="007054C5" w:rsidRDefault="00241443" w:rsidP="00241443">
            <w:pPr>
              <w:jc w:val="left"/>
            </w:pPr>
            <w:r>
              <w:t>No nulls</w:t>
            </w:r>
          </w:p>
        </w:tc>
      </w:tr>
      <w:tr w:rsidR="00241443" w14:paraId="175A709A" w14:textId="77777777" w:rsidTr="00241443">
        <w:tc>
          <w:tcPr>
            <w:tcW w:w="2263" w:type="dxa"/>
            <w:shd w:val="clear" w:color="auto" w:fill="F2F2F2" w:themeFill="background1" w:themeFillShade="F2"/>
          </w:tcPr>
          <w:p w14:paraId="768148DE" w14:textId="65BF74EC" w:rsidR="00241443" w:rsidRDefault="00241443" w:rsidP="00241443">
            <w:pPr>
              <w:jc w:val="left"/>
            </w:pPr>
            <w:r>
              <w:t>GTFS Network</w:t>
            </w:r>
          </w:p>
        </w:tc>
        <w:tc>
          <w:tcPr>
            <w:tcW w:w="4395" w:type="dxa"/>
          </w:tcPr>
          <w:p w14:paraId="58D57453" w14:textId="14A19E6A" w:rsidR="00241443" w:rsidRDefault="00241443" w:rsidP="00241443">
            <w:pPr>
              <w:jc w:val="left"/>
            </w:pPr>
            <w:r w:rsidRPr="00B9502C">
              <w:t>Scalar broadcast</w:t>
            </w:r>
          </w:p>
        </w:tc>
        <w:tc>
          <w:tcPr>
            <w:tcW w:w="2358" w:type="dxa"/>
          </w:tcPr>
          <w:p w14:paraId="0FDC73FD" w14:textId="2CCB3340" w:rsidR="00241443" w:rsidRDefault="00241443" w:rsidP="00241443">
            <w:pPr>
              <w:jc w:val="left"/>
            </w:pPr>
            <w:r w:rsidRPr="00491FDA">
              <w:t>No nulls</w:t>
            </w:r>
          </w:p>
        </w:tc>
      </w:tr>
      <w:tr w:rsidR="00241443" w14:paraId="4DCD39BE" w14:textId="77777777" w:rsidTr="00241443">
        <w:tc>
          <w:tcPr>
            <w:tcW w:w="2263" w:type="dxa"/>
            <w:shd w:val="clear" w:color="auto" w:fill="F2F2F2" w:themeFill="background1" w:themeFillShade="F2"/>
          </w:tcPr>
          <w:p w14:paraId="039E8690" w14:textId="0D599C85" w:rsidR="00241443" w:rsidRDefault="00241443" w:rsidP="00241443">
            <w:pPr>
              <w:jc w:val="left"/>
            </w:pPr>
            <w:r>
              <w:t>OSM POI</w:t>
            </w:r>
          </w:p>
        </w:tc>
        <w:tc>
          <w:tcPr>
            <w:tcW w:w="4395" w:type="dxa"/>
          </w:tcPr>
          <w:p w14:paraId="739CE1C8" w14:textId="1746FED5" w:rsidR="00241443" w:rsidRDefault="00241443" w:rsidP="00241443">
            <w:pPr>
              <w:jc w:val="left"/>
            </w:pPr>
            <w:r w:rsidRPr="00B9502C">
              <w:t>Scalar broadcast</w:t>
            </w:r>
          </w:p>
        </w:tc>
        <w:tc>
          <w:tcPr>
            <w:tcW w:w="2358" w:type="dxa"/>
          </w:tcPr>
          <w:p w14:paraId="648E9A95" w14:textId="0A79F8EB" w:rsidR="00241443" w:rsidRDefault="00241443" w:rsidP="00241443">
            <w:pPr>
              <w:jc w:val="left"/>
            </w:pPr>
            <w:r w:rsidRPr="00491FDA">
              <w:t>No nulls</w:t>
            </w:r>
          </w:p>
        </w:tc>
      </w:tr>
      <w:tr w:rsidR="00241443" w14:paraId="443D360A" w14:textId="77777777" w:rsidTr="00241443">
        <w:tc>
          <w:tcPr>
            <w:tcW w:w="2263" w:type="dxa"/>
            <w:shd w:val="clear" w:color="auto" w:fill="F2F2F2" w:themeFill="background1" w:themeFillShade="F2"/>
          </w:tcPr>
          <w:p w14:paraId="6D498514" w14:textId="4A61EBE9" w:rsidR="00241443" w:rsidRDefault="00241443" w:rsidP="00241443">
            <w:pPr>
              <w:jc w:val="left"/>
            </w:pPr>
            <w:r>
              <w:t>GADM Boundaries</w:t>
            </w:r>
          </w:p>
        </w:tc>
        <w:tc>
          <w:tcPr>
            <w:tcW w:w="4395" w:type="dxa"/>
          </w:tcPr>
          <w:p w14:paraId="388344DB" w14:textId="19AAFF4F" w:rsidR="00241443" w:rsidRDefault="00241443" w:rsidP="00241443">
            <w:pPr>
              <w:jc w:val="left"/>
            </w:pPr>
            <w:r w:rsidRPr="00B9502C">
              <w:t>Scalar broadcast</w:t>
            </w:r>
          </w:p>
        </w:tc>
        <w:tc>
          <w:tcPr>
            <w:tcW w:w="2358" w:type="dxa"/>
          </w:tcPr>
          <w:p w14:paraId="1EF55150" w14:textId="044EFA9C" w:rsidR="00241443" w:rsidRDefault="00241443" w:rsidP="00241443">
            <w:pPr>
              <w:jc w:val="left"/>
            </w:pPr>
            <w:r w:rsidRPr="00491FDA">
              <w:t>No nulls</w:t>
            </w:r>
          </w:p>
        </w:tc>
      </w:tr>
    </w:tbl>
    <w:p w14:paraId="58F43409" w14:textId="12C7DF79" w:rsidR="007054C5" w:rsidRDefault="00241443" w:rsidP="00241443">
      <w:pPr>
        <w:pStyle w:val="Caption"/>
        <w:spacing w:before="240"/>
        <w:jc w:val="center"/>
        <w:rPr>
          <w:color w:val="auto"/>
          <w:sz w:val="24"/>
          <w:szCs w:val="24"/>
        </w:rPr>
      </w:pPr>
      <w:r w:rsidRPr="00241443">
        <w:rPr>
          <w:color w:val="auto"/>
          <w:sz w:val="24"/>
          <w:szCs w:val="24"/>
        </w:rPr>
        <w:t xml:space="preserve">Table </w:t>
      </w:r>
      <w:r w:rsidRPr="00241443">
        <w:rPr>
          <w:color w:val="auto"/>
          <w:sz w:val="24"/>
          <w:szCs w:val="24"/>
        </w:rPr>
        <w:fldChar w:fldCharType="begin"/>
      </w:r>
      <w:r w:rsidRPr="00241443">
        <w:rPr>
          <w:color w:val="auto"/>
          <w:sz w:val="24"/>
          <w:szCs w:val="24"/>
        </w:rPr>
        <w:instrText xml:space="preserve"> SEQ Table \* ARABIC </w:instrText>
      </w:r>
      <w:r w:rsidRPr="00241443">
        <w:rPr>
          <w:color w:val="auto"/>
          <w:sz w:val="24"/>
          <w:szCs w:val="24"/>
        </w:rPr>
        <w:fldChar w:fldCharType="separate"/>
      </w:r>
      <w:r w:rsidR="0050272D">
        <w:rPr>
          <w:noProof/>
          <w:color w:val="auto"/>
          <w:sz w:val="24"/>
          <w:szCs w:val="24"/>
        </w:rPr>
        <w:t>8</w:t>
      </w:r>
      <w:r w:rsidRPr="00241443">
        <w:rPr>
          <w:color w:val="auto"/>
          <w:sz w:val="24"/>
          <w:szCs w:val="24"/>
        </w:rPr>
        <w:fldChar w:fldCharType="end"/>
      </w:r>
      <w:r>
        <w:rPr>
          <w:color w:val="auto"/>
          <w:sz w:val="24"/>
          <w:szCs w:val="24"/>
        </w:rPr>
        <w:t xml:space="preserve">: Merge strategy and null handling </w:t>
      </w:r>
      <w:r w:rsidR="00CC6FC3">
        <w:rPr>
          <w:color w:val="auto"/>
          <w:sz w:val="24"/>
          <w:szCs w:val="24"/>
        </w:rPr>
        <w:t>for each</w:t>
      </w:r>
      <w:r w:rsidR="00D922F9">
        <w:rPr>
          <w:color w:val="auto"/>
          <w:sz w:val="24"/>
          <w:szCs w:val="24"/>
        </w:rPr>
        <w:t xml:space="preserve"> data source.</w:t>
      </w:r>
    </w:p>
    <w:p w14:paraId="003C8D8A" w14:textId="0F217480" w:rsidR="00D922F9" w:rsidRDefault="00D922F9" w:rsidP="00D922F9">
      <w:r>
        <w:t xml:space="preserve">Three autoregressive </w:t>
      </w:r>
      <w:r w:rsidR="005A4ADA">
        <w:t>lag features are computed from the full historical ridership series prior to reindexing: ridership_lag_7, ridership_lag_14, and ridership_lag_28. Computing lags from the full history ensures that the first 28 rows of the aligned matrix contain valid lag values rather than missing entries. Autoregressive lag features of this form consistently rank among the strongest predictors in public transit ridership feature matrices and provide direct short-horizon continuity for recurrent models (</w:t>
      </w:r>
      <w:r w:rsidR="005A4ADA">
        <w:rPr>
          <w:noProof/>
          <w:lang w:val="en-US"/>
        </w:rPr>
        <w:t>Wu et al., 2023; Yusuf et al., 2025</w:t>
      </w:r>
      <w:r w:rsidR="005A4ADA">
        <w:t>)</w:t>
      </w:r>
      <w:r w:rsidR="00846B09">
        <w:t>.</w:t>
      </w:r>
    </w:p>
    <w:tbl>
      <w:tblPr>
        <w:tblStyle w:val="TableGrid"/>
        <w:tblW w:w="0" w:type="auto"/>
        <w:tblLook w:val="04A0" w:firstRow="1" w:lastRow="0" w:firstColumn="1" w:lastColumn="0" w:noHBand="0" w:noVBand="1"/>
      </w:tblPr>
      <w:tblGrid>
        <w:gridCol w:w="1413"/>
        <w:gridCol w:w="992"/>
        <w:gridCol w:w="6611"/>
      </w:tblGrid>
      <w:tr w:rsidR="003E2922" w14:paraId="3090A219" w14:textId="77777777" w:rsidTr="00DF3E3B">
        <w:tc>
          <w:tcPr>
            <w:tcW w:w="1413" w:type="dxa"/>
            <w:shd w:val="clear" w:color="auto" w:fill="C1E4F5" w:themeFill="accent1" w:themeFillTint="33"/>
          </w:tcPr>
          <w:p w14:paraId="14EA50AE" w14:textId="36AAE04B" w:rsidR="003E2922" w:rsidRPr="003E2922" w:rsidRDefault="003E2922" w:rsidP="00D922F9">
            <w:pPr>
              <w:rPr>
                <w:b/>
                <w:bCs/>
              </w:rPr>
            </w:pPr>
            <w:r>
              <w:rPr>
                <w:b/>
                <w:bCs/>
              </w:rPr>
              <w:t>Group</w:t>
            </w:r>
          </w:p>
        </w:tc>
        <w:tc>
          <w:tcPr>
            <w:tcW w:w="992" w:type="dxa"/>
            <w:shd w:val="clear" w:color="auto" w:fill="C1E4F5" w:themeFill="accent1" w:themeFillTint="33"/>
          </w:tcPr>
          <w:p w14:paraId="7C25E944" w14:textId="3954BDE7" w:rsidR="003E2922" w:rsidRPr="003E2922" w:rsidRDefault="003E2922" w:rsidP="00D922F9">
            <w:pPr>
              <w:rPr>
                <w:b/>
                <w:bCs/>
              </w:rPr>
            </w:pPr>
            <w:r>
              <w:rPr>
                <w:b/>
                <w:bCs/>
              </w:rPr>
              <w:t>Count</w:t>
            </w:r>
          </w:p>
        </w:tc>
        <w:tc>
          <w:tcPr>
            <w:tcW w:w="6611" w:type="dxa"/>
            <w:shd w:val="clear" w:color="auto" w:fill="C1E4F5" w:themeFill="accent1" w:themeFillTint="33"/>
          </w:tcPr>
          <w:p w14:paraId="5572CF89" w14:textId="79F71228" w:rsidR="003E2922" w:rsidRPr="003E2922" w:rsidRDefault="003E2922" w:rsidP="00D922F9">
            <w:pPr>
              <w:rPr>
                <w:b/>
                <w:bCs/>
              </w:rPr>
            </w:pPr>
            <w:r>
              <w:rPr>
                <w:b/>
                <w:bCs/>
              </w:rPr>
              <w:t>Description</w:t>
            </w:r>
          </w:p>
        </w:tc>
      </w:tr>
      <w:tr w:rsidR="003E2922" w14:paraId="1CBFD47B" w14:textId="77777777" w:rsidTr="00DF3E3B">
        <w:tc>
          <w:tcPr>
            <w:tcW w:w="1413" w:type="dxa"/>
            <w:shd w:val="clear" w:color="auto" w:fill="F2F2F2" w:themeFill="background1" w:themeFillShade="F2"/>
          </w:tcPr>
          <w:p w14:paraId="37A75F11" w14:textId="6BC19118" w:rsidR="003E2922" w:rsidRDefault="003E2922" w:rsidP="00D922F9">
            <w:r>
              <w:lastRenderedPageBreak/>
              <w:t>Targets</w:t>
            </w:r>
          </w:p>
        </w:tc>
        <w:tc>
          <w:tcPr>
            <w:tcW w:w="992" w:type="dxa"/>
          </w:tcPr>
          <w:p w14:paraId="2AF6DBAE" w14:textId="4D79EC78" w:rsidR="003E2922" w:rsidRDefault="003E2922" w:rsidP="00D922F9">
            <w:r>
              <w:t>13</w:t>
            </w:r>
          </w:p>
        </w:tc>
        <w:tc>
          <w:tcPr>
            <w:tcW w:w="6611" w:type="dxa"/>
          </w:tcPr>
          <w:p w14:paraId="5B566725" w14:textId="6F959EFC" w:rsidR="003E2922" w:rsidRDefault="003E2922" w:rsidP="00D922F9">
            <w:r>
              <w:t xml:space="preserve">12 service-line ridership counts + </w:t>
            </w:r>
            <w:proofErr w:type="spellStart"/>
            <w:r>
              <w:t>total_ridership</w:t>
            </w:r>
            <w:proofErr w:type="spellEnd"/>
          </w:p>
        </w:tc>
      </w:tr>
      <w:tr w:rsidR="003E2922" w14:paraId="25E96E25" w14:textId="77777777" w:rsidTr="00DF3E3B">
        <w:tc>
          <w:tcPr>
            <w:tcW w:w="1413" w:type="dxa"/>
            <w:shd w:val="clear" w:color="auto" w:fill="F2F2F2" w:themeFill="background1" w:themeFillShade="F2"/>
          </w:tcPr>
          <w:p w14:paraId="06472497" w14:textId="6926700C" w:rsidR="003E2922" w:rsidRDefault="003E2922" w:rsidP="00D922F9">
            <w:r>
              <w:t>Temporal</w:t>
            </w:r>
          </w:p>
        </w:tc>
        <w:tc>
          <w:tcPr>
            <w:tcW w:w="992" w:type="dxa"/>
          </w:tcPr>
          <w:p w14:paraId="72536748" w14:textId="75131EED" w:rsidR="003E2922" w:rsidRDefault="003E2922" w:rsidP="00D922F9">
            <w:r>
              <w:t>16</w:t>
            </w:r>
          </w:p>
        </w:tc>
        <w:tc>
          <w:tcPr>
            <w:tcW w:w="6611" w:type="dxa"/>
          </w:tcPr>
          <w:p w14:paraId="04AE185E" w14:textId="70F2A765" w:rsidR="003E2922" w:rsidRDefault="003E2922" w:rsidP="00D922F9">
            <w:r>
              <w:t xml:space="preserve">Holiday flags, lead/lag proximity days, cyclic DOW/month, year, </w:t>
            </w:r>
            <w:proofErr w:type="spellStart"/>
            <w:r>
              <w:t>day_of_year</w:t>
            </w:r>
            <w:proofErr w:type="spellEnd"/>
            <w:r>
              <w:t xml:space="preserve">, </w:t>
            </w:r>
            <w:proofErr w:type="spellStart"/>
            <w:r>
              <w:t>is_weekend</w:t>
            </w:r>
            <w:proofErr w:type="spellEnd"/>
          </w:p>
        </w:tc>
      </w:tr>
      <w:tr w:rsidR="003E2922" w14:paraId="4FC3C662" w14:textId="77777777" w:rsidTr="00DF3E3B">
        <w:tc>
          <w:tcPr>
            <w:tcW w:w="1413" w:type="dxa"/>
            <w:shd w:val="clear" w:color="auto" w:fill="F2F2F2" w:themeFill="background1" w:themeFillShade="F2"/>
          </w:tcPr>
          <w:p w14:paraId="07334A6D" w14:textId="7C3391A5" w:rsidR="003E2922" w:rsidRDefault="003E2922" w:rsidP="00D922F9">
            <w:r>
              <w:t>External</w:t>
            </w:r>
          </w:p>
        </w:tc>
        <w:tc>
          <w:tcPr>
            <w:tcW w:w="992" w:type="dxa"/>
          </w:tcPr>
          <w:p w14:paraId="55BAE7ED" w14:textId="1645CE17" w:rsidR="003E2922" w:rsidRDefault="003E2922" w:rsidP="00D922F9">
            <w:r>
              <w:t>30</w:t>
            </w:r>
          </w:p>
        </w:tc>
        <w:tc>
          <w:tcPr>
            <w:tcW w:w="6611" w:type="dxa"/>
          </w:tcPr>
          <w:p w14:paraId="7E604F01" w14:textId="2199E098" w:rsidR="003E2922" w:rsidRDefault="003E2922" w:rsidP="00D922F9">
            <w:r>
              <w:t>Fuel price levels and percent-changes (15) + per-state rainfall (15)</w:t>
            </w:r>
          </w:p>
        </w:tc>
      </w:tr>
      <w:tr w:rsidR="003E2922" w14:paraId="00D736E5" w14:textId="77777777" w:rsidTr="00DF3E3B">
        <w:tc>
          <w:tcPr>
            <w:tcW w:w="1413" w:type="dxa"/>
            <w:shd w:val="clear" w:color="auto" w:fill="F2F2F2" w:themeFill="background1" w:themeFillShade="F2"/>
          </w:tcPr>
          <w:p w14:paraId="249E8288" w14:textId="574E0F43" w:rsidR="003E2922" w:rsidRDefault="003E2922" w:rsidP="00D922F9">
            <w:r>
              <w:t>Lag</w:t>
            </w:r>
          </w:p>
        </w:tc>
        <w:tc>
          <w:tcPr>
            <w:tcW w:w="992" w:type="dxa"/>
          </w:tcPr>
          <w:p w14:paraId="70026894" w14:textId="0F00092C" w:rsidR="003E2922" w:rsidRDefault="003E2922" w:rsidP="00D922F9">
            <w:r>
              <w:t>3</w:t>
            </w:r>
          </w:p>
        </w:tc>
        <w:tc>
          <w:tcPr>
            <w:tcW w:w="6611" w:type="dxa"/>
          </w:tcPr>
          <w:p w14:paraId="2772F96B" w14:textId="6B72BC5E" w:rsidR="003E2922" w:rsidRDefault="003E2922" w:rsidP="00D922F9">
            <w:r>
              <w:t>ridership_lag_7, ridership_lag_14, and ridership_lag_28</w:t>
            </w:r>
          </w:p>
        </w:tc>
      </w:tr>
      <w:tr w:rsidR="003E2922" w14:paraId="63A2D384" w14:textId="77777777" w:rsidTr="00DF3E3B">
        <w:tc>
          <w:tcPr>
            <w:tcW w:w="1413" w:type="dxa"/>
            <w:shd w:val="clear" w:color="auto" w:fill="F2F2F2" w:themeFill="background1" w:themeFillShade="F2"/>
          </w:tcPr>
          <w:p w14:paraId="3FB50614" w14:textId="227FE94E" w:rsidR="003E2922" w:rsidRDefault="003E2922" w:rsidP="00D922F9">
            <w:r>
              <w:t>Static</w:t>
            </w:r>
          </w:p>
        </w:tc>
        <w:tc>
          <w:tcPr>
            <w:tcW w:w="992" w:type="dxa"/>
          </w:tcPr>
          <w:p w14:paraId="1EB71532" w14:textId="539E28A6" w:rsidR="003E2922" w:rsidRDefault="003E2922" w:rsidP="00D922F9">
            <w:r>
              <w:t>17</w:t>
            </w:r>
          </w:p>
        </w:tc>
        <w:tc>
          <w:tcPr>
            <w:tcW w:w="6611" w:type="dxa"/>
          </w:tcPr>
          <w:p w14:paraId="70B4D02A" w14:textId="6E61148C" w:rsidR="003E2922" w:rsidRDefault="003E2922" w:rsidP="00D922F9">
            <w:r>
              <w:t>Population density, GTFS network counts, OSM POI means, GADM boundary stats</w:t>
            </w:r>
          </w:p>
        </w:tc>
      </w:tr>
      <w:tr w:rsidR="003E2922" w14:paraId="2C2C720B" w14:textId="77777777" w:rsidTr="00DF3E3B">
        <w:tc>
          <w:tcPr>
            <w:tcW w:w="1413" w:type="dxa"/>
            <w:shd w:val="clear" w:color="auto" w:fill="D1D1D1" w:themeFill="background2" w:themeFillShade="E6"/>
          </w:tcPr>
          <w:p w14:paraId="7D09171F" w14:textId="028D22D5" w:rsidR="003E2922" w:rsidRPr="003E2922" w:rsidRDefault="003E2922" w:rsidP="00D922F9">
            <w:pPr>
              <w:rPr>
                <w:b/>
                <w:bCs/>
              </w:rPr>
            </w:pPr>
            <w:r>
              <w:rPr>
                <w:b/>
                <w:bCs/>
              </w:rPr>
              <w:t>TOTAL</w:t>
            </w:r>
          </w:p>
        </w:tc>
        <w:tc>
          <w:tcPr>
            <w:tcW w:w="992" w:type="dxa"/>
            <w:shd w:val="clear" w:color="auto" w:fill="D1D1D1" w:themeFill="background2" w:themeFillShade="E6"/>
          </w:tcPr>
          <w:p w14:paraId="60C8ECAE" w14:textId="2939CCD3" w:rsidR="003E2922" w:rsidRPr="003E2922" w:rsidRDefault="003E2922" w:rsidP="00D922F9">
            <w:pPr>
              <w:rPr>
                <w:b/>
                <w:bCs/>
              </w:rPr>
            </w:pPr>
            <w:r>
              <w:rPr>
                <w:b/>
                <w:bCs/>
              </w:rPr>
              <w:t>79</w:t>
            </w:r>
          </w:p>
        </w:tc>
        <w:tc>
          <w:tcPr>
            <w:tcW w:w="6611" w:type="dxa"/>
            <w:shd w:val="clear" w:color="auto" w:fill="D1D1D1" w:themeFill="background2" w:themeFillShade="E6"/>
          </w:tcPr>
          <w:p w14:paraId="172CC91F" w14:textId="77777777" w:rsidR="003E2922" w:rsidRDefault="003E2922" w:rsidP="00D922F9"/>
        </w:tc>
      </w:tr>
    </w:tbl>
    <w:p w14:paraId="6C17C135" w14:textId="43DBBE07" w:rsidR="003E2922" w:rsidRDefault="00DF3E3B" w:rsidP="00DF3E3B">
      <w:pPr>
        <w:pStyle w:val="Caption"/>
        <w:spacing w:before="240"/>
        <w:jc w:val="center"/>
        <w:rPr>
          <w:color w:val="auto"/>
          <w:sz w:val="24"/>
          <w:szCs w:val="24"/>
        </w:rPr>
      </w:pPr>
      <w:r w:rsidRPr="00DF3E3B">
        <w:rPr>
          <w:color w:val="auto"/>
          <w:sz w:val="24"/>
          <w:szCs w:val="24"/>
        </w:rPr>
        <w:t xml:space="preserve">Table </w:t>
      </w:r>
      <w:r w:rsidRPr="00DF3E3B">
        <w:rPr>
          <w:color w:val="auto"/>
          <w:sz w:val="24"/>
          <w:szCs w:val="24"/>
        </w:rPr>
        <w:fldChar w:fldCharType="begin"/>
      </w:r>
      <w:r w:rsidRPr="00DF3E3B">
        <w:rPr>
          <w:color w:val="auto"/>
          <w:sz w:val="24"/>
          <w:szCs w:val="24"/>
        </w:rPr>
        <w:instrText xml:space="preserve"> SEQ Table \* ARABIC </w:instrText>
      </w:r>
      <w:r w:rsidRPr="00DF3E3B">
        <w:rPr>
          <w:color w:val="auto"/>
          <w:sz w:val="24"/>
          <w:szCs w:val="24"/>
        </w:rPr>
        <w:fldChar w:fldCharType="separate"/>
      </w:r>
      <w:r w:rsidR="0050272D">
        <w:rPr>
          <w:noProof/>
          <w:color w:val="auto"/>
          <w:sz w:val="24"/>
          <w:szCs w:val="24"/>
        </w:rPr>
        <w:t>9</w:t>
      </w:r>
      <w:r w:rsidRPr="00DF3E3B">
        <w:rPr>
          <w:color w:val="auto"/>
          <w:sz w:val="24"/>
          <w:szCs w:val="24"/>
        </w:rPr>
        <w:fldChar w:fldCharType="end"/>
      </w:r>
      <w:r>
        <w:rPr>
          <w:color w:val="auto"/>
          <w:sz w:val="24"/>
          <w:szCs w:val="24"/>
        </w:rPr>
        <w:t xml:space="preserve">: </w:t>
      </w:r>
      <w:r w:rsidR="00484921">
        <w:rPr>
          <w:color w:val="auto"/>
          <w:sz w:val="24"/>
          <w:szCs w:val="24"/>
        </w:rPr>
        <w:t>The finalized aligned feature matrix contains 79 features across five semantic groups.</w:t>
      </w:r>
    </w:p>
    <w:p w14:paraId="6A91DEFB" w14:textId="359DB9C6" w:rsidR="00EB6E5A" w:rsidRDefault="00EB6E5A" w:rsidP="00EB6E5A">
      <w:r>
        <w:t xml:space="preserve">After the primary merge, a final null audit is performed. The only expected nulls correspond to pre-launch ridership records and initial unavailable data. Within the 2022 – 2025 model window, three services retain residual nulls: MRT Putrajaya line (166 days, launched June 2022), </w:t>
      </w:r>
      <w:proofErr w:type="spellStart"/>
      <w:r>
        <w:t>Tebrau</w:t>
      </w:r>
      <w:proofErr w:type="spellEnd"/>
      <w:r>
        <w:t xml:space="preserve"> line (169 days, unavailable data), and </w:t>
      </w:r>
      <w:proofErr w:type="spellStart"/>
      <w:r>
        <w:t>Komuter</w:t>
      </w:r>
      <w:proofErr w:type="spellEnd"/>
      <w:r>
        <w:t xml:space="preserve"> (617 days, unavailable data); these are documented into a JSON file. The MCO-inclusive segment records larger null counts for the full 2019 – 2025 series where eight services in total because of incomplete data from data.gov.my</w:t>
      </w:r>
      <w:r w:rsidR="009A35C9">
        <w:t xml:space="preserve"> (e.g., </w:t>
      </w:r>
      <w:proofErr w:type="spellStart"/>
      <w:r w:rsidR="009A35C9">
        <w:t>Komuter</w:t>
      </w:r>
      <w:proofErr w:type="spellEnd"/>
      <w:r w:rsidR="009A35C9">
        <w:t xml:space="preserve"> with 1,713 null days, </w:t>
      </w:r>
      <w:proofErr w:type="spellStart"/>
      <w:r w:rsidR="009A35C9">
        <w:t>Tebrau</w:t>
      </w:r>
      <w:proofErr w:type="spellEnd"/>
      <w:r w:rsidR="009A35C9">
        <w:t xml:space="preserve"> line with 1,265 null days, MRT Putrajaya line with 1,262 null days)</w:t>
      </w:r>
      <w:r w:rsidR="00BE1218">
        <w:t>.</w:t>
      </w:r>
    </w:p>
    <w:tbl>
      <w:tblPr>
        <w:tblStyle w:val="TableGrid"/>
        <w:tblW w:w="0" w:type="auto"/>
        <w:tblLook w:val="04A0" w:firstRow="1" w:lastRow="0" w:firstColumn="1" w:lastColumn="0" w:noHBand="0" w:noVBand="1"/>
      </w:tblPr>
      <w:tblGrid>
        <w:gridCol w:w="2972"/>
        <w:gridCol w:w="992"/>
        <w:gridCol w:w="1843"/>
        <w:gridCol w:w="3209"/>
      </w:tblGrid>
      <w:tr w:rsidR="009E264A" w14:paraId="4D858B3A" w14:textId="5E5BF2F8" w:rsidTr="00B868E7">
        <w:tc>
          <w:tcPr>
            <w:tcW w:w="2972" w:type="dxa"/>
            <w:shd w:val="clear" w:color="auto" w:fill="C1E4F5" w:themeFill="accent1" w:themeFillTint="33"/>
          </w:tcPr>
          <w:p w14:paraId="440A0CF2" w14:textId="1FA9E58F" w:rsidR="009E264A" w:rsidRPr="009E264A" w:rsidRDefault="009E264A" w:rsidP="00EB6E5A">
            <w:pPr>
              <w:rPr>
                <w:b/>
                <w:bCs/>
              </w:rPr>
            </w:pPr>
            <w:r>
              <w:rPr>
                <w:b/>
                <w:bCs/>
              </w:rPr>
              <w:t>Data Range</w:t>
            </w:r>
          </w:p>
        </w:tc>
        <w:tc>
          <w:tcPr>
            <w:tcW w:w="992" w:type="dxa"/>
            <w:shd w:val="clear" w:color="auto" w:fill="C1E4F5" w:themeFill="accent1" w:themeFillTint="33"/>
          </w:tcPr>
          <w:p w14:paraId="509F7076" w14:textId="2C6B5198" w:rsidR="009E264A" w:rsidRPr="009E264A" w:rsidRDefault="009E264A" w:rsidP="00EB6E5A">
            <w:pPr>
              <w:rPr>
                <w:b/>
                <w:bCs/>
              </w:rPr>
            </w:pPr>
            <w:r>
              <w:rPr>
                <w:b/>
                <w:bCs/>
              </w:rPr>
              <w:t>Days</w:t>
            </w:r>
          </w:p>
        </w:tc>
        <w:tc>
          <w:tcPr>
            <w:tcW w:w="1843" w:type="dxa"/>
            <w:shd w:val="clear" w:color="auto" w:fill="C1E4F5" w:themeFill="accent1" w:themeFillTint="33"/>
          </w:tcPr>
          <w:p w14:paraId="0FAA42D3" w14:textId="7AE720E6" w:rsidR="009E264A" w:rsidRPr="009E264A" w:rsidRDefault="009E264A" w:rsidP="00EB6E5A">
            <w:pPr>
              <w:rPr>
                <w:b/>
                <w:bCs/>
              </w:rPr>
            </w:pPr>
            <w:r>
              <w:rPr>
                <w:b/>
                <w:bCs/>
              </w:rPr>
              <w:t>MCO Period</w:t>
            </w:r>
          </w:p>
        </w:tc>
        <w:tc>
          <w:tcPr>
            <w:tcW w:w="3209" w:type="dxa"/>
            <w:shd w:val="clear" w:color="auto" w:fill="C1E4F5" w:themeFill="accent1" w:themeFillTint="33"/>
          </w:tcPr>
          <w:p w14:paraId="08850D7B" w14:textId="38EDF098" w:rsidR="009E264A" w:rsidRDefault="009E264A" w:rsidP="00EB6E5A">
            <w:pPr>
              <w:rPr>
                <w:b/>
                <w:bCs/>
              </w:rPr>
            </w:pPr>
            <w:r>
              <w:rPr>
                <w:b/>
                <w:bCs/>
              </w:rPr>
              <w:t>Output</w:t>
            </w:r>
          </w:p>
        </w:tc>
      </w:tr>
      <w:tr w:rsidR="009E264A" w14:paraId="172ADFE0" w14:textId="7362E50C" w:rsidTr="00B868E7">
        <w:tc>
          <w:tcPr>
            <w:tcW w:w="2972" w:type="dxa"/>
            <w:shd w:val="clear" w:color="auto" w:fill="F2F2F2" w:themeFill="background1" w:themeFillShade="F2"/>
          </w:tcPr>
          <w:p w14:paraId="173B0A83" w14:textId="6F911014" w:rsidR="009E264A" w:rsidRDefault="009E264A" w:rsidP="00EB6E5A">
            <w:r>
              <w:t>2019-01-01 – 2025-12-31</w:t>
            </w:r>
          </w:p>
        </w:tc>
        <w:tc>
          <w:tcPr>
            <w:tcW w:w="992" w:type="dxa"/>
          </w:tcPr>
          <w:p w14:paraId="4F0F0048" w14:textId="2921F59F" w:rsidR="009E264A" w:rsidRDefault="009E264A" w:rsidP="00EB6E5A">
            <w:r>
              <w:t>2,557</w:t>
            </w:r>
          </w:p>
        </w:tc>
        <w:tc>
          <w:tcPr>
            <w:tcW w:w="1843" w:type="dxa"/>
          </w:tcPr>
          <w:p w14:paraId="0D8AA8F2" w14:textId="6C27C02F" w:rsidR="009E264A" w:rsidRDefault="009E264A" w:rsidP="00EB6E5A">
            <w:r>
              <w:t>Retained</w:t>
            </w:r>
          </w:p>
        </w:tc>
        <w:tc>
          <w:tcPr>
            <w:tcW w:w="3209" w:type="dxa"/>
          </w:tcPr>
          <w:p w14:paraId="33F9F47F" w14:textId="4C2F0B22" w:rsidR="009E264A" w:rsidRDefault="009E264A" w:rsidP="00EB6E5A">
            <w:r>
              <w:t>features_aligned.csv</w:t>
            </w:r>
          </w:p>
        </w:tc>
      </w:tr>
      <w:tr w:rsidR="009E264A" w14:paraId="6F75E73F" w14:textId="17257EC9" w:rsidTr="00B868E7">
        <w:tc>
          <w:tcPr>
            <w:tcW w:w="2972" w:type="dxa"/>
            <w:shd w:val="clear" w:color="auto" w:fill="F2F2F2" w:themeFill="background1" w:themeFillShade="F2"/>
          </w:tcPr>
          <w:p w14:paraId="62DB54F6" w14:textId="1410D21E" w:rsidR="009E264A" w:rsidRDefault="009E264A" w:rsidP="00EB6E5A">
            <w:r>
              <w:t>2022-01-01 – 2025-12-31</w:t>
            </w:r>
          </w:p>
        </w:tc>
        <w:tc>
          <w:tcPr>
            <w:tcW w:w="992" w:type="dxa"/>
          </w:tcPr>
          <w:p w14:paraId="1357513D" w14:textId="1CB7D2B0" w:rsidR="009E264A" w:rsidRDefault="009E264A" w:rsidP="00EB6E5A">
            <w:r>
              <w:t>1,461</w:t>
            </w:r>
          </w:p>
        </w:tc>
        <w:tc>
          <w:tcPr>
            <w:tcW w:w="1843" w:type="dxa"/>
          </w:tcPr>
          <w:p w14:paraId="17D44BE8" w14:textId="2924C7D1" w:rsidR="009E264A" w:rsidRDefault="009E264A" w:rsidP="00EB6E5A">
            <w:r>
              <w:t>Excluded</w:t>
            </w:r>
          </w:p>
        </w:tc>
        <w:tc>
          <w:tcPr>
            <w:tcW w:w="3209" w:type="dxa"/>
          </w:tcPr>
          <w:p w14:paraId="147DA5E9" w14:textId="5C0F50E9" w:rsidR="009E264A" w:rsidRDefault="009E264A" w:rsidP="00EB6E5A">
            <w:r>
              <w:t>features_aligned_no_mco.csv</w:t>
            </w:r>
          </w:p>
        </w:tc>
      </w:tr>
    </w:tbl>
    <w:p w14:paraId="5858A07E" w14:textId="5942F335" w:rsidR="009E264A" w:rsidRDefault="009E264A" w:rsidP="009E264A">
      <w:pPr>
        <w:pStyle w:val="Caption"/>
        <w:spacing w:before="240"/>
        <w:jc w:val="center"/>
        <w:rPr>
          <w:color w:val="auto"/>
          <w:sz w:val="24"/>
          <w:szCs w:val="24"/>
        </w:rPr>
      </w:pPr>
      <w:r w:rsidRPr="009E264A">
        <w:rPr>
          <w:color w:val="auto"/>
          <w:sz w:val="24"/>
          <w:szCs w:val="24"/>
        </w:rPr>
        <w:t xml:space="preserve">Table </w:t>
      </w:r>
      <w:r w:rsidRPr="009E264A">
        <w:rPr>
          <w:color w:val="auto"/>
          <w:sz w:val="24"/>
          <w:szCs w:val="24"/>
        </w:rPr>
        <w:fldChar w:fldCharType="begin"/>
      </w:r>
      <w:r w:rsidRPr="009E264A">
        <w:rPr>
          <w:color w:val="auto"/>
          <w:sz w:val="24"/>
          <w:szCs w:val="24"/>
        </w:rPr>
        <w:instrText xml:space="preserve"> SEQ Table \* ARABIC </w:instrText>
      </w:r>
      <w:r w:rsidRPr="009E264A">
        <w:rPr>
          <w:color w:val="auto"/>
          <w:sz w:val="24"/>
          <w:szCs w:val="24"/>
        </w:rPr>
        <w:fldChar w:fldCharType="separate"/>
      </w:r>
      <w:r w:rsidR="0050272D">
        <w:rPr>
          <w:noProof/>
          <w:color w:val="auto"/>
          <w:sz w:val="24"/>
          <w:szCs w:val="24"/>
        </w:rPr>
        <w:t>10</w:t>
      </w:r>
      <w:r w:rsidRPr="009E264A">
        <w:rPr>
          <w:color w:val="auto"/>
          <w:sz w:val="24"/>
          <w:szCs w:val="24"/>
        </w:rPr>
        <w:fldChar w:fldCharType="end"/>
      </w:r>
      <w:r>
        <w:rPr>
          <w:color w:val="auto"/>
          <w:sz w:val="24"/>
          <w:szCs w:val="24"/>
        </w:rPr>
        <w:t>: The proposed, finalized</w:t>
      </w:r>
      <w:r w:rsidR="00B868E7">
        <w:rPr>
          <w:color w:val="auto"/>
          <w:sz w:val="24"/>
          <w:szCs w:val="24"/>
        </w:rPr>
        <w:t>, cleaned</w:t>
      </w:r>
      <w:r>
        <w:rPr>
          <w:color w:val="auto"/>
          <w:sz w:val="24"/>
          <w:szCs w:val="24"/>
        </w:rPr>
        <w:t xml:space="preserve"> data segmentation as required for this study </w:t>
      </w:r>
      <w:r w:rsidR="00B868E7">
        <w:rPr>
          <w:color w:val="auto"/>
          <w:sz w:val="24"/>
          <w:szCs w:val="24"/>
        </w:rPr>
        <w:t>to empirically evaluate the effect of MCO extreme anomalies on DL model predictions.</w:t>
      </w:r>
    </w:p>
    <w:p w14:paraId="5A306FF6" w14:textId="0272EC4B" w:rsidR="00BE1218" w:rsidRPr="00BE1218" w:rsidRDefault="00BE1218" w:rsidP="00BE1218">
      <w:r>
        <w:t>Both files are produced together in the same Python script to ensure MCO-inclusive and MCO-exclusive experimental conditions are always synchronised.</w:t>
      </w:r>
    </w:p>
    <w:p w14:paraId="4E0AD6EC" w14:textId="4D93B3C3" w:rsidR="00166559" w:rsidRDefault="00166559">
      <w:pPr>
        <w:pStyle w:val="Heading2"/>
        <w:numPr>
          <w:ilvl w:val="2"/>
          <w:numId w:val="3"/>
        </w:numPr>
        <w:rPr>
          <w:b/>
          <w:bCs/>
          <w:sz w:val="24"/>
          <w:szCs w:val="24"/>
          <w:u w:val="single"/>
        </w:rPr>
      </w:pPr>
      <w:r>
        <w:rPr>
          <w:b/>
          <w:bCs/>
          <w:sz w:val="24"/>
          <w:szCs w:val="24"/>
          <w:u w:val="single"/>
        </w:rPr>
        <w:t>Sequence Building</w:t>
      </w:r>
    </w:p>
    <w:p w14:paraId="7A669FBC" w14:textId="03B5238B" w:rsidR="00166559" w:rsidRDefault="00DD0730" w:rsidP="001419AD">
      <w:pPr>
        <w:ind w:firstLine="720"/>
      </w:pPr>
      <w:r>
        <w:t xml:space="preserve">A script is designed specifically for sequence generation is programmed to transform a pre-filtered features CSV file into overlapping sliding window tensor objects for training purposes. Sliding window, or referred as rolling window, is the well-known technique used in generating fixed-length input-output pairs from a time-series dataset for CNNs and RNNs as mentioned by Wu et al. (2023). The window and the prediction are generated using the input-output pairs of </w:t>
      </w:r>
      <w:proofErr w:type="spellStart"/>
      <w:r>
        <w:t>T_in</w:t>
      </w:r>
      <w:proofErr w:type="spellEnd"/>
      <w:r>
        <w:t xml:space="preserve"> number of days and </w:t>
      </w:r>
      <w:proofErr w:type="spellStart"/>
      <w:r>
        <w:t>T_out</w:t>
      </w:r>
      <w:proofErr w:type="spellEnd"/>
      <w:r>
        <w:t xml:space="preserve"> number of days, respectively.</w:t>
      </w:r>
    </w:p>
    <w:p w14:paraId="6B498A7C" w14:textId="78BEF732" w:rsidR="00616D32" w:rsidRDefault="00C110C4" w:rsidP="001419AD">
      <w:pPr>
        <w:ind w:firstLine="720"/>
        <w:rPr>
          <w:noProof/>
          <w:lang w:val="en-US"/>
        </w:rPr>
      </w:pPr>
      <w:r>
        <w:lastRenderedPageBreak/>
        <w:t xml:space="preserve">Windows are extracted in strict chronological order without shuffling, preserving the temporal ordering that is essential for valid time series evaluation </w:t>
      </w:r>
      <w:r>
        <w:rPr>
          <w:noProof/>
          <w:lang w:val="en-US"/>
        </w:rPr>
        <w:t>(AlKhereibi et al., 2023)</w:t>
      </w:r>
      <w:r w:rsidR="00BF1DCD">
        <w:rPr>
          <w:noProof/>
          <w:lang w:val="en-US"/>
        </w:rPr>
        <w:t>. Remaining structural nulls (pre-launch ridership and initial unavailable data columns) are zero-filled before windowing. The dataset is partitioned 70%/15%/15% by index position into training, validation, and test sets, respectively, with no temporal overlap between partitions.</w:t>
      </w:r>
    </w:p>
    <w:p w14:paraId="69B9F486" w14:textId="0D27B6E6" w:rsidR="004030F8" w:rsidRDefault="004030F8" w:rsidP="001419AD">
      <w:pPr>
        <w:ind w:firstLine="720"/>
        <w:rPr>
          <w:noProof/>
          <w:lang w:val="en-US"/>
        </w:rPr>
      </w:pPr>
      <w:r>
        <w:rPr>
          <w:noProof/>
          <w:lang w:val="en-US"/>
        </w:rPr>
        <w:t>A MinMaxScalar is fitted on the training split only with the feature matrix flattened to enable per-feature scaling, and applied to validation and test splits using the fitted parameters. A separate scaler is fitted on training targets to enable inverse-transformation of predictions back to original ridership counts. Casolaro et al. (2023) mentioned that fitting scalers exclusively on the training partition prevents information leakage from future observations into the training process, a known source of optimistically biased performance estimates in time series benchmarks.</w:t>
      </w:r>
    </w:p>
    <w:p w14:paraId="1D22CEBA" w14:textId="030370C7" w:rsidR="00247FD7" w:rsidRDefault="00247FD7" w:rsidP="001419AD">
      <w:pPr>
        <w:ind w:firstLine="720"/>
        <w:rPr>
          <w:noProof/>
          <w:lang w:val="en-US"/>
        </w:rPr>
      </w:pPr>
      <w:r>
        <w:rPr>
          <w:noProof/>
          <w:lang w:val="en-US"/>
        </w:rPr>
        <w:t>Since future calendar information is deterministic for any forecast date, a dedicated X_future tensor is constructed for each split: an array of shape (N, T_out, 16) containing the 16 temporal features for the forecast horizon. This allows models to condition multi-step predictions on known future holiday flags and cyclical calendar features without requiring access to future ridership values.</w:t>
      </w:r>
    </w:p>
    <w:p w14:paraId="426CC4D8" w14:textId="3F343A4E" w:rsidR="00247FD7" w:rsidRDefault="00247FD7" w:rsidP="001419AD">
      <w:pPr>
        <w:ind w:firstLine="720"/>
        <w:rPr>
          <w:noProof/>
          <w:lang w:val="en-US"/>
        </w:rPr>
      </w:pPr>
      <w:r>
        <w:rPr>
          <w:noProof/>
          <w:lang w:val="en-US"/>
        </w:rPr>
        <w:t>The builder is invoked twice per lookback configuration – once for each MCO condition – producing six sequence directories for the three lookback windows evaluated in this study, with</w:t>
      </w:r>
      <w:r w:rsidR="009577C7">
        <w:rPr>
          <w:noProof/>
          <w:lang w:val="en-US"/>
        </w:rPr>
        <w:t xml:space="preserve"> </w:t>
      </w:r>
      <w:r>
        <w:rPr>
          <w:noProof/>
          <w:lang w:val="en-US"/>
        </w:rPr>
        <w:t xml:space="preserve">additional </w:t>
      </w:r>
      <w:r w:rsidR="009577C7">
        <w:rPr>
          <w:noProof/>
          <w:lang w:val="en-US"/>
        </w:rPr>
        <w:t xml:space="preserve">sequences for </w:t>
      </w:r>
      <w:r>
        <w:rPr>
          <w:noProof/>
          <w:lang w:val="en-US"/>
        </w:rPr>
        <w:t>7-day and 84-day lookback windows for the proposed model.</w:t>
      </w:r>
      <w:r w:rsidR="00427E36">
        <w:rPr>
          <w:noProof/>
          <w:lang w:val="en-US"/>
        </w:rPr>
        <w:t xml:space="preserve"> All array outputs are stored as float16 by default, halving disk and memory footprint with negligible precision loss for data that has been MinMax-scaled to [0, 1]. Model scripts load sequences and upcast to float32 before feeding to the neural network.</w:t>
      </w:r>
    </w:p>
    <w:tbl>
      <w:tblPr>
        <w:tblStyle w:val="TableGrid"/>
        <w:tblW w:w="9067" w:type="dxa"/>
        <w:tblLook w:val="04A0" w:firstRow="1" w:lastRow="0" w:firstColumn="1" w:lastColumn="0" w:noHBand="0" w:noVBand="1"/>
      </w:tblPr>
      <w:tblGrid>
        <w:gridCol w:w="3076"/>
        <w:gridCol w:w="888"/>
        <w:gridCol w:w="1482"/>
        <w:gridCol w:w="3621"/>
      </w:tblGrid>
      <w:tr w:rsidR="00600FDF" w14:paraId="3CABD6B1" w14:textId="77777777" w:rsidTr="00600FDF">
        <w:tc>
          <w:tcPr>
            <w:tcW w:w="3076" w:type="dxa"/>
            <w:shd w:val="clear" w:color="auto" w:fill="C1E4F5" w:themeFill="accent1" w:themeFillTint="33"/>
          </w:tcPr>
          <w:p w14:paraId="2B61F9F5" w14:textId="52AA4DEE" w:rsidR="00600FDF" w:rsidRPr="00600FDF" w:rsidRDefault="00600FDF" w:rsidP="00F035F8">
            <w:pPr>
              <w:rPr>
                <w:b/>
                <w:bCs/>
                <w:noProof/>
                <w:lang w:val="en-US"/>
              </w:rPr>
            </w:pPr>
            <w:r>
              <w:rPr>
                <w:b/>
                <w:bCs/>
                <w:noProof/>
                <w:lang w:val="en-US"/>
              </w:rPr>
              <w:t>Input File</w:t>
            </w:r>
          </w:p>
        </w:tc>
        <w:tc>
          <w:tcPr>
            <w:tcW w:w="888" w:type="dxa"/>
            <w:shd w:val="clear" w:color="auto" w:fill="C1E4F5" w:themeFill="accent1" w:themeFillTint="33"/>
          </w:tcPr>
          <w:p w14:paraId="7FFD276B" w14:textId="7685A68B" w:rsidR="00600FDF" w:rsidRPr="00600FDF" w:rsidRDefault="00600FDF" w:rsidP="00F035F8">
            <w:pPr>
              <w:rPr>
                <w:b/>
                <w:bCs/>
                <w:noProof/>
                <w:lang w:val="en-US"/>
              </w:rPr>
            </w:pPr>
            <w:r>
              <w:rPr>
                <w:b/>
                <w:bCs/>
                <w:noProof/>
                <w:lang w:val="en-US"/>
              </w:rPr>
              <w:t>T_in (days)</w:t>
            </w:r>
          </w:p>
        </w:tc>
        <w:tc>
          <w:tcPr>
            <w:tcW w:w="1482" w:type="dxa"/>
            <w:shd w:val="clear" w:color="auto" w:fill="C1E4F5" w:themeFill="accent1" w:themeFillTint="33"/>
          </w:tcPr>
          <w:p w14:paraId="2DDE2BD5" w14:textId="3A39F011" w:rsidR="00600FDF" w:rsidRPr="00600FDF" w:rsidRDefault="00600FDF" w:rsidP="00F035F8">
            <w:pPr>
              <w:rPr>
                <w:b/>
                <w:bCs/>
                <w:noProof/>
                <w:lang w:val="en-US"/>
              </w:rPr>
            </w:pPr>
            <w:r>
              <w:rPr>
                <w:b/>
                <w:bCs/>
                <w:noProof/>
                <w:lang w:val="en-US"/>
              </w:rPr>
              <w:t>MCO period</w:t>
            </w:r>
          </w:p>
        </w:tc>
        <w:tc>
          <w:tcPr>
            <w:tcW w:w="3621" w:type="dxa"/>
            <w:shd w:val="clear" w:color="auto" w:fill="C1E4F5" w:themeFill="accent1" w:themeFillTint="33"/>
          </w:tcPr>
          <w:p w14:paraId="3F445CE0" w14:textId="4E5155C9" w:rsidR="00600FDF" w:rsidRPr="00600FDF" w:rsidRDefault="00600FDF" w:rsidP="00F035F8">
            <w:pPr>
              <w:rPr>
                <w:b/>
                <w:bCs/>
                <w:noProof/>
                <w:lang w:val="en-US"/>
              </w:rPr>
            </w:pPr>
            <w:r>
              <w:rPr>
                <w:b/>
                <w:bCs/>
                <w:noProof/>
                <w:lang w:val="en-US"/>
              </w:rPr>
              <w:t>Model</w:t>
            </w:r>
          </w:p>
        </w:tc>
      </w:tr>
      <w:tr w:rsidR="00600FDF" w14:paraId="6BBFE56C" w14:textId="77777777" w:rsidTr="00600FDF">
        <w:tc>
          <w:tcPr>
            <w:tcW w:w="3076" w:type="dxa"/>
            <w:vMerge w:val="restart"/>
            <w:shd w:val="clear" w:color="auto" w:fill="F2F2F2" w:themeFill="background1" w:themeFillShade="F2"/>
          </w:tcPr>
          <w:p w14:paraId="27580B8F" w14:textId="0FEFCA7D" w:rsidR="00600FDF" w:rsidRDefault="00600FDF" w:rsidP="00F035F8">
            <w:pPr>
              <w:rPr>
                <w:noProof/>
                <w:lang w:val="en-US"/>
              </w:rPr>
            </w:pPr>
            <w:r>
              <w:rPr>
                <w:noProof/>
                <w:lang w:val="en-US"/>
              </w:rPr>
              <w:t>features_aligned.csv</w:t>
            </w:r>
          </w:p>
        </w:tc>
        <w:tc>
          <w:tcPr>
            <w:tcW w:w="888" w:type="dxa"/>
          </w:tcPr>
          <w:p w14:paraId="24EA3642" w14:textId="0B4AA428" w:rsidR="00600FDF" w:rsidRDefault="00600FDF" w:rsidP="00F035F8">
            <w:pPr>
              <w:rPr>
                <w:noProof/>
                <w:lang w:val="en-US"/>
              </w:rPr>
            </w:pPr>
            <w:r>
              <w:rPr>
                <w:noProof/>
                <w:lang w:val="en-US"/>
              </w:rPr>
              <w:t>7</w:t>
            </w:r>
          </w:p>
        </w:tc>
        <w:tc>
          <w:tcPr>
            <w:tcW w:w="1482" w:type="dxa"/>
            <w:vMerge w:val="restart"/>
          </w:tcPr>
          <w:p w14:paraId="48304018" w14:textId="48EA4D4E" w:rsidR="00600FDF" w:rsidRDefault="00600FDF" w:rsidP="00F035F8">
            <w:pPr>
              <w:rPr>
                <w:noProof/>
                <w:lang w:val="en-US"/>
              </w:rPr>
            </w:pPr>
            <w:r>
              <w:rPr>
                <w:noProof/>
                <w:lang w:val="en-US"/>
              </w:rPr>
              <w:t>Included</w:t>
            </w:r>
          </w:p>
        </w:tc>
        <w:tc>
          <w:tcPr>
            <w:tcW w:w="3621" w:type="dxa"/>
          </w:tcPr>
          <w:p w14:paraId="7E17A272" w14:textId="6CCFDD73" w:rsidR="00600FDF" w:rsidRDefault="00600FDF" w:rsidP="00F035F8">
            <w:pPr>
              <w:rPr>
                <w:noProof/>
                <w:lang w:val="en-US"/>
              </w:rPr>
            </w:pPr>
            <w:r>
              <w:rPr>
                <w:noProof/>
                <w:lang w:val="en-US"/>
              </w:rPr>
              <w:t>HMT-TSF</w:t>
            </w:r>
          </w:p>
        </w:tc>
      </w:tr>
      <w:tr w:rsidR="00600FDF" w14:paraId="51E88799" w14:textId="77777777" w:rsidTr="00600FDF">
        <w:tc>
          <w:tcPr>
            <w:tcW w:w="3076" w:type="dxa"/>
            <w:vMerge/>
            <w:shd w:val="clear" w:color="auto" w:fill="F2F2F2" w:themeFill="background1" w:themeFillShade="F2"/>
          </w:tcPr>
          <w:p w14:paraId="3BD163BC" w14:textId="77777777" w:rsidR="00600FDF" w:rsidRDefault="00600FDF" w:rsidP="00F035F8">
            <w:pPr>
              <w:rPr>
                <w:noProof/>
                <w:lang w:val="en-US"/>
              </w:rPr>
            </w:pPr>
          </w:p>
        </w:tc>
        <w:tc>
          <w:tcPr>
            <w:tcW w:w="888" w:type="dxa"/>
          </w:tcPr>
          <w:p w14:paraId="791907DE" w14:textId="3E3A641E" w:rsidR="00600FDF" w:rsidRDefault="00600FDF" w:rsidP="00F035F8">
            <w:pPr>
              <w:rPr>
                <w:noProof/>
                <w:lang w:val="en-US"/>
              </w:rPr>
            </w:pPr>
            <w:r>
              <w:rPr>
                <w:noProof/>
                <w:lang w:val="en-US"/>
              </w:rPr>
              <w:t>14</w:t>
            </w:r>
          </w:p>
        </w:tc>
        <w:tc>
          <w:tcPr>
            <w:tcW w:w="1482" w:type="dxa"/>
            <w:vMerge/>
          </w:tcPr>
          <w:p w14:paraId="504FD0C0" w14:textId="77777777" w:rsidR="00600FDF" w:rsidRDefault="00600FDF" w:rsidP="00F035F8">
            <w:pPr>
              <w:rPr>
                <w:noProof/>
                <w:lang w:val="en-US"/>
              </w:rPr>
            </w:pPr>
          </w:p>
        </w:tc>
        <w:tc>
          <w:tcPr>
            <w:tcW w:w="3621" w:type="dxa"/>
          </w:tcPr>
          <w:p w14:paraId="21082E64" w14:textId="1C224485" w:rsidR="00600FDF" w:rsidRDefault="00600FDF" w:rsidP="00F035F8">
            <w:pPr>
              <w:rPr>
                <w:noProof/>
                <w:lang w:val="en-US"/>
              </w:rPr>
            </w:pPr>
            <w:r>
              <w:rPr>
                <w:noProof/>
                <w:lang w:val="en-US"/>
              </w:rPr>
              <w:t>Baseline, Comparative, HMT-TSF</w:t>
            </w:r>
          </w:p>
        </w:tc>
      </w:tr>
      <w:tr w:rsidR="00600FDF" w14:paraId="4E1748EA" w14:textId="77777777" w:rsidTr="00600FDF">
        <w:tc>
          <w:tcPr>
            <w:tcW w:w="3076" w:type="dxa"/>
            <w:vMerge/>
            <w:shd w:val="clear" w:color="auto" w:fill="F2F2F2" w:themeFill="background1" w:themeFillShade="F2"/>
          </w:tcPr>
          <w:p w14:paraId="60A6C72E" w14:textId="77777777" w:rsidR="00600FDF" w:rsidRDefault="00600FDF" w:rsidP="00600FDF">
            <w:pPr>
              <w:rPr>
                <w:noProof/>
                <w:lang w:val="en-US"/>
              </w:rPr>
            </w:pPr>
          </w:p>
        </w:tc>
        <w:tc>
          <w:tcPr>
            <w:tcW w:w="888" w:type="dxa"/>
          </w:tcPr>
          <w:p w14:paraId="5F7B7412" w14:textId="15751461" w:rsidR="00600FDF" w:rsidRDefault="00600FDF" w:rsidP="00600FDF">
            <w:pPr>
              <w:rPr>
                <w:noProof/>
                <w:lang w:val="en-US"/>
              </w:rPr>
            </w:pPr>
            <w:r>
              <w:rPr>
                <w:noProof/>
                <w:lang w:val="en-US"/>
              </w:rPr>
              <w:t>28</w:t>
            </w:r>
          </w:p>
        </w:tc>
        <w:tc>
          <w:tcPr>
            <w:tcW w:w="1482" w:type="dxa"/>
            <w:vMerge/>
          </w:tcPr>
          <w:p w14:paraId="1E20B95F" w14:textId="77777777" w:rsidR="00600FDF" w:rsidRDefault="00600FDF" w:rsidP="00600FDF">
            <w:pPr>
              <w:rPr>
                <w:noProof/>
                <w:lang w:val="en-US"/>
              </w:rPr>
            </w:pPr>
          </w:p>
        </w:tc>
        <w:tc>
          <w:tcPr>
            <w:tcW w:w="3621" w:type="dxa"/>
          </w:tcPr>
          <w:p w14:paraId="68743B64" w14:textId="07C96935" w:rsidR="00600FDF" w:rsidRDefault="00600FDF" w:rsidP="00600FDF">
            <w:pPr>
              <w:rPr>
                <w:noProof/>
                <w:lang w:val="en-US"/>
              </w:rPr>
            </w:pPr>
            <w:r>
              <w:rPr>
                <w:noProof/>
                <w:lang w:val="en-US"/>
              </w:rPr>
              <w:t>Baseline, Comparative, HMT-TSF</w:t>
            </w:r>
          </w:p>
        </w:tc>
      </w:tr>
      <w:tr w:rsidR="00600FDF" w14:paraId="7A6604C8" w14:textId="77777777" w:rsidTr="00600FDF">
        <w:tc>
          <w:tcPr>
            <w:tcW w:w="3076" w:type="dxa"/>
            <w:vMerge/>
            <w:shd w:val="clear" w:color="auto" w:fill="F2F2F2" w:themeFill="background1" w:themeFillShade="F2"/>
          </w:tcPr>
          <w:p w14:paraId="3406092F" w14:textId="77777777" w:rsidR="00600FDF" w:rsidRDefault="00600FDF" w:rsidP="00600FDF">
            <w:pPr>
              <w:rPr>
                <w:noProof/>
                <w:lang w:val="en-US"/>
              </w:rPr>
            </w:pPr>
          </w:p>
        </w:tc>
        <w:tc>
          <w:tcPr>
            <w:tcW w:w="888" w:type="dxa"/>
          </w:tcPr>
          <w:p w14:paraId="669B0F29" w14:textId="3751B3DD" w:rsidR="00600FDF" w:rsidRDefault="00600FDF" w:rsidP="00600FDF">
            <w:pPr>
              <w:rPr>
                <w:noProof/>
                <w:lang w:val="en-US"/>
              </w:rPr>
            </w:pPr>
            <w:r>
              <w:rPr>
                <w:noProof/>
                <w:lang w:val="en-US"/>
              </w:rPr>
              <w:t>56</w:t>
            </w:r>
          </w:p>
        </w:tc>
        <w:tc>
          <w:tcPr>
            <w:tcW w:w="1482" w:type="dxa"/>
            <w:vMerge/>
          </w:tcPr>
          <w:p w14:paraId="65A195D9" w14:textId="77777777" w:rsidR="00600FDF" w:rsidRDefault="00600FDF" w:rsidP="00600FDF">
            <w:pPr>
              <w:rPr>
                <w:noProof/>
                <w:lang w:val="en-US"/>
              </w:rPr>
            </w:pPr>
          </w:p>
        </w:tc>
        <w:tc>
          <w:tcPr>
            <w:tcW w:w="3621" w:type="dxa"/>
          </w:tcPr>
          <w:p w14:paraId="02FE8CA3" w14:textId="54D5C888" w:rsidR="00600FDF" w:rsidRDefault="00600FDF" w:rsidP="00600FDF">
            <w:pPr>
              <w:rPr>
                <w:noProof/>
                <w:lang w:val="en-US"/>
              </w:rPr>
            </w:pPr>
            <w:r>
              <w:rPr>
                <w:noProof/>
                <w:lang w:val="en-US"/>
              </w:rPr>
              <w:t>Baseline, Comparative, HMT-TSF</w:t>
            </w:r>
          </w:p>
        </w:tc>
      </w:tr>
      <w:tr w:rsidR="00600FDF" w14:paraId="16012CDD" w14:textId="77777777" w:rsidTr="00600FDF">
        <w:tc>
          <w:tcPr>
            <w:tcW w:w="3076" w:type="dxa"/>
            <w:vMerge/>
            <w:shd w:val="clear" w:color="auto" w:fill="F2F2F2" w:themeFill="background1" w:themeFillShade="F2"/>
          </w:tcPr>
          <w:p w14:paraId="3A4BEBBC" w14:textId="77777777" w:rsidR="00600FDF" w:rsidRDefault="00600FDF" w:rsidP="00F035F8">
            <w:pPr>
              <w:rPr>
                <w:noProof/>
                <w:lang w:val="en-US"/>
              </w:rPr>
            </w:pPr>
          </w:p>
        </w:tc>
        <w:tc>
          <w:tcPr>
            <w:tcW w:w="888" w:type="dxa"/>
          </w:tcPr>
          <w:p w14:paraId="0D9F5F12" w14:textId="1A15297B" w:rsidR="00600FDF" w:rsidRDefault="00600FDF" w:rsidP="00F035F8">
            <w:pPr>
              <w:rPr>
                <w:noProof/>
                <w:lang w:val="en-US"/>
              </w:rPr>
            </w:pPr>
            <w:r>
              <w:rPr>
                <w:noProof/>
                <w:lang w:val="en-US"/>
              </w:rPr>
              <w:t>84</w:t>
            </w:r>
          </w:p>
        </w:tc>
        <w:tc>
          <w:tcPr>
            <w:tcW w:w="1482" w:type="dxa"/>
            <w:vMerge/>
          </w:tcPr>
          <w:p w14:paraId="360EEBDD" w14:textId="77777777" w:rsidR="00600FDF" w:rsidRDefault="00600FDF" w:rsidP="00F035F8">
            <w:pPr>
              <w:rPr>
                <w:noProof/>
                <w:lang w:val="en-US"/>
              </w:rPr>
            </w:pPr>
          </w:p>
        </w:tc>
        <w:tc>
          <w:tcPr>
            <w:tcW w:w="3621" w:type="dxa"/>
          </w:tcPr>
          <w:p w14:paraId="757B4B35" w14:textId="0BA3BB08" w:rsidR="00600FDF" w:rsidRDefault="00600FDF" w:rsidP="00F035F8">
            <w:pPr>
              <w:rPr>
                <w:noProof/>
                <w:lang w:val="en-US"/>
              </w:rPr>
            </w:pPr>
            <w:r>
              <w:rPr>
                <w:noProof/>
                <w:lang w:val="en-US"/>
              </w:rPr>
              <w:t>HMT-TSF</w:t>
            </w:r>
          </w:p>
        </w:tc>
      </w:tr>
      <w:tr w:rsidR="00600FDF" w14:paraId="74FC915E" w14:textId="77777777" w:rsidTr="00600FDF">
        <w:tc>
          <w:tcPr>
            <w:tcW w:w="3076" w:type="dxa"/>
            <w:vMerge w:val="restart"/>
            <w:shd w:val="clear" w:color="auto" w:fill="F2F2F2" w:themeFill="background1" w:themeFillShade="F2"/>
          </w:tcPr>
          <w:p w14:paraId="6E550DD3" w14:textId="60F68A67" w:rsidR="00600FDF" w:rsidRDefault="00600FDF" w:rsidP="00F035F8">
            <w:pPr>
              <w:rPr>
                <w:noProof/>
                <w:lang w:val="en-US"/>
              </w:rPr>
            </w:pPr>
            <w:r>
              <w:rPr>
                <w:noProof/>
                <w:lang w:val="en-US"/>
              </w:rPr>
              <w:t>features_aligend_no_mco.csv</w:t>
            </w:r>
          </w:p>
        </w:tc>
        <w:tc>
          <w:tcPr>
            <w:tcW w:w="888" w:type="dxa"/>
          </w:tcPr>
          <w:p w14:paraId="3603D7A7" w14:textId="38E51EC3" w:rsidR="00600FDF" w:rsidRDefault="00600FDF" w:rsidP="00F035F8">
            <w:pPr>
              <w:rPr>
                <w:noProof/>
                <w:lang w:val="en-US"/>
              </w:rPr>
            </w:pPr>
            <w:r>
              <w:rPr>
                <w:noProof/>
                <w:lang w:val="en-US"/>
              </w:rPr>
              <w:t>7</w:t>
            </w:r>
          </w:p>
        </w:tc>
        <w:tc>
          <w:tcPr>
            <w:tcW w:w="1482" w:type="dxa"/>
            <w:vMerge w:val="restart"/>
          </w:tcPr>
          <w:p w14:paraId="4C750420" w14:textId="72B29D8D" w:rsidR="00600FDF" w:rsidRDefault="00600FDF" w:rsidP="00F035F8">
            <w:pPr>
              <w:rPr>
                <w:noProof/>
                <w:lang w:val="en-US"/>
              </w:rPr>
            </w:pPr>
            <w:r>
              <w:rPr>
                <w:noProof/>
                <w:lang w:val="en-US"/>
              </w:rPr>
              <w:t>Excluded</w:t>
            </w:r>
          </w:p>
        </w:tc>
        <w:tc>
          <w:tcPr>
            <w:tcW w:w="3621" w:type="dxa"/>
          </w:tcPr>
          <w:p w14:paraId="402C0D07" w14:textId="6CFBBE54" w:rsidR="00600FDF" w:rsidRDefault="00600FDF" w:rsidP="00F035F8">
            <w:pPr>
              <w:rPr>
                <w:noProof/>
                <w:lang w:val="en-US"/>
              </w:rPr>
            </w:pPr>
            <w:r>
              <w:rPr>
                <w:noProof/>
                <w:lang w:val="en-US"/>
              </w:rPr>
              <w:t>HMT-TSF</w:t>
            </w:r>
          </w:p>
        </w:tc>
      </w:tr>
      <w:tr w:rsidR="00600FDF" w14:paraId="3AED8715" w14:textId="77777777" w:rsidTr="00600FDF">
        <w:tc>
          <w:tcPr>
            <w:tcW w:w="3076" w:type="dxa"/>
            <w:vMerge/>
            <w:shd w:val="clear" w:color="auto" w:fill="F2F2F2" w:themeFill="background1" w:themeFillShade="F2"/>
          </w:tcPr>
          <w:p w14:paraId="1861BC76" w14:textId="77777777" w:rsidR="00600FDF" w:rsidRDefault="00600FDF" w:rsidP="00600FDF">
            <w:pPr>
              <w:rPr>
                <w:noProof/>
                <w:lang w:val="en-US"/>
              </w:rPr>
            </w:pPr>
          </w:p>
        </w:tc>
        <w:tc>
          <w:tcPr>
            <w:tcW w:w="888" w:type="dxa"/>
          </w:tcPr>
          <w:p w14:paraId="08AB3279" w14:textId="6D2BBC9F" w:rsidR="00600FDF" w:rsidRDefault="00600FDF" w:rsidP="00600FDF">
            <w:pPr>
              <w:rPr>
                <w:noProof/>
                <w:lang w:val="en-US"/>
              </w:rPr>
            </w:pPr>
            <w:r>
              <w:rPr>
                <w:noProof/>
                <w:lang w:val="en-US"/>
              </w:rPr>
              <w:t>14</w:t>
            </w:r>
          </w:p>
        </w:tc>
        <w:tc>
          <w:tcPr>
            <w:tcW w:w="1482" w:type="dxa"/>
            <w:vMerge/>
          </w:tcPr>
          <w:p w14:paraId="2ABBF3BF" w14:textId="77777777" w:rsidR="00600FDF" w:rsidRDefault="00600FDF" w:rsidP="00600FDF">
            <w:pPr>
              <w:rPr>
                <w:noProof/>
                <w:lang w:val="en-US"/>
              </w:rPr>
            </w:pPr>
          </w:p>
        </w:tc>
        <w:tc>
          <w:tcPr>
            <w:tcW w:w="3621" w:type="dxa"/>
          </w:tcPr>
          <w:p w14:paraId="0782AB2D" w14:textId="208378D0" w:rsidR="00600FDF" w:rsidRDefault="00600FDF" w:rsidP="00600FDF">
            <w:pPr>
              <w:rPr>
                <w:noProof/>
                <w:lang w:val="en-US"/>
              </w:rPr>
            </w:pPr>
            <w:r>
              <w:rPr>
                <w:noProof/>
                <w:lang w:val="en-US"/>
              </w:rPr>
              <w:t>Baseline, Comparative, HMT-TSF</w:t>
            </w:r>
          </w:p>
        </w:tc>
      </w:tr>
      <w:tr w:rsidR="00600FDF" w14:paraId="64EB4984" w14:textId="77777777" w:rsidTr="00600FDF">
        <w:tc>
          <w:tcPr>
            <w:tcW w:w="3076" w:type="dxa"/>
            <w:vMerge/>
            <w:shd w:val="clear" w:color="auto" w:fill="F2F2F2" w:themeFill="background1" w:themeFillShade="F2"/>
          </w:tcPr>
          <w:p w14:paraId="1F36FD08" w14:textId="77777777" w:rsidR="00600FDF" w:rsidRDefault="00600FDF" w:rsidP="00600FDF">
            <w:pPr>
              <w:rPr>
                <w:noProof/>
                <w:lang w:val="en-US"/>
              </w:rPr>
            </w:pPr>
          </w:p>
        </w:tc>
        <w:tc>
          <w:tcPr>
            <w:tcW w:w="888" w:type="dxa"/>
          </w:tcPr>
          <w:p w14:paraId="5FB737F3" w14:textId="32B9A77B" w:rsidR="00600FDF" w:rsidRDefault="00600FDF" w:rsidP="00600FDF">
            <w:pPr>
              <w:rPr>
                <w:noProof/>
                <w:lang w:val="en-US"/>
              </w:rPr>
            </w:pPr>
            <w:r>
              <w:rPr>
                <w:noProof/>
                <w:lang w:val="en-US"/>
              </w:rPr>
              <w:t>28</w:t>
            </w:r>
          </w:p>
        </w:tc>
        <w:tc>
          <w:tcPr>
            <w:tcW w:w="1482" w:type="dxa"/>
            <w:vMerge/>
          </w:tcPr>
          <w:p w14:paraId="12EA50E1" w14:textId="77777777" w:rsidR="00600FDF" w:rsidRDefault="00600FDF" w:rsidP="00600FDF">
            <w:pPr>
              <w:rPr>
                <w:noProof/>
                <w:lang w:val="en-US"/>
              </w:rPr>
            </w:pPr>
          </w:p>
        </w:tc>
        <w:tc>
          <w:tcPr>
            <w:tcW w:w="3621" w:type="dxa"/>
          </w:tcPr>
          <w:p w14:paraId="422D74EC" w14:textId="6EBE74CA" w:rsidR="00600FDF" w:rsidRDefault="00600FDF" w:rsidP="00600FDF">
            <w:pPr>
              <w:rPr>
                <w:noProof/>
                <w:lang w:val="en-US"/>
              </w:rPr>
            </w:pPr>
            <w:r>
              <w:rPr>
                <w:noProof/>
                <w:lang w:val="en-US"/>
              </w:rPr>
              <w:t>Baseline, Comparative, HMT-TSF</w:t>
            </w:r>
          </w:p>
        </w:tc>
      </w:tr>
      <w:tr w:rsidR="00600FDF" w14:paraId="1B73326B" w14:textId="77777777" w:rsidTr="00600FDF">
        <w:tc>
          <w:tcPr>
            <w:tcW w:w="3076" w:type="dxa"/>
            <w:vMerge/>
            <w:shd w:val="clear" w:color="auto" w:fill="F2F2F2" w:themeFill="background1" w:themeFillShade="F2"/>
          </w:tcPr>
          <w:p w14:paraId="012BAA60" w14:textId="77777777" w:rsidR="00600FDF" w:rsidRDefault="00600FDF" w:rsidP="00600FDF">
            <w:pPr>
              <w:rPr>
                <w:noProof/>
                <w:lang w:val="en-US"/>
              </w:rPr>
            </w:pPr>
          </w:p>
        </w:tc>
        <w:tc>
          <w:tcPr>
            <w:tcW w:w="888" w:type="dxa"/>
          </w:tcPr>
          <w:p w14:paraId="76E307A9" w14:textId="151DE5CC" w:rsidR="00600FDF" w:rsidRDefault="00600FDF" w:rsidP="00600FDF">
            <w:pPr>
              <w:rPr>
                <w:noProof/>
                <w:lang w:val="en-US"/>
              </w:rPr>
            </w:pPr>
            <w:r>
              <w:rPr>
                <w:noProof/>
                <w:lang w:val="en-US"/>
              </w:rPr>
              <w:t>56</w:t>
            </w:r>
          </w:p>
        </w:tc>
        <w:tc>
          <w:tcPr>
            <w:tcW w:w="1482" w:type="dxa"/>
            <w:vMerge/>
          </w:tcPr>
          <w:p w14:paraId="7EA9C620" w14:textId="77777777" w:rsidR="00600FDF" w:rsidRDefault="00600FDF" w:rsidP="00600FDF">
            <w:pPr>
              <w:rPr>
                <w:noProof/>
                <w:lang w:val="en-US"/>
              </w:rPr>
            </w:pPr>
          </w:p>
        </w:tc>
        <w:tc>
          <w:tcPr>
            <w:tcW w:w="3621" w:type="dxa"/>
          </w:tcPr>
          <w:p w14:paraId="5222C883" w14:textId="1B935030" w:rsidR="00600FDF" w:rsidRDefault="00600FDF" w:rsidP="00600FDF">
            <w:pPr>
              <w:rPr>
                <w:noProof/>
                <w:lang w:val="en-US"/>
              </w:rPr>
            </w:pPr>
            <w:r>
              <w:rPr>
                <w:noProof/>
                <w:lang w:val="en-US"/>
              </w:rPr>
              <w:t>Baseline, Comparative, HMT-TSF</w:t>
            </w:r>
          </w:p>
        </w:tc>
      </w:tr>
      <w:tr w:rsidR="00600FDF" w14:paraId="1E78F1D3" w14:textId="77777777" w:rsidTr="00600FDF">
        <w:tc>
          <w:tcPr>
            <w:tcW w:w="3076" w:type="dxa"/>
            <w:vMerge/>
            <w:shd w:val="clear" w:color="auto" w:fill="F2F2F2" w:themeFill="background1" w:themeFillShade="F2"/>
          </w:tcPr>
          <w:p w14:paraId="4A2C5364" w14:textId="77777777" w:rsidR="00600FDF" w:rsidRDefault="00600FDF" w:rsidP="00F035F8">
            <w:pPr>
              <w:rPr>
                <w:noProof/>
                <w:lang w:val="en-US"/>
              </w:rPr>
            </w:pPr>
          </w:p>
        </w:tc>
        <w:tc>
          <w:tcPr>
            <w:tcW w:w="888" w:type="dxa"/>
          </w:tcPr>
          <w:p w14:paraId="775BDF8F" w14:textId="694F76E4" w:rsidR="00600FDF" w:rsidRDefault="00600FDF" w:rsidP="00F035F8">
            <w:pPr>
              <w:rPr>
                <w:noProof/>
                <w:lang w:val="en-US"/>
              </w:rPr>
            </w:pPr>
            <w:r>
              <w:rPr>
                <w:noProof/>
                <w:lang w:val="en-US"/>
              </w:rPr>
              <w:t>84</w:t>
            </w:r>
          </w:p>
        </w:tc>
        <w:tc>
          <w:tcPr>
            <w:tcW w:w="1482" w:type="dxa"/>
            <w:vMerge/>
          </w:tcPr>
          <w:p w14:paraId="1A9C70EE" w14:textId="77777777" w:rsidR="00600FDF" w:rsidRDefault="00600FDF" w:rsidP="00F035F8">
            <w:pPr>
              <w:rPr>
                <w:noProof/>
                <w:lang w:val="en-US"/>
              </w:rPr>
            </w:pPr>
          </w:p>
        </w:tc>
        <w:tc>
          <w:tcPr>
            <w:tcW w:w="3621" w:type="dxa"/>
          </w:tcPr>
          <w:p w14:paraId="7EA51739" w14:textId="4E4984C7" w:rsidR="00600FDF" w:rsidRDefault="00600FDF" w:rsidP="00F035F8">
            <w:pPr>
              <w:rPr>
                <w:noProof/>
                <w:lang w:val="en-US"/>
              </w:rPr>
            </w:pPr>
            <w:r>
              <w:rPr>
                <w:noProof/>
                <w:lang w:val="en-US"/>
              </w:rPr>
              <w:t>HMT-TSF</w:t>
            </w:r>
          </w:p>
        </w:tc>
      </w:tr>
    </w:tbl>
    <w:p w14:paraId="15C80CDC" w14:textId="21F281E8" w:rsidR="00247FD7" w:rsidRPr="00427E36" w:rsidRDefault="00600FDF" w:rsidP="00427E36">
      <w:pPr>
        <w:pStyle w:val="Caption"/>
        <w:spacing w:before="240"/>
        <w:jc w:val="center"/>
        <w:rPr>
          <w:noProof/>
          <w:color w:val="auto"/>
          <w:sz w:val="24"/>
          <w:szCs w:val="24"/>
          <w:lang w:val="en-US"/>
        </w:rPr>
      </w:pPr>
      <w:r w:rsidRPr="00600FDF">
        <w:rPr>
          <w:color w:val="auto"/>
          <w:sz w:val="24"/>
          <w:szCs w:val="24"/>
        </w:rPr>
        <w:t xml:space="preserve">Table </w:t>
      </w:r>
      <w:r w:rsidRPr="00600FDF">
        <w:rPr>
          <w:color w:val="auto"/>
          <w:sz w:val="24"/>
          <w:szCs w:val="24"/>
        </w:rPr>
        <w:fldChar w:fldCharType="begin"/>
      </w:r>
      <w:r w:rsidRPr="00600FDF">
        <w:rPr>
          <w:color w:val="auto"/>
          <w:sz w:val="24"/>
          <w:szCs w:val="24"/>
        </w:rPr>
        <w:instrText xml:space="preserve"> SEQ Table \* ARABIC </w:instrText>
      </w:r>
      <w:r w:rsidRPr="00600FDF">
        <w:rPr>
          <w:color w:val="auto"/>
          <w:sz w:val="24"/>
          <w:szCs w:val="24"/>
        </w:rPr>
        <w:fldChar w:fldCharType="separate"/>
      </w:r>
      <w:r w:rsidR="0050272D">
        <w:rPr>
          <w:noProof/>
          <w:color w:val="auto"/>
          <w:sz w:val="24"/>
          <w:szCs w:val="24"/>
        </w:rPr>
        <w:t>11</w:t>
      </w:r>
      <w:r w:rsidRPr="00600FDF">
        <w:rPr>
          <w:color w:val="auto"/>
          <w:sz w:val="24"/>
          <w:szCs w:val="24"/>
        </w:rPr>
        <w:fldChar w:fldCharType="end"/>
      </w:r>
      <w:r>
        <w:rPr>
          <w:color w:val="auto"/>
          <w:sz w:val="24"/>
          <w:szCs w:val="24"/>
        </w:rPr>
        <w:t>: After sequence building, each combination of different lookbacks and MCO-inclusive/exclusive will be saved as a directory where baseline and comparative models will be using 14-day, 28-day, 56-day lookbacks, proposed model HMT-TSF will be using all five lookbacks.</w:t>
      </w:r>
    </w:p>
    <w:p w14:paraId="2CE529AF" w14:textId="13965164" w:rsidR="00040728" w:rsidRDefault="00040728">
      <w:pPr>
        <w:pStyle w:val="Heading2"/>
        <w:numPr>
          <w:ilvl w:val="1"/>
          <w:numId w:val="3"/>
        </w:numPr>
        <w:rPr>
          <w:b/>
          <w:bCs/>
          <w:sz w:val="24"/>
          <w:szCs w:val="24"/>
          <w:u w:val="single"/>
        </w:rPr>
      </w:pPr>
      <w:bookmarkStart w:id="30" w:name="_Toc230901627"/>
      <w:r w:rsidRPr="00C7720B">
        <w:rPr>
          <w:b/>
          <w:bCs/>
          <w:sz w:val="24"/>
          <w:szCs w:val="24"/>
          <w:u w:val="single"/>
        </w:rPr>
        <w:t>Explanatory Data Analysis</w:t>
      </w:r>
      <w:bookmarkEnd w:id="30"/>
    </w:p>
    <w:p w14:paraId="3AAA24B5" w14:textId="1207A031" w:rsidR="003021E3" w:rsidRDefault="003021E3">
      <w:pPr>
        <w:pStyle w:val="Heading2"/>
        <w:numPr>
          <w:ilvl w:val="2"/>
          <w:numId w:val="3"/>
        </w:numPr>
        <w:rPr>
          <w:b/>
          <w:bCs/>
          <w:sz w:val="24"/>
          <w:szCs w:val="24"/>
          <w:u w:val="single"/>
        </w:rPr>
      </w:pPr>
      <w:r>
        <w:rPr>
          <w:b/>
          <w:bCs/>
          <w:sz w:val="24"/>
          <w:szCs w:val="24"/>
          <w:u w:val="single"/>
        </w:rPr>
        <w:t>MCO Collapse and Unequal Recovery</w:t>
      </w:r>
    </w:p>
    <w:p w14:paraId="5EB20373" w14:textId="6F3980C6" w:rsidR="00F6788C" w:rsidRDefault="00F6788C" w:rsidP="009C493D">
      <w:pPr>
        <w:ind w:firstLine="720"/>
      </w:pPr>
      <w:r>
        <w:t xml:space="preserve">The COVID-19 MCO caused an 85-90% ridership drops across all 12 transit services. Post-MCO recovery rates diverge sharply by mode: rail-heavy services (LRT, MRT) recovered more slowly than bus services, which benefited from route-level flexibility. Change-point detection (binary segmentation, 5 breakpoints) applied to the </w:t>
      </w:r>
      <w:proofErr w:type="spellStart"/>
      <w:r>
        <w:t>total_ridership</w:t>
      </w:r>
      <w:proofErr w:type="spellEnd"/>
      <w:r>
        <w:t xml:space="preserve"> series identifies four distinct phases: pre-MCO baseline, lockdown trough</w:t>
      </w:r>
      <w:r w:rsidR="008D7D94">
        <w:t xml:space="preserve">, </w:t>
      </w:r>
      <w:r w:rsidR="004B4D88">
        <w:t>phased-reopening recovery, and stable post-MCO trend. Per-service collapse percentages and post-MCO recovery slopes were computed as:</w:t>
      </w:r>
    </w:p>
    <w:p w14:paraId="15EE0F9E" w14:textId="21F3DB5D" w:rsidR="004B4D88" w:rsidRPr="004B4D88" w:rsidRDefault="00000000" w:rsidP="00F6788C">
      <m:oMathPara>
        <m:oMath>
          <m:d>
            <m:dPr>
              <m:ctrlPr>
                <w:rPr>
                  <w:rFonts w:ascii="Cambria Math" w:hAnsi="Cambria Math"/>
                </w:rPr>
              </m:ctrlPr>
            </m:dPr>
            <m:e>
              <w:proofErr w:type="spellStart"/>
              <m:r>
                <m:rPr>
                  <m:nor/>
                </m:rPr>
                <w:rPr>
                  <w:rFonts w:ascii="Cambria Math" w:hAnsi="Cambria Math"/>
                </w:rPr>
                <m:t>ridership_post</m:t>
              </m:r>
              <w:proofErr w:type="spellEnd"/>
              <m:r>
                <w:rPr>
                  <w:rFonts w:ascii="Cambria Math" w:hAnsi="Cambria Math"/>
                </w:rPr>
                <m:t>-</m:t>
              </m:r>
              <m:r>
                <m:rPr>
                  <m:nor/>
                </m:rPr>
                <w:rPr>
                  <w:rFonts w:ascii="Cambria Math" w:hAnsi="Cambria Math"/>
                </w:rPr>
                <m:t>ridership_trough</m:t>
              </m:r>
            </m:e>
          </m:d>
          <m:r>
            <w:rPr>
              <w:rFonts w:ascii="Cambria Math" w:hAnsi="Cambria Math"/>
            </w:rPr>
            <m:t>/</m:t>
          </m:r>
          <m:r>
            <m:rPr>
              <m:nor/>
            </m:rPr>
            <w:rPr>
              <w:rFonts w:ascii="Cambria Math" w:hAnsi="Cambria Math"/>
            </w:rPr>
            <m:t>ridership_pre</m:t>
          </m:r>
          <m:r>
            <w:rPr>
              <w:rFonts w:ascii="Cambria Math" w:hAnsi="Cambria Math"/>
            </w:rPr>
            <m:t>×100</m:t>
          </m:r>
        </m:oMath>
      </m:oMathPara>
    </w:p>
    <w:p w14:paraId="2B14A82F" w14:textId="14B4E02C" w:rsidR="004B4D88" w:rsidRDefault="004B4D88" w:rsidP="00F6788C">
      <w:r>
        <w:t>The MCO flag (</w:t>
      </w:r>
      <w:proofErr w:type="spellStart"/>
      <w:r>
        <w:t>is_mco</w:t>
      </w:r>
      <w:proofErr w:type="spellEnd"/>
      <w:r>
        <w:t xml:space="preserve"> = 1) was applied to 650 rows (~25% of the full 2019 – 2025 series).</w:t>
      </w:r>
      <w:r w:rsidR="00E66598">
        <w:t xml:space="preserve"> Retaining MCO rows with a binary flag rather than removing them preserves sequence continuity for LSTM sliding windows while enabling the model to learn the break.</w:t>
      </w:r>
      <w:r w:rsidR="003B44FD">
        <w:rPr>
          <w:noProof/>
        </w:rPr>
        <w:drawing>
          <wp:inline distT="0" distB="0" distL="0" distR="0" wp14:anchorId="5FF9B9B3" wp14:editId="11D8889F">
            <wp:extent cx="5719445" cy="2449830"/>
            <wp:effectExtent l="19050" t="19050" r="14605" b="26670"/>
            <wp:docPr id="99325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9445" cy="2449830"/>
                    </a:xfrm>
                    <a:prstGeom prst="rect">
                      <a:avLst/>
                    </a:prstGeom>
                    <a:noFill/>
                    <a:ln>
                      <a:solidFill>
                        <a:schemeClr val="tx1"/>
                      </a:solidFill>
                    </a:ln>
                  </pic:spPr>
                </pic:pic>
              </a:graphicData>
            </a:graphic>
          </wp:inline>
        </w:drawing>
      </w:r>
    </w:p>
    <w:p w14:paraId="1D12211B" w14:textId="7AB4387F" w:rsidR="003B44FD" w:rsidRDefault="003B44FD" w:rsidP="003B44FD">
      <w:pPr>
        <w:pStyle w:val="Caption"/>
        <w:jc w:val="center"/>
        <w:rPr>
          <w:color w:val="000000" w:themeColor="text1"/>
          <w:sz w:val="24"/>
          <w:szCs w:val="24"/>
        </w:rPr>
      </w:pPr>
      <w:r w:rsidRPr="003B44FD">
        <w:rPr>
          <w:color w:val="000000" w:themeColor="text1"/>
          <w:sz w:val="24"/>
          <w:szCs w:val="24"/>
        </w:rPr>
        <w:lastRenderedPageBreak/>
        <w:t xml:space="preserve">Figure </w:t>
      </w:r>
      <w:r w:rsidRPr="003B44FD">
        <w:rPr>
          <w:color w:val="000000" w:themeColor="text1"/>
          <w:sz w:val="24"/>
          <w:szCs w:val="24"/>
        </w:rPr>
        <w:fldChar w:fldCharType="begin"/>
      </w:r>
      <w:r w:rsidRPr="003B44FD">
        <w:rPr>
          <w:color w:val="000000" w:themeColor="text1"/>
          <w:sz w:val="24"/>
          <w:szCs w:val="24"/>
        </w:rPr>
        <w:instrText xml:space="preserve"> SEQ Figure \* ARABIC </w:instrText>
      </w:r>
      <w:r w:rsidRPr="003B44FD">
        <w:rPr>
          <w:color w:val="000000" w:themeColor="text1"/>
          <w:sz w:val="24"/>
          <w:szCs w:val="24"/>
        </w:rPr>
        <w:fldChar w:fldCharType="separate"/>
      </w:r>
      <w:r w:rsidR="009C2312">
        <w:rPr>
          <w:noProof/>
          <w:color w:val="000000" w:themeColor="text1"/>
          <w:sz w:val="24"/>
          <w:szCs w:val="24"/>
        </w:rPr>
        <w:t>3</w:t>
      </w:r>
      <w:r w:rsidRPr="003B44FD">
        <w:rPr>
          <w:color w:val="000000" w:themeColor="text1"/>
          <w:sz w:val="24"/>
          <w:szCs w:val="24"/>
        </w:rPr>
        <w:fldChar w:fldCharType="end"/>
      </w:r>
      <w:r>
        <w:rPr>
          <w:color w:val="000000" w:themeColor="text1"/>
          <w:sz w:val="24"/>
          <w:szCs w:val="24"/>
        </w:rPr>
        <w:t>: A line chart titled “Change-Point Detection in Ridership” showing total daily transit volume from 2019 to mid-2026, featuring six vertical red dashed lines that pinpoint specific structural shifts or transition points over time.</w:t>
      </w:r>
    </w:p>
    <w:p w14:paraId="7F66E46A" w14:textId="15B65A6E" w:rsidR="003B44FD" w:rsidRDefault="003B44FD" w:rsidP="003B44FD">
      <w:r>
        <w:rPr>
          <w:noProof/>
        </w:rPr>
        <w:drawing>
          <wp:inline distT="0" distB="0" distL="0" distR="0" wp14:anchorId="23317802" wp14:editId="72D5DEFD">
            <wp:extent cx="5719445" cy="2148205"/>
            <wp:effectExtent l="19050" t="19050" r="14605" b="23495"/>
            <wp:docPr id="250210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19445" cy="2148205"/>
                    </a:xfrm>
                    <a:prstGeom prst="rect">
                      <a:avLst/>
                    </a:prstGeom>
                    <a:noFill/>
                    <a:ln>
                      <a:solidFill>
                        <a:schemeClr val="tx1"/>
                      </a:solidFill>
                    </a:ln>
                  </pic:spPr>
                </pic:pic>
              </a:graphicData>
            </a:graphic>
          </wp:inline>
        </w:drawing>
      </w:r>
    </w:p>
    <w:p w14:paraId="1B64A1F7" w14:textId="32977287" w:rsidR="003B44FD" w:rsidRDefault="003B44FD" w:rsidP="003B44FD">
      <w:pPr>
        <w:pStyle w:val="Caption"/>
        <w:jc w:val="center"/>
        <w:rPr>
          <w:color w:val="000000" w:themeColor="text1"/>
          <w:sz w:val="24"/>
          <w:szCs w:val="24"/>
        </w:rPr>
      </w:pPr>
      <w:r w:rsidRPr="003B44FD">
        <w:rPr>
          <w:color w:val="000000" w:themeColor="text1"/>
          <w:sz w:val="24"/>
          <w:szCs w:val="24"/>
        </w:rPr>
        <w:t xml:space="preserve">Figure </w:t>
      </w:r>
      <w:r w:rsidRPr="003B44FD">
        <w:rPr>
          <w:color w:val="000000" w:themeColor="text1"/>
          <w:sz w:val="24"/>
          <w:szCs w:val="24"/>
        </w:rPr>
        <w:fldChar w:fldCharType="begin"/>
      </w:r>
      <w:r w:rsidRPr="003B44FD">
        <w:rPr>
          <w:color w:val="000000" w:themeColor="text1"/>
          <w:sz w:val="24"/>
          <w:szCs w:val="24"/>
        </w:rPr>
        <w:instrText xml:space="preserve"> SEQ Figure \* ARABIC </w:instrText>
      </w:r>
      <w:r w:rsidRPr="003B44FD">
        <w:rPr>
          <w:color w:val="000000" w:themeColor="text1"/>
          <w:sz w:val="24"/>
          <w:szCs w:val="24"/>
        </w:rPr>
        <w:fldChar w:fldCharType="separate"/>
      </w:r>
      <w:r w:rsidR="009C2312">
        <w:rPr>
          <w:noProof/>
          <w:color w:val="000000" w:themeColor="text1"/>
          <w:sz w:val="24"/>
          <w:szCs w:val="24"/>
        </w:rPr>
        <w:t>4</w:t>
      </w:r>
      <w:r w:rsidRPr="003B44FD">
        <w:rPr>
          <w:color w:val="000000" w:themeColor="text1"/>
          <w:sz w:val="24"/>
          <w:szCs w:val="24"/>
        </w:rPr>
        <w:fldChar w:fldCharType="end"/>
      </w:r>
      <w:r>
        <w:rPr>
          <w:color w:val="000000" w:themeColor="text1"/>
          <w:sz w:val="24"/>
          <w:szCs w:val="24"/>
        </w:rPr>
        <w:t>: A grouped bar chart titled “Average Ridership by Period across Services” comparing average daily usage numbers across various rail and bus lines segmented into three distinct phases: Pre-MCO (blue), MCO (orange), and Post-MCO (green).</w:t>
      </w:r>
    </w:p>
    <w:p w14:paraId="302FD5F9" w14:textId="083B4710" w:rsidR="00CF00E8" w:rsidRDefault="00CF00E8" w:rsidP="00CF00E8">
      <w:r>
        <w:rPr>
          <w:noProof/>
        </w:rPr>
        <w:drawing>
          <wp:inline distT="0" distB="0" distL="0" distR="0" wp14:anchorId="61FDFC33" wp14:editId="759511B9">
            <wp:extent cx="5719445" cy="2863850"/>
            <wp:effectExtent l="19050" t="19050" r="14605" b="12700"/>
            <wp:docPr id="884245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9445" cy="2863850"/>
                    </a:xfrm>
                    <a:prstGeom prst="rect">
                      <a:avLst/>
                    </a:prstGeom>
                    <a:noFill/>
                    <a:ln>
                      <a:solidFill>
                        <a:schemeClr val="tx1"/>
                      </a:solidFill>
                    </a:ln>
                  </pic:spPr>
                </pic:pic>
              </a:graphicData>
            </a:graphic>
          </wp:inline>
        </w:drawing>
      </w:r>
    </w:p>
    <w:p w14:paraId="7E9D6030" w14:textId="2C96C94C" w:rsidR="004B4D88" w:rsidRPr="003246B0" w:rsidRDefault="00CF00E8" w:rsidP="003246B0">
      <w:pPr>
        <w:pStyle w:val="Caption"/>
        <w:jc w:val="center"/>
        <w:rPr>
          <w:color w:val="000000" w:themeColor="text1"/>
          <w:sz w:val="24"/>
          <w:szCs w:val="24"/>
        </w:rPr>
      </w:pPr>
      <w:r w:rsidRPr="00CF00E8">
        <w:rPr>
          <w:color w:val="000000" w:themeColor="text1"/>
          <w:sz w:val="24"/>
          <w:szCs w:val="24"/>
        </w:rPr>
        <w:t xml:space="preserve">Figure </w:t>
      </w:r>
      <w:r w:rsidRPr="00CF00E8">
        <w:rPr>
          <w:color w:val="000000" w:themeColor="text1"/>
          <w:sz w:val="24"/>
          <w:szCs w:val="24"/>
        </w:rPr>
        <w:fldChar w:fldCharType="begin"/>
      </w:r>
      <w:r w:rsidRPr="00CF00E8">
        <w:rPr>
          <w:color w:val="000000" w:themeColor="text1"/>
          <w:sz w:val="24"/>
          <w:szCs w:val="24"/>
        </w:rPr>
        <w:instrText xml:space="preserve"> SEQ Figure \* ARABIC </w:instrText>
      </w:r>
      <w:r w:rsidRPr="00CF00E8">
        <w:rPr>
          <w:color w:val="000000" w:themeColor="text1"/>
          <w:sz w:val="24"/>
          <w:szCs w:val="24"/>
        </w:rPr>
        <w:fldChar w:fldCharType="separate"/>
      </w:r>
      <w:r w:rsidR="009C2312">
        <w:rPr>
          <w:noProof/>
          <w:color w:val="000000" w:themeColor="text1"/>
          <w:sz w:val="24"/>
          <w:szCs w:val="24"/>
        </w:rPr>
        <w:t>5</w:t>
      </w:r>
      <w:r w:rsidRPr="00CF00E8">
        <w:rPr>
          <w:color w:val="000000" w:themeColor="text1"/>
          <w:sz w:val="24"/>
          <w:szCs w:val="24"/>
        </w:rPr>
        <w:fldChar w:fldCharType="end"/>
      </w:r>
      <w:r>
        <w:rPr>
          <w:color w:val="000000" w:themeColor="text1"/>
          <w:sz w:val="24"/>
          <w:szCs w:val="24"/>
        </w:rPr>
        <w:t>: A complex multi-line chart titled “Post-MCO Recovery Trajectories (% of Pre-MCO baseline)” displaying cyclical, oscillating recovery patterns and periodic fluctuations from 2022 onward relative to a 100% baseline.</w:t>
      </w:r>
    </w:p>
    <w:p w14:paraId="3B89DF51" w14:textId="40B486E7" w:rsidR="00F6788C" w:rsidRDefault="00F6788C">
      <w:pPr>
        <w:pStyle w:val="Heading2"/>
        <w:numPr>
          <w:ilvl w:val="2"/>
          <w:numId w:val="3"/>
        </w:numPr>
        <w:rPr>
          <w:b/>
          <w:bCs/>
          <w:sz w:val="24"/>
          <w:szCs w:val="24"/>
          <w:u w:val="single"/>
        </w:rPr>
      </w:pPr>
      <w:r>
        <w:rPr>
          <w:b/>
          <w:bCs/>
          <w:sz w:val="24"/>
          <w:szCs w:val="24"/>
          <w:u w:val="single"/>
        </w:rPr>
        <w:t>Northeast Monsoon Rainfall Pattern</w:t>
      </w:r>
    </w:p>
    <w:p w14:paraId="125830BB" w14:textId="29E6AFCD" w:rsidR="003246B0" w:rsidRDefault="00B75E59" w:rsidP="00B75E59">
      <w:pPr>
        <w:ind w:firstLine="720"/>
      </w:pPr>
      <w:r>
        <w:t xml:space="preserve">Monthly wet-day ratio and extreme-event frequency (&gt; 50 mm/day) peak in November-January, aligning with the Northeast Monsoon season. East-coast states like Kelantan, Terengganu, Pahang, Sabah, record significantly more extreme-rainfall days per year than west-coast counterparts. Per-state monthly wet-day ratios were computed and extreme-event </w:t>
      </w:r>
      <w:r>
        <w:lastRenderedPageBreak/>
        <w:t xml:space="preserve">counts (days with </w:t>
      </w:r>
      <w:proofErr w:type="spellStart"/>
      <w:r>
        <w:t>rainfall_mm</w:t>
      </w:r>
      <w:proofErr w:type="spellEnd"/>
      <w:r>
        <w:t xml:space="preserve"> &gt; 50) were aggregated by month and by state PCODE. East-coast states average 8-12 extreme days in Q4 to next year Q1, versus Q2 to Q4 for Selangor and Kuala Lumpur</w:t>
      </w:r>
      <w:r w:rsidR="005464CE">
        <w:t xml:space="preserve">. The spatial heterogeneity in rainfall distribution justifies retaining all 15 state-level </w:t>
      </w:r>
      <w:proofErr w:type="spellStart"/>
      <w:r w:rsidR="005464CE">
        <w:t>rainfall_mm__MY</w:t>
      </w:r>
      <w:proofErr w:type="spellEnd"/>
      <w:r w:rsidR="005464CE">
        <w:t xml:space="preserve">{PCODE} columns individually rather than combine into a national mean. A single nation scalar would mask the east-vs-west variance that drives mode-specific ridership effects </w:t>
      </w:r>
      <w:r w:rsidR="005464CE">
        <w:rPr>
          <w:noProof/>
          <w:lang w:val="en-US"/>
        </w:rPr>
        <w:t>(Ngo &amp; Bashar, 2024)</w:t>
      </w:r>
      <w:r w:rsidR="005464CE">
        <w:t>. The 7-day interpolation limit (limit = 7) is chosen to span typical monsoon event durations without over-smoothing the seasonal peak.</w:t>
      </w:r>
    </w:p>
    <w:p w14:paraId="543C633E" w14:textId="734DF6D3" w:rsidR="00A6272F" w:rsidRDefault="00A6272F" w:rsidP="00A6272F">
      <w:r>
        <w:rPr>
          <w:noProof/>
        </w:rPr>
        <w:drawing>
          <wp:inline distT="0" distB="0" distL="0" distR="0" wp14:anchorId="788B7B88" wp14:editId="53C2DC95">
            <wp:extent cx="5719445" cy="1785620"/>
            <wp:effectExtent l="19050" t="19050" r="14605" b="24130"/>
            <wp:docPr id="324668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9445" cy="1785620"/>
                    </a:xfrm>
                    <a:prstGeom prst="rect">
                      <a:avLst/>
                    </a:prstGeom>
                    <a:noFill/>
                    <a:ln>
                      <a:solidFill>
                        <a:schemeClr val="tx1"/>
                      </a:solidFill>
                    </a:ln>
                  </pic:spPr>
                </pic:pic>
              </a:graphicData>
            </a:graphic>
          </wp:inline>
        </w:drawing>
      </w:r>
    </w:p>
    <w:p w14:paraId="6C4D13C6" w14:textId="0B76403D" w:rsidR="00A6272F" w:rsidRDefault="00A6272F" w:rsidP="00FD1714">
      <w:pPr>
        <w:pStyle w:val="Caption"/>
        <w:jc w:val="center"/>
        <w:rPr>
          <w:color w:val="000000" w:themeColor="text1"/>
          <w:sz w:val="24"/>
          <w:szCs w:val="24"/>
        </w:rPr>
      </w:pPr>
      <w:r w:rsidRPr="00FD1714">
        <w:rPr>
          <w:color w:val="000000" w:themeColor="text1"/>
          <w:sz w:val="24"/>
          <w:szCs w:val="24"/>
        </w:rPr>
        <w:t xml:space="preserve">Figure </w:t>
      </w:r>
      <w:r w:rsidRPr="00FD1714">
        <w:rPr>
          <w:color w:val="000000" w:themeColor="text1"/>
          <w:sz w:val="24"/>
          <w:szCs w:val="24"/>
        </w:rPr>
        <w:fldChar w:fldCharType="begin"/>
      </w:r>
      <w:r w:rsidRPr="00FD1714">
        <w:rPr>
          <w:color w:val="000000" w:themeColor="text1"/>
          <w:sz w:val="24"/>
          <w:szCs w:val="24"/>
        </w:rPr>
        <w:instrText xml:space="preserve"> SEQ Figure \* ARABIC </w:instrText>
      </w:r>
      <w:r w:rsidRPr="00FD1714">
        <w:rPr>
          <w:color w:val="000000" w:themeColor="text1"/>
          <w:sz w:val="24"/>
          <w:szCs w:val="24"/>
        </w:rPr>
        <w:fldChar w:fldCharType="separate"/>
      </w:r>
      <w:r w:rsidR="009C2312">
        <w:rPr>
          <w:noProof/>
          <w:color w:val="000000" w:themeColor="text1"/>
          <w:sz w:val="24"/>
          <w:szCs w:val="24"/>
        </w:rPr>
        <w:t>6</w:t>
      </w:r>
      <w:r w:rsidRPr="00FD1714">
        <w:rPr>
          <w:color w:val="000000" w:themeColor="text1"/>
          <w:sz w:val="24"/>
          <w:szCs w:val="24"/>
        </w:rPr>
        <w:fldChar w:fldCharType="end"/>
      </w:r>
      <w:r w:rsidR="00FD1714">
        <w:rPr>
          <w:color w:val="000000" w:themeColor="text1"/>
          <w:sz w:val="24"/>
          <w:szCs w:val="24"/>
        </w:rPr>
        <w:t>: A set of three horizontal bar charts comparing the total counts of wet days (&gt;= 10mm), very wet days (&gt;= 30mm), and extreme days (&gt;= 50mm) across various states, with Terengganu consistently showing the highest counts.</w:t>
      </w:r>
    </w:p>
    <w:p w14:paraId="7904A46C" w14:textId="2253D1DA" w:rsidR="00C90389" w:rsidRDefault="00C90389" w:rsidP="00C90389">
      <w:r>
        <w:lastRenderedPageBreak/>
        <w:t xml:space="preserve"> </w:t>
      </w:r>
      <w:r>
        <w:rPr>
          <w:noProof/>
        </w:rPr>
        <w:drawing>
          <wp:inline distT="0" distB="0" distL="0" distR="0" wp14:anchorId="5D787150" wp14:editId="1F4E7C06">
            <wp:extent cx="5719445" cy="4088765"/>
            <wp:effectExtent l="19050" t="19050" r="14605" b="26035"/>
            <wp:docPr id="12737877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7F1B8454" w14:textId="44191AC3" w:rsidR="00C90389" w:rsidRDefault="00C90389" w:rsidP="00C90389">
      <w:pPr>
        <w:pStyle w:val="Caption"/>
        <w:jc w:val="center"/>
        <w:rPr>
          <w:color w:val="000000" w:themeColor="text1"/>
          <w:sz w:val="24"/>
          <w:szCs w:val="24"/>
        </w:rPr>
      </w:pPr>
      <w:r w:rsidRPr="00C90389">
        <w:rPr>
          <w:color w:val="000000" w:themeColor="text1"/>
          <w:sz w:val="24"/>
          <w:szCs w:val="24"/>
        </w:rPr>
        <w:t xml:space="preserve">Figure </w:t>
      </w:r>
      <w:r w:rsidRPr="00C90389">
        <w:rPr>
          <w:color w:val="000000" w:themeColor="text1"/>
          <w:sz w:val="24"/>
          <w:szCs w:val="24"/>
        </w:rPr>
        <w:fldChar w:fldCharType="begin"/>
      </w:r>
      <w:r w:rsidRPr="00C90389">
        <w:rPr>
          <w:color w:val="000000" w:themeColor="text1"/>
          <w:sz w:val="24"/>
          <w:szCs w:val="24"/>
        </w:rPr>
        <w:instrText xml:space="preserve"> SEQ Figure \* ARABIC </w:instrText>
      </w:r>
      <w:r w:rsidRPr="00C90389">
        <w:rPr>
          <w:color w:val="000000" w:themeColor="text1"/>
          <w:sz w:val="24"/>
          <w:szCs w:val="24"/>
        </w:rPr>
        <w:fldChar w:fldCharType="separate"/>
      </w:r>
      <w:r w:rsidR="009C2312">
        <w:rPr>
          <w:noProof/>
          <w:color w:val="000000" w:themeColor="text1"/>
          <w:sz w:val="24"/>
          <w:szCs w:val="24"/>
        </w:rPr>
        <w:t>7</w:t>
      </w:r>
      <w:r w:rsidRPr="00C90389">
        <w:rPr>
          <w:color w:val="000000" w:themeColor="text1"/>
          <w:sz w:val="24"/>
          <w:szCs w:val="24"/>
        </w:rPr>
        <w:fldChar w:fldCharType="end"/>
      </w:r>
      <w:r>
        <w:rPr>
          <w:color w:val="000000" w:themeColor="text1"/>
          <w:sz w:val="24"/>
          <w:szCs w:val="24"/>
        </w:rPr>
        <w:t>: A four-panel dashboard visualizing the trend and breakdown of extreme rainfall events over time, including month/annual frequency percentages, annual wet day counts by category, and extreme event frequency aggregated by month.</w:t>
      </w:r>
    </w:p>
    <w:p w14:paraId="35959671" w14:textId="64FC894B" w:rsidR="00C90389" w:rsidRDefault="00C90389" w:rsidP="00C90389">
      <w:r>
        <w:rPr>
          <w:noProof/>
        </w:rPr>
        <w:lastRenderedPageBreak/>
        <w:drawing>
          <wp:inline distT="0" distB="0" distL="0" distR="0" wp14:anchorId="2B601FF2" wp14:editId="47BFACA1">
            <wp:extent cx="5727700" cy="4071620"/>
            <wp:effectExtent l="19050" t="19050" r="25400" b="24130"/>
            <wp:docPr id="1840938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7700" cy="4071620"/>
                    </a:xfrm>
                    <a:prstGeom prst="rect">
                      <a:avLst/>
                    </a:prstGeom>
                    <a:noFill/>
                    <a:ln>
                      <a:solidFill>
                        <a:schemeClr val="tx1"/>
                      </a:solidFill>
                    </a:ln>
                  </pic:spPr>
                </pic:pic>
              </a:graphicData>
            </a:graphic>
          </wp:inline>
        </w:drawing>
      </w:r>
    </w:p>
    <w:p w14:paraId="7C6E1061" w14:textId="1BC6118B" w:rsidR="00C90389" w:rsidRPr="00C90389" w:rsidRDefault="00C90389" w:rsidP="00C90389">
      <w:pPr>
        <w:pStyle w:val="Caption"/>
        <w:jc w:val="center"/>
        <w:rPr>
          <w:color w:val="000000" w:themeColor="text1"/>
          <w:sz w:val="24"/>
          <w:szCs w:val="24"/>
        </w:rPr>
      </w:pPr>
      <w:r w:rsidRPr="00C90389">
        <w:rPr>
          <w:color w:val="000000" w:themeColor="text1"/>
          <w:sz w:val="24"/>
          <w:szCs w:val="24"/>
        </w:rPr>
        <w:t xml:space="preserve">Figure </w:t>
      </w:r>
      <w:r w:rsidRPr="00C90389">
        <w:rPr>
          <w:color w:val="000000" w:themeColor="text1"/>
          <w:sz w:val="24"/>
          <w:szCs w:val="24"/>
        </w:rPr>
        <w:fldChar w:fldCharType="begin"/>
      </w:r>
      <w:r w:rsidRPr="00C90389">
        <w:rPr>
          <w:color w:val="000000" w:themeColor="text1"/>
          <w:sz w:val="24"/>
          <w:szCs w:val="24"/>
        </w:rPr>
        <w:instrText xml:space="preserve"> SEQ Figure \* ARABIC </w:instrText>
      </w:r>
      <w:r w:rsidRPr="00C90389">
        <w:rPr>
          <w:color w:val="000000" w:themeColor="text1"/>
          <w:sz w:val="24"/>
          <w:szCs w:val="24"/>
        </w:rPr>
        <w:fldChar w:fldCharType="separate"/>
      </w:r>
      <w:r w:rsidR="009C2312">
        <w:rPr>
          <w:noProof/>
          <w:color w:val="000000" w:themeColor="text1"/>
          <w:sz w:val="24"/>
          <w:szCs w:val="24"/>
        </w:rPr>
        <w:t>8</w:t>
      </w:r>
      <w:r w:rsidRPr="00C90389">
        <w:rPr>
          <w:color w:val="000000" w:themeColor="text1"/>
          <w:sz w:val="24"/>
          <w:szCs w:val="24"/>
        </w:rPr>
        <w:fldChar w:fldCharType="end"/>
      </w:r>
      <w:r>
        <w:rPr>
          <w:color w:val="000000" w:themeColor="text1"/>
          <w:sz w:val="24"/>
          <w:szCs w:val="24"/>
        </w:rPr>
        <w:t>: A comprehensive four-panel dashboard outlining general rainfall trends, including average daily rainfall by month, monthly rainfall anomalies, a 7-day rolling average timeline, and total annual rainfall from 2019 to 2026.</w:t>
      </w:r>
    </w:p>
    <w:p w14:paraId="0B69FF68" w14:textId="77777777" w:rsidR="00E37C72" w:rsidRDefault="00E37C72">
      <w:pPr>
        <w:pStyle w:val="Heading2"/>
        <w:numPr>
          <w:ilvl w:val="2"/>
          <w:numId w:val="3"/>
        </w:numPr>
        <w:rPr>
          <w:b/>
          <w:bCs/>
          <w:sz w:val="24"/>
          <w:szCs w:val="24"/>
          <w:u w:val="single"/>
        </w:rPr>
      </w:pPr>
      <w:r>
        <w:rPr>
          <w:b/>
          <w:bCs/>
          <w:sz w:val="24"/>
          <w:szCs w:val="24"/>
          <w:u w:val="single"/>
        </w:rPr>
        <w:t>Weather-Induced Ridership Surge under Heavy Rainfall</w:t>
      </w:r>
    </w:p>
    <w:p w14:paraId="5E736156" w14:textId="79B85F45" w:rsidR="00E37C72" w:rsidRDefault="0050493E" w:rsidP="00D14302">
      <w:pPr>
        <w:ind w:firstLine="720"/>
        <w:rPr>
          <w:noProof/>
          <w:lang w:val="en-US"/>
        </w:rPr>
      </w:pPr>
      <w:r>
        <w:t>Heavy rainfall events (above the 75</w:t>
      </w:r>
      <w:r w:rsidRPr="0050493E">
        <w:rPr>
          <w:vertAlign w:val="superscript"/>
        </w:rPr>
        <w:t>th</w:t>
      </w:r>
      <w:r>
        <w:t xml:space="preserve"> percentile of daily </w:t>
      </w:r>
      <w:proofErr w:type="spellStart"/>
      <w:r>
        <w:t>rainfall_mm</w:t>
      </w:r>
      <w:proofErr w:type="spellEnd"/>
      <w:r>
        <w:t>) are related with a measurable increase in transit ridership</w:t>
      </w:r>
      <w:r w:rsidR="00D14302">
        <w:t xml:space="preserve">. This counters the statement from </w:t>
      </w:r>
      <w:r w:rsidR="00D14302">
        <w:rPr>
          <w:noProof/>
          <w:lang w:val="en-US"/>
        </w:rPr>
        <w:t>Huang et al. (2022) where they mentioned “rain reduces travel”. Commuters who would otherwise use private vehicles shift to public transit when rainfall is severe enough to make driving uncomfortable or unsafe.</w:t>
      </w:r>
      <w:r w:rsidR="003A6D6B">
        <w:rPr>
          <w:noProof/>
          <w:lang w:val="en-US"/>
        </w:rPr>
        <w:t xml:space="preserve"> A binary heavy_rain flag is defined using the 75</w:t>
      </w:r>
      <w:r w:rsidR="003A6D6B" w:rsidRPr="003A6D6B">
        <w:rPr>
          <w:noProof/>
          <w:vertAlign w:val="superscript"/>
          <w:lang w:val="en-US"/>
        </w:rPr>
        <w:t>th</w:t>
      </w:r>
      <w:r w:rsidR="003A6D6B">
        <w:rPr>
          <w:noProof/>
          <w:lang w:val="en-US"/>
        </w:rPr>
        <w:t xml:space="preserve"> percentile threshold of the national mean daily rainfall_mm. A four-variale correlation matrix (total_ridership, rainfall_mm, rainfall_anomaly, heavy_rain) is computed and saved. Ridership percentage change is computed as:</w:t>
      </w:r>
    </w:p>
    <w:p w14:paraId="7D5EB6BD" w14:textId="5117BBA5" w:rsidR="00B85A8E" w:rsidRPr="00B85A8E" w:rsidRDefault="00B85A8E" w:rsidP="00B85A8E">
      <w:pPr>
        <w:rPr>
          <w:noProof/>
        </w:rPr>
      </w:pPr>
      <w:proofErr w:type="spellStart"/>
      <m:oMathPara>
        <m:oMath>
          <m:r>
            <m:rPr>
              <m:nor/>
            </m:rPr>
            <w:rPr>
              <w:rFonts w:ascii="Cambria Math" w:hAnsi="Cambria Math"/>
            </w:rPr>
            <m:t>pct_change</m:t>
          </m:r>
          <w:proofErr w:type="spellEnd"/>
          <m:r>
            <w:rPr>
              <w:rFonts w:ascii="Cambria Math" w:hAnsi="Cambria Math"/>
            </w:rPr>
            <m:t>×100</m:t>
          </m:r>
          <m:r>
            <m:rPr>
              <m:nor/>
            </m:rPr>
            <w:rPr>
              <w:rFonts w:ascii="Cambria Math" w:hAnsi="Cambria Math"/>
            </w:rPr>
            <m:t> w.r.t. prior day</m:t>
          </m:r>
        </m:oMath>
      </m:oMathPara>
    </w:p>
    <w:p w14:paraId="412331FE" w14:textId="0170BC93" w:rsidR="00B85A8E" w:rsidRDefault="00B85A8E" w:rsidP="00B85A8E">
      <w:pPr>
        <w:rPr>
          <w:noProof/>
        </w:rPr>
      </w:pPr>
      <w:r>
        <w:rPr>
          <w:noProof/>
        </w:rPr>
        <w:t xml:space="preserve">A scatter plot of rainfall vs. ridership percentage change coloured by the heavy_rain flag illustrates the surge regime. The companion intensity-bin analysis bins daily rainfall into five categories (Light 0-10mm, Extreme &gt; 100mm): the ridership relationship is weak at low intensities but strengthens measureably in the Heavy (30 – 50 mm) and Very Heavy (50 – </w:t>
      </w:r>
      <w:r>
        <w:rPr>
          <w:noProof/>
        </w:rPr>
        <w:lastRenderedPageBreak/>
        <w:t>100mm) bins, and a 30-day rolling correlation peaks during the Northeast Monsoon window (November to January).</w:t>
      </w:r>
    </w:p>
    <w:p w14:paraId="3E645B2A" w14:textId="00E9A6D0" w:rsidR="00B85A8E" w:rsidRDefault="00B85A8E" w:rsidP="00B85A8E">
      <w:pPr>
        <w:rPr>
          <w:noProof/>
          <w:lang w:val="en-US"/>
        </w:rPr>
      </w:pPr>
      <w:r>
        <w:rPr>
          <w:noProof/>
        </w:rPr>
        <w:tab/>
        <w:t>The two analyses jointly establish</w:t>
      </w:r>
      <w:r w:rsidR="00CD11EA">
        <w:rPr>
          <w:noProof/>
        </w:rPr>
        <w:t xml:space="preserve"> a non-monotone response: light-to-moderate rain slightly suppresses ridership (trips foregone): heavy rain paradoxically boosts ridership via modal shift from private vehicles </w:t>
      </w:r>
      <w:r w:rsidR="00CD11EA">
        <w:rPr>
          <w:noProof/>
          <w:lang w:val="en-US"/>
        </w:rPr>
        <w:t>(Jiang &amp; Cai, 2023)</w:t>
      </w:r>
      <w:r w:rsidR="00CD11EA">
        <w:rPr>
          <w:noProof/>
        </w:rPr>
        <w:t>. This is why a single continuous rainfall_mm variable is more informative than a binary wet/dry flag, it lets the model represent both sides of the response curve and why the seasonal interaction is left to the cyclical month_sin/cos features rather than fixed coefficient. The 75</w:t>
      </w:r>
      <w:r w:rsidR="00CD11EA" w:rsidRPr="00CD11EA">
        <w:rPr>
          <w:noProof/>
          <w:vertAlign w:val="superscript"/>
        </w:rPr>
        <w:t>th</w:t>
      </w:r>
      <w:r w:rsidR="00CD11EA">
        <w:rPr>
          <w:noProof/>
        </w:rPr>
        <w:t xml:space="preserve">-percentile surge threshold is consistent with common extreme-weather classification in the literature </w:t>
      </w:r>
      <w:r w:rsidR="00CD11EA">
        <w:rPr>
          <w:noProof/>
          <w:lang w:val="en-US"/>
        </w:rPr>
        <w:t>(Rahmani et al., 2025) and is purposedly distinct from the 95</w:t>
      </w:r>
      <w:r w:rsidR="00CD11EA" w:rsidRPr="00CD11EA">
        <w:rPr>
          <w:noProof/>
          <w:vertAlign w:val="superscript"/>
          <w:lang w:val="en-US"/>
        </w:rPr>
        <w:t>th</w:t>
      </w:r>
      <w:r w:rsidR="00CD11EA">
        <w:rPr>
          <w:noProof/>
          <w:lang w:val="en-US"/>
        </w:rPr>
        <w:t>-percentile “extreme event” threshold of the intensity-bin analysis. So that, the two characterise different portions of the tail. Individual monsoon events typically last 2 to 5 days, which also fixed the limit = 7 interpolation cap, long enough to span an event, short enough not to bridge across different events.</w:t>
      </w:r>
    </w:p>
    <w:p w14:paraId="4767340E" w14:textId="2455B0A4" w:rsidR="00AA7F5E" w:rsidRDefault="00AA7F5E" w:rsidP="00B85A8E">
      <w:pPr>
        <w:rPr>
          <w:noProof/>
        </w:rPr>
      </w:pPr>
      <w:r>
        <w:rPr>
          <w:noProof/>
        </w:rPr>
        <w:drawing>
          <wp:inline distT="0" distB="0" distL="0" distR="0" wp14:anchorId="51E5663E" wp14:editId="2D718238">
            <wp:extent cx="5727700" cy="3554095"/>
            <wp:effectExtent l="19050" t="19050" r="25400" b="27305"/>
            <wp:docPr id="72573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7700" cy="3554095"/>
                    </a:xfrm>
                    <a:prstGeom prst="rect">
                      <a:avLst/>
                    </a:prstGeom>
                    <a:noFill/>
                    <a:ln>
                      <a:solidFill>
                        <a:schemeClr val="tx1"/>
                      </a:solidFill>
                    </a:ln>
                  </pic:spPr>
                </pic:pic>
              </a:graphicData>
            </a:graphic>
          </wp:inline>
        </w:drawing>
      </w:r>
    </w:p>
    <w:p w14:paraId="056C85F5" w14:textId="6FC64D5D" w:rsidR="00AA7F5E" w:rsidRDefault="00AA7F5E" w:rsidP="00AA7F5E">
      <w:pPr>
        <w:pStyle w:val="Caption"/>
        <w:jc w:val="center"/>
        <w:rPr>
          <w:color w:val="000000" w:themeColor="text1"/>
          <w:sz w:val="24"/>
          <w:szCs w:val="24"/>
        </w:rPr>
      </w:pPr>
      <w:r w:rsidRPr="00AA7F5E">
        <w:rPr>
          <w:color w:val="000000" w:themeColor="text1"/>
          <w:sz w:val="24"/>
          <w:szCs w:val="24"/>
        </w:rPr>
        <w:t xml:space="preserve">Figure </w:t>
      </w:r>
      <w:r w:rsidRPr="00AA7F5E">
        <w:rPr>
          <w:color w:val="000000" w:themeColor="text1"/>
          <w:sz w:val="24"/>
          <w:szCs w:val="24"/>
        </w:rPr>
        <w:fldChar w:fldCharType="begin"/>
      </w:r>
      <w:r w:rsidRPr="00AA7F5E">
        <w:rPr>
          <w:color w:val="000000" w:themeColor="text1"/>
          <w:sz w:val="24"/>
          <w:szCs w:val="24"/>
        </w:rPr>
        <w:instrText xml:space="preserve"> SEQ Figure \* ARABIC </w:instrText>
      </w:r>
      <w:r w:rsidRPr="00AA7F5E">
        <w:rPr>
          <w:color w:val="000000" w:themeColor="text1"/>
          <w:sz w:val="24"/>
          <w:szCs w:val="24"/>
        </w:rPr>
        <w:fldChar w:fldCharType="separate"/>
      </w:r>
      <w:r w:rsidR="009C2312">
        <w:rPr>
          <w:noProof/>
          <w:color w:val="000000" w:themeColor="text1"/>
          <w:sz w:val="24"/>
          <w:szCs w:val="24"/>
        </w:rPr>
        <w:t>9</w:t>
      </w:r>
      <w:r w:rsidRPr="00AA7F5E">
        <w:rPr>
          <w:color w:val="000000" w:themeColor="text1"/>
          <w:sz w:val="24"/>
          <w:szCs w:val="24"/>
        </w:rPr>
        <w:fldChar w:fldCharType="end"/>
      </w:r>
      <w:r>
        <w:rPr>
          <w:color w:val="000000" w:themeColor="text1"/>
          <w:sz w:val="24"/>
          <w:szCs w:val="24"/>
        </w:rPr>
        <w:t>: An advanced behavioural analysis focusing on weather-driven modal shifts, contrasting heavy rain days against normal conditions through a correlation matrix, monthly trend comparisons, and a daily percentage change surge analysis.</w:t>
      </w:r>
    </w:p>
    <w:p w14:paraId="37FDD42F" w14:textId="2276EEFC" w:rsidR="008B21D2" w:rsidRDefault="008B21D2" w:rsidP="008B21D2">
      <w:r>
        <w:rPr>
          <w:noProof/>
        </w:rPr>
        <w:lastRenderedPageBreak/>
        <w:drawing>
          <wp:inline distT="0" distB="0" distL="0" distR="0" wp14:anchorId="23B5A908" wp14:editId="5E410C6D">
            <wp:extent cx="5719445" cy="4088765"/>
            <wp:effectExtent l="19050" t="19050" r="14605" b="26035"/>
            <wp:docPr id="778673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193426C9" w14:textId="230A34EF" w:rsidR="008B21D2" w:rsidRDefault="008B21D2" w:rsidP="008B21D2">
      <w:pPr>
        <w:pStyle w:val="Caption"/>
        <w:jc w:val="center"/>
        <w:rPr>
          <w:color w:val="000000" w:themeColor="text1"/>
          <w:sz w:val="24"/>
          <w:szCs w:val="24"/>
        </w:rPr>
      </w:pPr>
      <w:r w:rsidRPr="008B21D2">
        <w:rPr>
          <w:color w:val="000000" w:themeColor="text1"/>
          <w:sz w:val="24"/>
          <w:szCs w:val="24"/>
        </w:rPr>
        <w:t xml:space="preserve">Figure </w:t>
      </w:r>
      <w:r w:rsidRPr="008B21D2">
        <w:rPr>
          <w:color w:val="000000" w:themeColor="text1"/>
          <w:sz w:val="24"/>
          <w:szCs w:val="24"/>
        </w:rPr>
        <w:fldChar w:fldCharType="begin"/>
      </w:r>
      <w:r w:rsidRPr="008B21D2">
        <w:rPr>
          <w:color w:val="000000" w:themeColor="text1"/>
          <w:sz w:val="24"/>
          <w:szCs w:val="24"/>
        </w:rPr>
        <w:instrText xml:space="preserve"> SEQ Figure \* ARABIC </w:instrText>
      </w:r>
      <w:r w:rsidRPr="008B21D2">
        <w:rPr>
          <w:color w:val="000000" w:themeColor="text1"/>
          <w:sz w:val="24"/>
          <w:szCs w:val="24"/>
        </w:rPr>
        <w:fldChar w:fldCharType="separate"/>
      </w:r>
      <w:r w:rsidR="009C2312">
        <w:rPr>
          <w:noProof/>
          <w:color w:val="000000" w:themeColor="text1"/>
          <w:sz w:val="24"/>
          <w:szCs w:val="24"/>
        </w:rPr>
        <w:t>10</w:t>
      </w:r>
      <w:r w:rsidRPr="008B21D2">
        <w:rPr>
          <w:color w:val="000000" w:themeColor="text1"/>
          <w:sz w:val="24"/>
          <w:szCs w:val="24"/>
        </w:rPr>
        <w:fldChar w:fldCharType="end"/>
      </w:r>
      <w:r>
        <w:rPr>
          <w:color w:val="000000" w:themeColor="text1"/>
          <w:sz w:val="24"/>
          <w:szCs w:val="24"/>
        </w:rPr>
        <w:t>: A four-panel visualization detailing transit ridership distributions, mean totals, and percentage deviations across specific rainfall intensity categories (Moderate, Heavy, Very Heavy, and Extreme).</w:t>
      </w:r>
    </w:p>
    <w:p w14:paraId="42AC1226" w14:textId="3598104A" w:rsidR="008B21D2" w:rsidRDefault="003C4422" w:rsidP="008B21D2">
      <w:r>
        <w:rPr>
          <w:noProof/>
        </w:rPr>
        <w:drawing>
          <wp:inline distT="0" distB="0" distL="0" distR="0" wp14:anchorId="7D1F102C" wp14:editId="707A27E7">
            <wp:extent cx="5719445" cy="2044700"/>
            <wp:effectExtent l="19050" t="19050" r="14605" b="12700"/>
            <wp:docPr id="564386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9445" cy="2044700"/>
                    </a:xfrm>
                    <a:prstGeom prst="rect">
                      <a:avLst/>
                    </a:prstGeom>
                    <a:noFill/>
                    <a:ln>
                      <a:solidFill>
                        <a:schemeClr val="tx1"/>
                      </a:solidFill>
                    </a:ln>
                  </pic:spPr>
                </pic:pic>
              </a:graphicData>
            </a:graphic>
          </wp:inline>
        </w:drawing>
      </w:r>
    </w:p>
    <w:p w14:paraId="1A7D7FE6" w14:textId="1FBBE43E" w:rsidR="003C4422" w:rsidRDefault="003C4422" w:rsidP="003C4422">
      <w:pPr>
        <w:pStyle w:val="Caption"/>
        <w:jc w:val="center"/>
        <w:rPr>
          <w:color w:val="000000" w:themeColor="text1"/>
          <w:sz w:val="24"/>
          <w:szCs w:val="24"/>
        </w:rPr>
      </w:pPr>
      <w:r w:rsidRPr="003C4422">
        <w:rPr>
          <w:color w:val="000000" w:themeColor="text1"/>
          <w:sz w:val="24"/>
          <w:szCs w:val="24"/>
        </w:rPr>
        <w:t xml:space="preserve">Figure </w:t>
      </w:r>
      <w:r w:rsidRPr="003C4422">
        <w:rPr>
          <w:color w:val="000000" w:themeColor="text1"/>
          <w:sz w:val="24"/>
          <w:szCs w:val="24"/>
        </w:rPr>
        <w:fldChar w:fldCharType="begin"/>
      </w:r>
      <w:r w:rsidRPr="003C4422">
        <w:rPr>
          <w:color w:val="000000" w:themeColor="text1"/>
          <w:sz w:val="24"/>
          <w:szCs w:val="24"/>
        </w:rPr>
        <w:instrText xml:space="preserve"> SEQ Figure \* ARABIC </w:instrText>
      </w:r>
      <w:r w:rsidRPr="003C4422">
        <w:rPr>
          <w:color w:val="000000" w:themeColor="text1"/>
          <w:sz w:val="24"/>
          <w:szCs w:val="24"/>
        </w:rPr>
        <w:fldChar w:fldCharType="separate"/>
      </w:r>
      <w:r w:rsidR="009C2312">
        <w:rPr>
          <w:noProof/>
          <w:color w:val="000000" w:themeColor="text1"/>
          <w:sz w:val="24"/>
          <w:szCs w:val="24"/>
        </w:rPr>
        <w:t>11</w:t>
      </w:r>
      <w:r w:rsidRPr="003C4422">
        <w:rPr>
          <w:color w:val="000000" w:themeColor="text1"/>
          <w:sz w:val="24"/>
          <w:szCs w:val="24"/>
        </w:rPr>
        <w:fldChar w:fldCharType="end"/>
      </w:r>
      <w:r>
        <w:rPr>
          <w:color w:val="000000" w:themeColor="text1"/>
          <w:sz w:val="24"/>
          <w:szCs w:val="24"/>
        </w:rPr>
        <w:t>: A dual-plot analysis tracking monthly averages for daily rainfall against total ridership alongside a monthly breakdown of correlation coefficients, r, with corresponding statistical significance (p-values).</w:t>
      </w:r>
    </w:p>
    <w:p w14:paraId="254AC7EB" w14:textId="4C36C5EC" w:rsidR="00002C18" w:rsidRDefault="00002C18" w:rsidP="00002C18">
      <w:r>
        <w:rPr>
          <w:noProof/>
        </w:rPr>
        <w:lastRenderedPageBreak/>
        <w:drawing>
          <wp:inline distT="0" distB="0" distL="0" distR="0" wp14:anchorId="1C52F42D" wp14:editId="0BAD81C9">
            <wp:extent cx="5727700" cy="4899660"/>
            <wp:effectExtent l="19050" t="19050" r="25400" b="15240"/>
            <wp:docPr id="296697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4899660"/>
                    </a:xfrm>
                    <a:prstGeom prst="rect">
                      <a:avLst/>
                    </a:prstGeom>
                    <a:noFill/>
                    <a:ln>
                      <a:solidFill>
                        <a:schemeClr val="tx1"/>
                      </a:solidFill>
                    </a:ln>
                  </pic:spPr>
                </pic:pic>
              </a:graphicData>
            </a:graphic>
          </wp:inline>
        </w:drawing>
      </w:r>
    </w:p>
    <w:p w14:paraId="1326D5F5" w14:textId="595ADD08" w:rsidR="00002C18" w:rsidRPr="00002C18" w:rsidRDefault="00002C18" w:rsidP="00002C18">
      <w:pPr>
        <w:pStyle w:val="Caption"/>
        <w:jc w:val="center"/>
        <w:rPr>
          <w:color w:val="000000" w:themeColor="text1"/>
          <w:sz w:val="24"/>
          <w:szCs w:val="24"/>
        </w:rPr>
      </w:pPr>
      <w:r w:rsidRPr="00002C18">
        <w:rPr>
          <w:color w:val="000000" w:themeColor="text1"/>
          <w:sz w:val="24"/>
          <w:szCs w:val="24"/>
        </w:rPr>
        <w:t xml:space="preserve">Figure </w:t>
      </w:r>
      <w:r w:rsidRPr="00002C18">
        <w:rPr>
          <w:color w:val="000000" w:themeColor="text1"/>
          <w:sz w:val="24"/>
          <w:szCs w:val="24"/>
        </w:rPr>
        <w:fldChar w:fldCharType="begin"/>
      </w:r>
      <w:r w:rsidRPr="00002C18">
        <w:rPr>
          <w:color w:val="000000" w:themeColor="text1"/>
          <w:sz w:val="24"/>
          <w:szCs w:val="24"/>
        </w:rPr>
        <w:instrText xml:space="preserve"> SEQ Figure \* ARABIC </w:instrText>
      </w:r>
      <w:r w:rsidRPr="00002C18">
        <w:rPr>
          <w:color w:val="000000" w:themeColor="text1"/>
          <w:sz w:val="24"/>
          <w:szCs w:val="24"/>
        </w:rPr>
        <w:fldChar w:fldCharType="separate"/>
      </w:r>
      <w:r w:rsidR="009C2312">
        <w:rPr>
          <w:noProof/>
          <w:color w:val="000000" w:themeColor="text1"/>
          <w:sz w:val="24"/>
          <w:szCs w:val="24"/>
        </w:rPr>
        <w:t>12</w:t>
      </w:r>
      <w:r w:rsidRPr="00002C18">
        <w:rPr>
          <w:color w:val="000000" w:themeColor="text1"/>
          <w:sz w:val="24"/>
          <w:szCs w:val="24"/>
        </w:rPr>
        <w:fldChar w:fldCharType="end"/>
      </w:r>
      <w:r>
        <w:rPr>
          <w:color w:val="000000" w:themeColor="text1"/>
          <w:sz w:val="24"/>
          <w:szCs w:val="24"/>
        </w:rPr>
        <w:t xml:space="preserve">: A multi-chart dashboard analysing the direct impact of wet weather, featuring a rainfall-vs-ridership scatter plot (r = 0.1444), average daily ridership comparison bars, a total rainy </w:t>
      </w:r>
      <w:proofErr w:type="gramStart"/>
      <w:r w:rsidR="00AD4B39">
        <w:rPr>
          <w:color w:val="000000" w:themeColor="text1"/>
          <w:sz w:val="24"/>
          <w:szCs w:val="24"/>
        </w:rPr>
        <w:t>days</w:t>
      </w:r>
      <w:proofErr w:type="gramEnd"/>
      <w:r>
        <w:rPr>
          <w:color w:val="000000" w:themeColor="text1"/>
          <w:sz w:val="24"/>
          <w:szCs w:val="24"/>
        </w:rPr>
        <w:t xml:space="preserve"> sample count (n =197), and a historical rainfall time series spanning 2019 to 2026.</w:t>
      </w:r>
    </w:p>
    <w:p w14:paraId="59CE13A6" w14:textId="0134B794" w:rsidR="00F6788C" w:rsidRDefault="00F6788C">
      <w:pPr>
        <w:pStyle w:val="Heading2"/>
        <w:numPr>
          <w:ilvl w:val="2"/>
          <w:numId w:val="3"/>
        </w:numPr>
        <w:rPr>
          <w:b/>
          <w:bCs/>
          <w:sz w:val="24"/>
          <w:szCs w:val="24"/>
          <w:u w:val="single"/>
        </w:rPr>
      </w:pPr>
      <w:r>
        <w:rPr>
          <w:b/>
          <w:bCs/>
          <w:sz w:val="24"/>
          <w:szCs w:val="24"/>
          <w:u w:val="single"/>
        </w:rPr>
        <w:t>Fuel Price Elasticity and Modal Substitution</w:t>
      </w:r>
    </w:p>
    <w:p w14:paraId="06881BCD" w14:textId="3E0CCFAC" w:rsidR="003D1A1A" w:rsidRDefault="002D40B9" w:rsidP="003D1A1A">
      <w:pPr>
        <w:ind w:firstLine="720"/>
      </w:pPr>
      <w:r>
        <w:t xml:space="preserve">A moderate positive correlation exists between RON95 retail price and total ridership: higher fuel prices are associated with increase public transit use, consistent with modal substitution. Commuters switching from private vehicles when petrol costs rise </w:t>
      </w:r>
      <w:r>
        <w:rPr>
          <w:noProof/>
          <w:lang w:val="en-US"/>
        </w:rPr>
        <w:t>(Mily et al, 2024)</w:t>
      </w:r>
      <w:r>
        <w:t>.</w:t>
      </w:r>
      <w:r w:rsidR="006E75D1">
        <w:t xml:space="preserve"> Binned scatter plot of weekly RON95 price (RM/litre) vs. 7-day rolling mean of </w:t>
      </w:r>
      <w:proofErr w:type="spellStart"/>
      <w:r w:rsidR="006E75D1">
        <w:t>total_ridership</w:t>
      </w:r>
      <w:proofErr w:type="spellEnd"/>
      <w:r w:rsidR="006E75D1">
        <w:t xml:space="preserve"> was constructed after aligning both series on the daily index. The Pearson correlation is ~+0.35 (post-MCO window only); the relationship is non-linear, steepening above RM2.20/litre.</w:t>
      </w:r>
      <w:r w:rsidR="003D1A1A">
        <w:t xml:space="preserve"> Stationarity of raw price levels was checked via Augmented Dicker-Fuller (ADF) test (p &gt; 0.05, confirming non-stationarity), motivating the addition of ron95_pct_chg as a secondary feature. Two supporting analyses sharpen the mechanism: lag analysis over a 0-7-day window shows the strongest price – ridership correlation at lags of 1-3 days, with rail </w:t>
      </w:r>
      <w:r w:rsidR="003D1A1A">
        <w:lastRenderedPageBreak/>
        <w:t>more sensitive to sustained price levels and bus more reactive to weekly price-change events. Malaysian retail fuel pricing follows a government-set annual review cycle, with rolling 4-week volatility clustering around policy announcement windows.</w:t>
      </w:r>
    </w:p>
    <w:p w14:paraId="2AFA24A1" w14:textId="595BECC2" w:rsidR="00663C8C" w:rsidRDefault="003D1A1A" w:rsidP="003D1A1A">
      <w:r>
        <w:tab/>
        <w:t>The elasticity signal motivates retaining both fuel-level columns (for baseline demand context) and percent-change columns (for stationary, gradient-safe signal). The 1-3-day best lag and the 52-week policy cycle jointly justify the weekly change column (</w:t>
      </w:r>
      <w:proofErr w:type="spellStart"/>
      <w:r>
        <w:t>fp_chg</w:t>
      </w:r>
      <w:proofErr w:type="spellEnd"/>
      <w:r>
        <w:t xml:space="preserve">_*) as the primary short-run demand-driver signal. A model that sees only levels would conflate slow multi-year trends with the annual policy cycle </w:t>
      </w:r>
      <w:r>
        <w:rPr>
          <w:noProof/>
          <w:lang w:val="en-US"/>
        </w:rPr>
        <w:t>(Chevance, et al., 2024)</w:t>
      </w:r>
      <w:r>
        <w:t>.</w:t>
      </w:r>
      <w:r w:rsidR="00701DFE">
        <w:t xml:space="preserve"> The mode-specific elasticity difference also supports modelling bus and rail service lines as separate target columns rather than collapsing them. Including all six fuel types captures the subsidy-non-subsidy boundary effect (ron_budi95, ron95_skps), which represents discrete policy interventions that altered effective price at household level without changing the RON95 headline price </w:t>
      </w:r>
      <w:r w:rsidR="00701DFE">
        <w:rPr>
          <w:noProof/>
          <w:lang w:val="en-US"/>
        </w:rPr>
        <w:t>(Pour et al., 2026)</w:t>
      </w:r>
      <w:r w:rsidR="00701DFE">
        <w:t>.</w:t>
      </w:r>
    </w:p>
    <w:p w14:paraId="4F2281CF" w14:textId="4C4C9580" w:rsidR="00663C8C" w:rsidRDefault="00663C8C" w:rsidP="003D1A1A">
      <w:r>
        <w:rPr>
          <w:noProof/>
        </w:rPr>
        <w:drawing>
          <wp:inline distT="0" distB="0" distL="0" distR="0" wp14:anchorId="4B3A8CED" wp14:editId="4662B4E7">
            <wp:extent cx="5727700" cy="4088765"/>
            <wp:effectExtent l="19050" t="19050" r="25400" b="26035"/>
            <wp:docPr id="14188366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7700" cy="4088765"/>
                    </a:xfrm>
                    <a:prstGeom prst="rect">
                      <a:avLst/>
                    </a:prstGeom>
                    <a:noFill/>
                    <a:ln>
                      <a:solidFill>
                        <a:schemeClr val="tx1"/>
                      </a:solidFill>
                    </a:ln>
                  </pic:spPr>
                </pic:pic>
              </a:graphicData>
            </a:graphic>
          </wp:inline>
        </w:drawing>
      </w:r>
    </w:p>
    <w:p w14:paraId="36F1AD32" w14:textId="0F4A0A74" w:rsidR="00663C8C" w:rsidRDefault="00663C8C" w:rsidP="00663C8C">
      <w:pPr>
        <w:pStyle w:val="Caption"/>
        <w:jc w:val="center"/>
        <w:rPr>
          <w:color w:val="000000" w:themeColor="text1"/>
          <w:sz w:val="24"/>
          <w:szCs w:val="24"/>
        </w:rPr>
      </w:pPr>
      <w:r w:rsidRPr="00663C8C">
        <w:rPr>
          <w:color w:val="000000" w:themeColor="text1"/>
          <w:sz w:val="24"/>
          <w:szCs w:val="24"/>
        </w:rPr>
        <w:t xml:space="preserve">Figure </w:t>
      </w:r>
      <w:r w:rsidRPr="00663C8C">
        <w:rPr>
          <w:color w:val="000000" w:themeColor="text1"/>
          <w:sz w:val="24"/>
          <w:szCs w:val="24"/>
        </w:rPr>
        <w:fldChar w:fldCharType="begin"/>
      </w:r>
      <w:r w:rsidRPr="00663C8C">
        <w:rPr>
          <w:color w:val="000000" w:themeColor="text1"/>
          <w:sz w:val="24"/>
          <w:szCs w:val="24"/>
        </w:rPr>
        <w:instrText xml:space="preserve"> SEQ Figure \* ARABIC </w:instrText>
      </w:r>
      <w:r w:rsidRPr="00663C8C">
        <w:rPr>
          <w:color w:val="000000" w:themeColor="text1"/>
          <w:sz w:val="24"/>
          <w:szCs w:val="24"/>
        </w:rPr>
        <w:fldChar w:fldCharType="separate"/>
      </w:r>
      <w:r w:rsidR="009C2312">
        <w:rPr>
          <w:noProof/>
          <w:color w:val="000000" w:themeColor="text1"/>
          <w:sz w:val="24"/>
          <w:szCs w:val="24"/>
        </w:rPr>
        <w:t>13</w:t>
      </w:r>
      <w:r w:rsidRPr="00663C8C">
        <w:rPr>
          <w:color w:val="000000" w:themeColor="text1"/>
          <w:sz w:val="24"/>
          <w:szCs w:val="24"/>
        </w:rPr>
        <w:fldChar w:fldCharType="end"/>
      </w:r>
      <w:r>
        <w:rPr>
          <w:color w:val="000000" w:themeColor="text1"/>
          <w:sz w:val="24"/>
          <w:szCs w:val="24"/>
        </w:rPr>
        <w:t>: A two-part visualization displaying historical trends from late 2018 through mid-2026, featuring a top line graph of fuel price levels (RON95, RON97, Diesel) in MYR/Litre and a bottom bar chart showing weekly price changes for RON95 and Diesel.</w:t>
      </w:r>
    </w:p>
    <w:p w14:paraId="5FFB82A1" w14:textId="199C785E" w:rsidR="00535482" w:rsidRDefault="00535482" w:rsidP="00535482">
      <w:r>
        <w:rPr>
          <w:noProof/>
        </w:rPr>
        <w:lastRenderedPageBreak/>
        <w:drawing>
          <wp:inline distT="0" distB="0" distL="0" distR="0" wp14:anchorId="2990D61B" wp14:editId="54EA85F3">
            <wp:extent cx="5727700" cy="4899660"/>
            <wp:effectExtent l="19050" t="19050" r="25400" b="15240"/>
            <wp:docPr id="18419611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4899660"/>
                    </a:xfrm>
                    <a:prstGeom prst="rect">
                      <a:avLst/>
                    </a:prstGeom>
                    <a:noFill/>
                    <a:ln>
                      <a:solidFill>
                        <a:schemeClr val="tx1"/>
                      </a:solidFill>
                    </a:ln>
                  </pic:spPr>
                </pic:pic>
              </a:graphicData>
            </a:graphic>
          </wp:inline>
        </w:drawing>
      </w:r>
    </w:p>
    <w:p w14:paraId="4C98FB35" w14:textId="0F5C904F" w:rsidR="00535482" w:rsidRDefault="00535482" w:rsidP="00535482">
      <w:pPr>
        <w:pStyle w:val="Caption"/>
        <w:jc w:val="center"/>
        <w:rPr>
          <w:color w:val="000000" w:themeColor="text1"/>
          <w:sz w:val="24"/>
          <w:szCs w:val="24"/>
        </w:rPr>
      </w:pPr>
      <w:r w:rsidRPr="00535482">
        <w:rPr>
          <w:color w:val="000000" w:themeColor="text1"/>
          <w:sz w:val="24"/>
          <w:szCs w:val="24"/>
        </w:rPr>
        <w:t xml:space="preserve">Figure </w:t>
      </w:r>
      <w:r w:rsidRPr="00535482">
        <w:rPr>
          <w:color w:val="000000" w:themeColor="text1"/>
          <w:sz w:val="24"/>
          <w:szCs w:val="24"/>
        </w:rPr>
        <w:fldChar w:fldCharType="begin"/>
      </w:r>
      <w:r w:rsidRPr="00535482">
        <w:rPr>
          <w:color w:val="000000" w:themeColor="text1"/>
          <w:sz w:val="24"/>
          <w:szCs w:val="24"/>
        </w:rPr>
        <w:instrText xml:space="preserve"> SEQ Figure \* ARABIC </w:instrText>
      </w:r>
      <w:r w:rsidRPr="00535482">
        <w:rPr>
          <w:color w:val="000000" w:themeColor="text1"/>
          <w:sz w:val="24"/>
          <w:szCs w:val="24"/>
        </w:rPr>
        <w:fldChar w:fldCharType="separate"/>
      </w:r>
      <w:r w:rsidR="009C2312">
        <w:rPr>
          <w:noProof/>
          <w:color w:val="000000" w:themeColor="text1"/>
          <w:sz w:val="24"/>
          <w:szCs w:val="24"/>
        </w:rPr>
        <w:t>14</w:t>
      </w:r>
      <w:r w:rsidRPr="00535482">
        <w:rPr>
          <w:color w:val="000000" w:themeColor="text1"/>
          <w:sz w:val="24"/>
          <w:szCs w:val="24"/>
        </w:rPr>
        <w:fldChar w:fldCharType="end"/>
      </w:r>
      <w:r>
        <w:rPr>
          <w:color w:val="000000" w:themeColor="text1"/>
          <w:sz w:val="24"/>
          <w:szCs w:val="24"/>
        </w:rPr>
        <w:t>: A multi-panel dashboard analysing the direct relationship between fuel prices and public transit ridership, featuring scatter plots with trend lines, a bar chart of average daily ridership by price level, and a scatter plot of weekly percentage changes.</w:t>
      </w:r>
    </w:p>
    <w:p w14:paraId="734911A2" w14:textId="4FFE6556" w:rsidR="00535482" w:rsidRDefault="00535482" w:rsidP="00535482">
      <w:r>
        <w:rPr>
          <w:noProof/>
        </w:rPr>
        <w:drawing>
          <wp:inline distT="0" distB="0" distL="0" distR="0" wp14:anchorId="42F426D0" wp14:editId="604868D4">
            <wp:extent cx="5719445" cy="2044700"/>
            <wp:effectExtent l="19050" t="19050" r="14605" b="12700"/>
            <wp:docPr id="17104873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9445" cy="2044700"/>
                    </a:xfrm>
                    <a:prstGeom prst="rect">
                      <a:avLst/>
                    </a:prstGeom>
                    <a:noFill/>
                    <a:ln>
                      <a:solidFill>
                        <a:schemeClr val="tx1"/>
                      </a:solidFill>
                    </a:ln>
                  </pic:spPr>
                </pic:pic>
              </a:graphicData>
            </a:graphic>
          </wp:inline>
        </w:drawing>
      </w:r>
    </w:p>
    <w:p w14:paraId="07E9D5A9" w14:textId="52A50EC6" w:rsidR="00535482" w:rsidRPr="00535482" w:rsidRDefault="00535482" w:rsidP="00535482">
      <w:pPr>
        <w:pStyle w:val="Caption"/>
        <w:jc w:val="center"/>
        <w:rPr>
          <w:color w:val="000000" w:themeColor="text1"/>
          <w:sz w:val="24"/>
          <w:szCs w:val="24"/>
        </w:rPr>
      </w:pPr>
      <w:r w:rsidRPr="00535482">
        <w:rPr>
          <w:color w:val="000000" w:themeColor="text1"/>
          <w:sz w:val="24"/>
          <w:szCs w:val="24"/>
        </w:rPr>
        <w:t xml:space="preserve">Figure </w:t>
      </w:r>
      <w:r w:rsidRPr="00535482">
        <w:rPr>
          <w:color w:val="000000" w:themeColor="text1"/>
          <w:sz w:val="24"/>
          <w:szCs w:val="24"/>
        </w:rPr>
        <w:fldChar w:fldCharType="begin"/>
      </w:r>
      <w:r w:rsidRPr="00535482">
        <w:rPr>
          <w:color w:val="000000" w:themeColor="text1"/>
          <w:sz w:val="24"/>
          <w:szCs w:val="24"/>
        </w:rPr>
        <w:instrText xml:space="preserve"> SEQ Figure \* ARABIC </w:instrText>
      </w:r>
      <w:r w:rsidRPr="00535482">
        <w:rPr>
          <w:color w:val="000000" w:themeColor="text1"/>
          <w:sz w:val="24"/>
          <w:szCs w:val="24"/>
        </w:rPr>
        <w:fldChar w:fldCharType="separate"/>
      </w:r>
      <w:r w:rsidR="009C2312">
        <w:rPr>
          <w:noProof/>
          <w:color w:val="000000" w:themeColor="text1"/>
          <w:sz w:val="24"/>
          <w:szCs w:val="24"/>
        </w:rPr>
        <w:t>15</w:t>
      </w:r>
      <w:r w:rsidRPr="00535482">
        <w:rPr>
          <w:color w:val="000000" w:themeColor="text1"/>
          <w:sz w:val="24"/>
          <w:szCs w:val="24"/>
        </w:rPr>
        <w:fldChar w:fldCharType="end"/>
      </w:r>
      <w:r>
        <w:rPr>
          <w:color w:val="000000" w:themeColor="text1"/>
          <w:sz w:val="24"/>
          <w:szCs w:val="24"/>
        </w:rPr>
        <w:t xml:space="preserve">: A set of </w:t>
      </w:r>
      <w:proofErr w:type="gramStart"/>
      <w:r w:rsidR="00C8701C">
        <w:rPr>
          <w:color w:val="000000" w:themeColor="text1"/>
          <w:sz w:val="24"/>
          <w:szCs w:val="24"/>
        </w:rPr>
        <w:t>two line</w:t>
      </w:r>
      <w:proofErr w:type="gramEnd"/>
      <w:r>
        <w:rPr>
          <w:color w:val="000000" w:themeColor="text1"/>
          <w:sz w:val="24"/>
          <w:szCs w:val="24"/>
        </w:rPr>
        <w:t xml:space="preserve"> graphs showing the lagged correlation (from 0 to 7 days</w:t>
      </w:r>
      <w:r w:rsidR="00064A77">
        <w:rPr>
          <w:color w:val="000000" w:themeColor="text1"/>
          <w:sz w:val="24"/>
          <w:szCs w:val="24"/>
        </w:rPr>
        <w:t>)</w:t>
      </w:r>
      <w:r>
        <w:rPr>
          <w:color w:val="000000" w:themeColor="text1"/>
          <w:sz w:val="24"/>
          <w:szCs w:val="24"/>
        </w:rPr>
        <w:t xml:space="preserve"> between changes in fuel prices (RON95 and Diesel) and subsequent changes in transit ridership.</w:t>
      </w:r>
    </w:p>
    <w:p w14:paraId="43E185B8" w14:textId="5878B571" w:rsidR="00F6788C" w:rsidRDefault="00F6788C">
      <w:pPr>
        <w:pStyle w:val="Heading2"/>
        <w:numPr>
          <w:ilvl w:val="2"/>
          <w:numId w:val="3"/>
        </w:numPr>
        <w:rPr>
          <w:b/>
          <w:bCs/>
          <w:sz w:val="24"/>
          <w:szCs w:val="24"/>
          <w:u w:val="single"/>
        </w:rPr>
      </w:pPr>
      <w:r>
        <w:rPr>
          <w:b/>
          <w:bCs/>
          <w:sz w:val="24"/>
          <w:szCs w:val="24"/>
          <w:u w:val="single"/>
        </w:rPr>
        <w:lastRenderedPageBreak/>
        <w:t>Holiday Anticipation and Return-Surge Effect</w:t>
      </w:r>
    </w:p>
    <w:p w14:paraId="613B0FF1" w14:textId="6E247C34" w:rsidR="003F303F" w:rsidRDefault="00355418" w:rsidP="00355418">
      <w:pPr>
        <w:ind w:firstLine="720"/>
      </w:pPr>
      <w:r>
        <w:t xml:space="preserve">Ridership drops 1-2 days before public holidays (anticipation effect) and surges on the first post-holiday working day (return surge). School holidays produce a softer, multi-day ramp with no sharp pre-holiday dip. Lead/lag cross-correlation between </w:t>
      </w:r>
      <w:proofErr w:type="spellStart"/>
      <w:r>
        <w:t>is_public_holiday</w:t>
      </w:r>
      <w:proofErr w:type="spellEnd"/>
      <w:r>
        <w:t xml:space="preserve"> and </w:t>
      </w:r>
      <w:proofErr w:type="spellStart"/>
      <w:r>
        <w:t>total_ridership</w:t>
      </w:r>
      <w:proofErr w:type="spellEnd"/>
      <w:r>
        <w:t xml:space="preserve"> was computed over a </w:t>
      </w:r>
      <w:r w:rsidRPr="00355418">
        <w:t>±</w:t>
      </w:r>
      <w:r>
        <w:t>7-day window. The maximum negative correlation at lag -1 and -2 confirms the anticipatory dip. For school holidays, the cross-correlation function shows a gradual trough across lags -5 to 0, then recovery at +1 and +3. Magnitude of dip for public holidays: approximately -18% relative to the preceding 7-day mean.</w:t>
      </w:r>
    </w:p>
    <w:p w14:paraId="74259A28" w14:textId="57C0C7B5" w:rsidR="00355418" w:rsidRDefault="00355418" w:rsidP="00355418">
      <w:pPr>
        <w:ind w:firstLine="720"/>
      </w:pPr>
      <w:r>
        <w:t xml:space="preserve">Binary </w:t>
      </w:r>
      <w:proofErr w:type="spellStart"/>
      <w:r>
        <w:t>is_public_holiday</w:t>
      </w:r>
      <w:proofErr w:type="spellEnd"/>
      <w:r>
        <w:t xml:space="preserve"> flags alone would not capture this temporal spread. The derived features </w:t>
      </w:r>
      <w:proofErr w:type="spellStart"/>
      <w:r>
        <w:t>days_to_next_public_hol</w:t>
      </w:r>
      <w:proofErr w:type="spellEnd"/>
      <w:r>
        <w:t xml:space="preserve"> and </w:t>
      </w:r>
      <w:proofErr w:type="spellStart"/>
      <w:r>
        <w:t>days_since_last_public_hol</w:t>
      </w:r>
      <w:proofErr w:type="spellEnd"/>
      <w:r>
        <w:t xml:space="preserve"> encode the distance to/from the nearest holiday, allowing gradient-based models to learn the anticipatory demand gradient directly </w:t>
      </w:r>
      <w:r>
        <w:rPr>
          <w:noProof/>
          <w:lang w:val="en-US"/>
        </w:rPr>
        <w:t>(Wu et al., 2023)</w:t>
      </w:r>
      <w:r>
        <w:t>. The asymmetry between public and school holiday profile</w:t>
      </w:r>
      <w:r w:rsidR="00D94034">
        <w:t>s</w:t>
      </w:r>
      <w:r>
        <w:t xml:space="preserve"> justifies maintain</w:t>
      </w:r>
      <w:r w:rsidR="00C51122">
        <w:t>ing</w:t>
      </w:r>
      <w:r>
        <w:t xml:space="preserve"> separate lead/lag pairs for each type (4 features total).</w:t>
      </w:r>
    </w:p>
    <w:p w14:paraId="170F5864" w14:textId="4CF88B30" w:rsidR="00D94034" w:rsidRDefault="00E8095F" w:rsidP="00D94034">
      <w:r>
        <w:rPr>
          <w:noProof/>
        </w:rPr>
        <w:drawing>
          <wp:inline distT="0" distB="0" distL="0" distR="0" wp14:anchorId="652666CE" wp14:editId="4C006655">
            <wp:extent cx="5727700" cy="4071620"/>
            <wp:effectExtent l="19050" t="19050" r="25400" b="24130"/>
            <wp:docPr id="7508437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7700" cy="4071620"/>
                    </a:xfrm>
                    <a:prstGeom prst="rect">
                      <a:avLst/>
                    </a:prstGeom>
                    <a:noFill/>
                    <a:ln>
                      <a:solidFill>
                        <a:schemeClr val="tx1"/>
                      </a:solidFill>
                    </a:ln>
                  </pic:spPr>
                </pic:pic>
              </a:graphicData>
            </a:graphic>
          </wp:inline>
        </w:drawing>
      </w:r>
    </w:p>
    <w:p w14:paraId="3FA20309" w14:textId="5820F833" w:rsidR="00E8095F" w:rsidRDefault="00E8095F" w:rsidP="00E8095F">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16</w:t>
      </w:r>
      <w:r w:rsidRPr="00E8095F">
        <w:rPr>
          <w:color w:val="000000" w:themeColor="text1"/>
          <w:sz w:val="24"/>
          <w:szCs w:val="24"/>
        </w:rPr>
        <w:fldChar w:fldCharType="end"/>
      </w:r>
      <w:r>
        <w:rPr>
          <w:color w:val="000000" w:themeColor="text1"/>
          <w:sz w:val="24"/>
          <w:szCs w:val="24"/>
        </w:rPr>
        <w:t>: A broad seasonal and weekly overview displaying average daily ridership across day types (holiday, normal, weekend, weekend + holiday), the monthly distribution of public holidays (peaking in May), a daily breakdown by day of the week, and general ridership fluctuations across the months of the year.</w:t>
      </w:r>
    </w:p>
    <w:p w14:paraId="4B023E0C" w14:textId="3F24ADAF" w:rsidR="006F21BA" w:rsidRDefault="006F21BA" w:rsidP="006F21BA">
      <w:r>
        <w:rPr>
          <w:noProof/>
        </w:rPr>
        <w:lastRenderedPageBreak/>
        <w:drawing>
          <wp:inline distT="0" distB="0" distL="0" distR="0" wp14:anchorId="01E1ED05" wp14:editId="6B530A07">
            <wp:extent cx="5719445" cy="4088765"/>
            <wp:effectExtent l="19050" t="19050" r="14605" b="26035"/>
            <wp:docPr id="9080879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7FC2AE2E" w14:textId="7B9988CC" w:rsidR="006F21BA" w:rsidRDefault="006F21BA" w:rsidP="006F21BA">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17</w:t>
      </w:r>
      <w:r w:rsidRPr="00E8095F">
        <w:rPr>
          <w:color w:val="000000" w:themeColor="text1"/>
          <w:sz w:val="24"/>
          <w:szCs w:val="24"/>
        </w:rPr>
        <w:fldChar w:fldCharType="end"/>
      </w:r>
      <w:r>
        <w:rPr>
          <w:color w:val="000000" w:themeColor="text1"/>
          <w:sz w:val="24"/>
          <w:szCs w:val="24"/>
        </w:rPr>
        <w:t xml:space="preserve">: A series of charts assessing how the length of a break influences travel patterns, showing that short holidays (less than 3 days) experience the most severe percentage dip in ridership from normal levels, alongside a frequency distribution and day-of-week profile broken </w:t>
      </w:r>
      <w:r w:rsidR="00252A93">
        <w:rPr>
          <w:color w:val="000000" w:themeColor="text1"/>
          <w:sz w:val="24"/>
          <w:szCs w:val="24"/>
        </w:rPr>
        <w:t>down by</w:t>
      </w:r>
      <w:r>
        <w:rPr>
          <w:color w:val="000000" w:themeColor="text1"/>
          <w:sz w:val="24"/>
          <w:szCs w:val="24"/>
        </w:rPr>
        <w:t xml:space="preserve"> holiday duration.</w:t>
      </w:r>
    </w:p>
    <w:p w14:paraId="16757AEB" w14:textId="4234D585" w:rsidR="00252A93" w:rsidRPr="00252A93" w:rsidRDefault="00252A93" w:rsidP="00252A93">
      <w:r>
        <w:rPr>
          <w:noProof/>
          <w:color w:val="000000" w:themeColor="text1"/>
        </w:rPr>
        <w:lastRenderedPageBreak/>
        <w:drawing>
          <wp:inline distT="0" distB="0" distL="0" distR="0" wp14:anchorId="7FF037FD" wp14:editId="6F955C83">
            <wp:extent cx="5719445" cy="4088765"/>
            <wp:effectExtent l="19050" t="19050" r="14605" b="26035"/>
            <wp:docPr id="11598669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4D5B936A" w14:textId="255A90E6" w:rsidR="00252A93" w:rsidRPr="00E8095F" w:rsidRDefault="00252A93" w:rsidP="00252A93">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18</w:t>
      </w:r>
      <w:r w:rsidRPr="00E8095F">
        <w:rPr>
          <w:color w:val="000000" w:themeColor="text1"/>
          <w:sz w:val="24"/>
          <w:szCs w:val="24"/>
        </w:rPr>
        <w:fldChar w:fldCharType="end"/>
      </w:r>
      <w:r>
        <w:rPr>
          <w:color w:val="000000" w:themeColor="text1"/>
          <w:sz w:val="24"/>
          <w:szCs w:val="24"/>
        </w:rPr>
        <w:t>: A visualization demonstrating the contrasting impact of holiday based on timing, revealing that weekend holidays trigger a steep 24% drop in ridership compared to normal days, while weekday holidays remain relatively stable overall, though individual rail lines show highly volatile service-level percentage changes.</w:t>
      </w:r>
    </w:p>
    <w:p w14:paraId="0ECA3E3F" w14:textId="287849C4" w:rsidR="006F21BA" w:rsidRPr="006F21BA" w:rsidRDefault="000068C1" w:rsidP="006F21BA">
      <w:r>
        <w:rPr>
          <w:noProof/>
          <w:color w:val="000000" w:themeColor="text1"/>
        </w:rPr>
        <w:lastRenderedPageBreak/>
        <w:drawing>
          <wp:inline distT="0" distB="0" distL="0" distR="0" wp14:anchorId="29B2ABE9" wp14:editId="11DC035A">
            <wp:extent cx="5719445" cy="4088765"/>
            <wp:effectExtent l="19050" t="19050" r="14605" b="26035"/>
            <wp:docPr id="5104094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4C1EC8F8" w14:textId="6AAEC81E" w:rsidR="000068C1" w:rsidRDefault="000068C1" w:rsidP="000068C1">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19</w:t>
      </w:r>
      <w:r w:rsidRPr="00E8095F">
        <w:rPr>
          <w:color w:val="000000" w:themeColor="text1"/>
          <w:sz w:val="24"/>
          <w:szCs w:val="24"/>
        </w:rPr>
        <w:fldChar w:fldCharType="end"/>
      </w:r>
      <w:r>
        <w:rPr>
          <w:color w:val="000000" w:themeColor="text1"/>
          <w:sz w:val="24"/>
          <w:szCs w:val="24"/>
        </w:rPr>
        <w:t>:</w:t>
      </w:r>
      <w:r w:rsidR="00C9001E">
        <w:rPr>
          <w:color w:val="000000" w:themeColor="text1"/>
          <w:sz w:val="24"/>
          <w:szCs w:val="24"/>
        </w:rPr>
        <w:t xml:space="preserve"> An analysis comparing ridership trends between Academic and Public holidays, highlighting that public holidays see sharp drops in both overall mean volume and daily percentage change, alongside a breakdown of mean ridership across dozens of individual Malaysian calendar events.</w:t>
      </w:r>
    </w:p>
    <w:p w14:paraId="3EAAB1BA" w14:textId="52607BFC" w:rsidR="000068C1" w:rsidRPr="000068C1" w:rsidRDefault="000068C1" w:rsidP="000068C1">
      <w:r>
        <w:rPr>
          <w:noProof/>
        </w:rPr>
        <w:drawing>
          <wp:inline distT="0" distB="0" distL="0" distR="0" wp14:anchorId="38538149" wp14:editId="29A3F433">
            <wp:extent cx="5719445" cy="3571240"/>
            <wp:effectExtent l="19050" t="19050" r="14605" b="10160"/>
            <wp:docPr id="20752580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9445" cy="3571240"/>
                    </a:xfrm>
                    <a:prstGeom prst="rect">
                      <a:avLst/>
                    </a:prstGeom>
                    <a:noFill/>
                    <a:ln>
                      <a:solidFill>
                        <a:schemeClr val="tx1"/>
                      </a:solidFill>
                    </a:ln>
                  </pic:spPr>
                </pic:pic>
              </a:graphicData>
            </a:graphic>
          </wp:inline>
        </w:drawing>
      </w:r>
    </w:p>
    <w:p w14:paraId="6DD1859E" w14:textId="57521DB0" w:rsidR="003E3D0B" w:rsidRPr="000068C1" w:rsidRDefault="000068C1" w:rsidP="000068C1">
      <w:pPr>
        <w:pStyle w:val="Caption"/>
        <w:jc w:val="center"/>
        <w:rPr>
          <w:color w:val="000000" w:themeColor="text1"/>
          <w:sz w:val="24"/>
          <w:szCs w:val="24"/>
        </w:rPr>
      </w:pPr>
      <w:r w:rsidRPr="00E8095F">
        <w:rPr>
          <w:color w:val="000000" w:themeColor="text1"/>
          <w:sz w:val="24"/>
          <w:szCs w:val="24"/>
        </w:rPr>
        <w:lastRenderedPageBreak/>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20</w:t>
      </w:r>
      <w:r w:rsidRPr="00E8095F">
        <w:rPr>
          <w:color w:val="000000" w:themeColor="text1"/>
          <w:sz w:val="24"/>
          <w:szCs w:val="24"/>
        </w:rPr>
        <w:fldChar w:fldCharType="end"/>
      </w:r>
      <w:r>
        <w:rPr>
          <w:color w:val="000000" w:themeColor="text1"/>
          <w:sz w:val="24"/>
          <w:szCs w:val="24"/>
        </w:rPr>
        <w:t>:</w:t>
      </w:r>
      <w:r w:rsidR="00856AF6">
        <w:rPr>
          <w:color w:val="000000" w:themeColor="text1"/>
          <w:sz w:val="24"/>
          <w:szCs w:val="24"/>
        </w:rPr>
        <w:t xml:space="preserve"> A dashboard tracking transit demand around holiday periods, showing overall mean total ridership drops on holidays, day-of-week demand dips (most pronounced on Tuesdays and Wednesdays), distinct weekday versus weekend response gaps, and the percentage of daily ridership change by holiday regime.</w:t>
      </w:r>
    </w:p>
    <w:p w14:paraId="086F0B0C" w14:textId="5DB08AFC" w:rsidR="00F6788C" w:rsidRDefault="00F6788C">
      <w:pPr>
        <w:pStyle w:val="Heading2"/>
        <w:numPr>
          <w:ilvl w:val="2"/>
          <w:numId w:val="3"/>
        </w:numPr>
        <w:rPr>
          <w:b/>
          <w:bCs/>
          <w:sz w:val="24"/>
          <w:szCs w:val="24"/>
          <w:u w:val="single"/>
        </w:rPr>
      </w:pPr>
      <w:r>
        <w:rPr>
          <w:b/>
          <w:bCs/>
          <w:sz w:val="24"/>
          <w:szCs w:val="24"/>
          <w:u w:val="single"/>
        </w:rPr>
        <w:t>Feature Correlation: Lag Dominance and Static Near-Zero Signal</w:t>
      </w:r>
    </w:p>
    <w:p w14:paraId="2A7E39A1" w14:textId="77777777" w:rsidR="000A2C25" w:rsidRDefault="000A2C25" w:rsidP="000A2C25">
      <w:pPr>
        <w:ind w:firstLine="720"/>
        <w:rPr>
          <w:lang w:val="en-US"/>
        </w:rPr>
      </w:pPr>
      <w:r>
        <w:rPr>
          <w:lang w:val="en-US"/>
        </w:rPr>
        <w:t xml:space="preserve">In the 79 x 79 Pearson correlation heatmap, autoregressive lag features (ridership_lag_7, ridership_lag_14, ridership_lag_28) are the strongest individual predictors of </w:t>
      </w:r>
      <w:proofErr w:type="spellStart"/>
      <w:r>
        <w:rPr>
          <w:lang w:val="en-US"/>
        </w:rPr>
        <w:t>total_ridership</w:t>
      </w:r>
      <w:proofErr w:type="spellEnd"/>
      <w:r>
        <w:rPr>
          <w:lang w:val="en-US"/>
        </w:rPr>
        <w:t xml:space="preserve">. Static features (GTFS, OSM, GADM) cluster near zero correlation with all ridership targets. Temporal features (holiday flags, cyclical encodings) form an intermediate cluster. Full 79 x 79 correlation matrix computed on the no-MCO feature matrix. </w:t>
      </w:r>
    </w:p>
    <w:p w14:paraId="06DCF1D3" w14:textId="77777777" w:rsidR="000A2C25" w:rsidRDefault="000A2C25" w:rsidP="000A2C25">
      <w:pPr>
        <w:ind w:firstLine="720"/>
        <w:rPr>
          <w:lang w:val="en-US"/>
        </w:rPr>
      </w:pPr>
      <w:r>
        <w:rPr>
          <w:lang w:val="en-US"/>
        </w:rPr>
        <w:t xml:space="preserve">Top correlations with </w:t>
      </w:r>
      <w:proofErr w:type="spellStart"/>
      <w:r>
        <w:rPr>
          <w:lang w:val="en-US"/>
        </w:rPr>
        <w:t>total_ridership</w:t>
      </w:r>
      <w:proofErr w:type="spellEnd"/>
      <w:r>
        <w:rPr>
          <w:lang w:val="en-US"/>
        </w:rPr>
        <w:t xml:space="preserve">: ridership_lag_7 (r = 0.94), ridership_lag_14 (r = 0.91), ridership_lag_28 (r = 0.87). </w:t>
      </w:r>
    </w:p>
    <w:p w14:paraId="30DA182B" w14:textId="0C32C1CD" w:rsidR="000A2C25" w:rsidRDefault="000A2C25" w:rsidP="000A2C25">
      <w:pPr>
        <w:ind w:firstLine="720"/>
        <w:rPr>
          <w:lang w:val="en-US"/>
        </w:rPr>
      </w:pPr>
      <w:r>
        <w:rPr>
          <w:lang w:val="en-US"/>
        </w:rPr>
        <w:t xml:space="preserve">Static features: </w:t>
      </w:r>
      <w:proofErr w:type="spellStart"/>
      <w:r>
        <w:rPr>
          <w:lang w:val="en-US"/>
        </w:rPr>
        <w:t>gtfs_n_stops</w:t>
      </w:r>
      <w:proofErr w:type="spellEnd"/>
      <w:r>
        <w:rPr>
          <w:lang w:val="en-US"/>
        </w:rPr>
        <w:t xml:space="preserve"> (r = 0.00, by construction, constant column), </w:t>
      </w:r>
      <w:proofErr w:type="spellStart"/>
      <w:r>
        <w:rPr>
          <w:lang w:val="en-US"/>
        </w:rPr>
        <w:t>osm_poi_total_mean</w:t>
      </w:r>
      <w:proofErr w:type="spellEnd"/>
      <w:r>
        <w:rPr>
          <w:lang w:val="en-US"/>
        </w:rPr>
        <w:t xml:space="preserve"> (r = 0.00), </w:t>
      </w:r>
      <w:proofErr w:type="spellStart"/>
      <w:r>
        <w:rPr>
          <w:lang w:val="en-US"/>
        </w:rPr>
        <w:t>gadm_n_states</w:t>
      </w:r>
      <w:proofErr w:type="spellEnd"/>
      <w:r>
        <w:rPr>
          <w:lang w:val="en-US"/>
        </w:rPr>
        <w:t xml:space="preserve"> (r = 0.00).</w:t>
      </w:r>
    </w:p>
    <w:p w14:paraId="75AB9568" w14:textId="4E93A6C8" w:rsidR="000A2C25" w:rsidRDefault="000A2C25" w:rsidP="000A2C25">
      <w:pPr>
        <w:ind w:firstLine="720"/>
        <w:rPr>
          <w:lang w:val="en-US"/>
        </w:rPr>
      </w:pPr>
      <w:r>
        <w:rPr>
          <w:lang w:val="en-US"/>
        </w:rPr>
        <w:t>Eigenvalue decomposition confirms that the first principal component (~72% of variance) is dominated by the lag trio.</w:t>
      </w:r>
    </w:p>
    <w:p w14:paraId="5AA04F28" w14:textId="75CA3B84" w:rsidR="005E267F" w:rsidRDefault="005E267F" w:rsidP="000A2C25">
      <w:pPr>
        <w:ind w:firstLine="720"/>
        <w:rPr>
          <w:lang w:val="en-US"/>
        </w:rPr>
      </w:pPr>
      <w:r>
        <w:rPr>
          <w:lang w:val="en-US"/>
        </w:rPr>
        <w:t>The near-zero linear correlation of static features does not mean they are uninformative a priori (constant-valued columns have zero variance and thus zero correlation by definition). The lag dominance confirms that models should incorporate autoregressive structure; the lag trio is the strongest set of input features regardless of model architecture</w:t>
      </w:r>
      <w:r w:rsidR="00916FB1">
        <w:rPr>
          <w:lang w:val="en-US"/>
        </w:rPr>
        <w:t xml:space="preserve"> </w:t>
      </w:r>
      <w:r w:rsidR="00916FB1">
        <w:rPr>
          <w:noProof/>
          <w:lang w:val="en-US"/>
        </w:rPr>
        <w:t>(Wu et al., 2023)</w:t>
      </w:r>
      <w:r>
        <w:rPr>
          <w:lang w:val="en-US"/>
        </w:rPr>
        <w:t>.</w:t>
      </w:r>
      <w:r w:rsidR="003C4CBC">
        <w:rPr>
          <w:lang w:val="en-US"/>
        </w:rPr>
        <w:t xml:space="preserve"> This also implies that a naïve persistence baseline (forecast = lag_7) would achieve moderate performance, which is the practical floor that all 15 evaluated architectures (14 baselines plus proposed model, HMT-TSF) need to exceed.</w:t>
      </w:r>
    </w:p>
    <w:p w14:paraId="495A4007" w14:textId="39500CDE" w:rsidR="00CE1619" w:rsidRDefault="00CE1619" w:rsidP="00CE1619">
      <w:pPr>
        <w:rPr>
          <w:lang w:val="en-US"/>
        </w:rPr>
      </w:pPr>
      <w:r>
        <w:rPr>
          <w:noProof/>
          <w:lang w:val="en-US"/>
        </w:rPr>
        <w:drawing>
          <wp:inline distT="0" distB="0" distL="0" distR="0" wp14:anchorId="61A50C1C" wp14:editId="58782840">
            <wp:extent cx="5727700" cy="2122170"/>
            <wp:effectExtent l="19050" t="19050" r="25400" b="11430"/>
            <wp:docPr id="6170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7700" cy="2122170"/>
                    </a:xfrm>
                    <a:prstGeom prst="rect">
                      <a:avLst/>
                    </a:prstGeom>
                    <a:noFill/>
                    <a:ln>
                      <a:solidFill>
                        <a:schemeClr val="tx1"/>
                      </a:solidFill>
                    </a:ln>
                  </pic:spPr>
                </pic:pic>
              </a:graphicData>
            </a:graphic>
          </wp:inline>
        </w:drawing>
      </w:r>
    </w:p>
    <w:p w14:paraId="5CC34F51" w14:textId="3AD6AE14" w:rsidR="00CE1619" w:rsidRPr="00CE1619" w:rsidRDefault="00CE1619" w:rsidP="00CE1619">
      <w:pPr>
        <w:pStyle w:val="Caption"/>
        <w:jc w:val="center"/>
        <w:rPr>
          <w:color w:val="auto"/>
          <w:sz w:val="24"/>
          <w:szCs w:val="24"/>
          <w:lang w:val="en-US"/>
        </w:rPr>
      </w:pPr>
      <w:r w:rsidRPr="00CE1619">
        <w:rPr>
          <w:color w:val="auto"/>
          <w:sz w:val="24"/>
          <w:szCs w:val="24"/>
        </w:rPr>
        <w:lastRenderedPageBreak/>
        <w:t xml:space="preserve">Figure </w:t>
      </w:r>
      <w:r w:rsidRPr="00CE1619">
        <w:rPr>
          <w:color w:val="auto"/>
          <w:sz w:val="24"/>
          <w:szCs w:val="24"/>
        </w:rPr>
        <w:fldChar w:fldCharType="begin"/>
      </w:r>
      <w:r w:rsidRPr="00CE1619">
        <w:rPr>
          <w:color w:val="auto"/>
          <w:sz w:val="24"/>
          <w:szCs w:val="24"/>
        </w:rPr>
        <w:instrText xml:space="preserve"> SEQ Figure \* ARABIC </w:instrText>
      </w:r>
      <w:r w:rsidRPr="00CE1619">
        <w:rPr>
          <w:color w:val="auto"/>
          <w:sz w:val="24"/>
          <w:szCs w:val="24"/>
        </w:rPr>
        <w:fldChar w:fldCharType="separate"/>
      </w:r>
      <w:r w:rsidR="009C2312">
        <w:rPr>
          <w:noProof/>
          <w:color w:val="auto"/>
          <w:sz w:val="24"/>
          <w:szCs w:val="24"/>
        </w:rPr>
        <w:t>21</w:t>
      </w:r>
      <w:r w:rsidRPr="00CE1619">
        <w:rPr>
          <w:color w:val="auto"/>
          <w:sz w:val="24"/>
          <w:szCs w:val="24"/>
        </w:rPr>
        <w:fldChar w:fldCharType="end"/>
      </w:r>
      <w:r>
        <w:rPr>
          <w:color w:val="auto"/>
          <w:sz w:val="24"/>
          <w:szCs w:val="24"/>
        </w:rPr>
        <w:t>: A dual-panel visualization showing a detailed 6 x 6 correlation matrix of key demand forecasting inputs (left) alongside a horizontal bar chart displaying the standardized coefficients of the dominant predictors of ridership (right).</w:t>
      </w:r>
    </w:p>
    <w:p w14:paraId="6F284DDE" w14:textId="48505072" w:rsidR="00CE1619" w:rsidRDefault="00CE1619" w:rsidP="00CE1619">
      <w:pPr>
        <w:rPr>
          <w:lang w:val="en-US"/>
        </w:rPr>
      </w:pPr>
      <w:r>
        <w:rPr>
          <w:noProof/>
          <w:lang w:val="en-US"/>
        </w:rPr>
        <w:drawing>
          <wp:inline distT="0" distB="0" distL="0" distR="0" wp14:anchorId="04EE038C" wp14:editId="37E49D6D">
            <wp:extent cx="5727700" cy="5486400"/>
            <wp:effectExtent l="19050" t="19050" r="25400" b="19050"/>
            <wp:docPr id="16077385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7700" cy="5486400"/>
                    </a:xfrm>
                    <a:prstGeom prst="rect">
                      <a:avLst/>
                    </a:prstGeom>
                    <a:noFill/>
                    <a:ln>
                      <a:solidFill>
                        <a:schemeClr val="tx1"/>
                      </a:solidFill>
                    </a:ln>
                  </pic:spPr>
                </pic:pic>
              </a:graphicData>
            </a:graphic>
          </wp:inline>
        </w:drawing>
      </w:r>
    </w:p>
    <w:p w14:paraId="6C91B6AA" w14:textId="113ACEE4" w:rsidR="00CE1619" w:rsidRPr="00CE1619" w:rsidRDefault="00CE1619" w:rsidP="00CE1619">
      <w:pPr>
        <w:pStyle w:val="Caption"/>
        <w:jc w:val="center"/>
        <w:rPr>
          <w:color w:val="auto"/>
          <w:sz w:val="24"/>
          <w:szCs w:val="24"/>
          <w:lang w:val="en-US"/>
        </w:rPr>
      </w:pPr>
      <w:r w:rsidRPr="00CE1619">
        <w:rPr>
          <w:color w:val="auto"/>
          <w:sz w:val="24"/>
          <w:szCs w:val="24"/>
        </w:rPr>
        <w:t xml:space="preserve">Figure </w:t>
      </w:r>
      <w:r w:rsidRPr="00CE1619">
        <w:rPr>
          <w:color w:val="auto"/>
          <w:sz w:val="24"/>
          <w:szCs w:val="24"/>
        </w:rPr>
        <w:fldChar w:fldCharType="begin"/>
      </w:r>
      <w:r w:rsidRPr="00CE1619">
        <w:rPr>
          <w:color w:val="auto"/>
          <w:sz w:val="24"/>
          <w:szCs w:val="24"/>
        </w:rPr>
        <w:instrText xml:space="preserve"> SEQ Figure \* ARABIC </w:instrText>
      </w:r>
      <w:r w:rsidRPr="00CE1619">
        <w:rPr>
          <w:color w:val="auto"/>
          <w:sz w:val="24"/>
          <w:szCs w:val="24"/>
        </w:rPr>
        <w:fldChar w:fldCharType="separate"/>
      </w:r>
      <w:r w:rsidR="009C2312">
        <w:rPr>
          <w:noProof/>
          <w:color w:val="auto"/>
          <w:sz w:val="24"/>
          <w:szCs w:val="24"/>
        </w:rPr>
        <w:t>22</w:t>
      </w:r>
      <w:r w:rsidRPr="00CE1619">
        <w:rPr>
          <w:color w:val="auto"/>
          <w:sz w:val="24"/>
          <w:szCs w:val="24"/>
        </w:rPr>
        <w:fldChar w:fldCharType="end"/>
      </w:r>
      <w:r>
        <w:rPr>
          <w:color w:val="auto"/>
          <w:sz w:val="24"/>
          <w:szCs w:val="24"/>
        </w:rPr>
        <w:t>: A large-scale, lower-triangular heatmap visualizing the complex feature correlation matrix (79 x 79) for full demand model, covering targets, temporal, external, lag, and static variables.</w:t>
      </w:r>
    </w:p>
    <w:p w14:paraId="36CC07E5" w14:textId="69B83700" w:rsidR="00BF5071" w:rsidRDefault="00B154B7">
      <w:pPr>
        <w:pStyle w:val="Heading2"/>
        <w:numPr>
          <w:ilvl w:val="1"/>
          <w:numId w:val="3"/>
        </w:numPr>
        <w:rPr>
          <w:b/>
          <w:bCs/>
          <w:sz w:val="24"/>
          <w:szCs w:val="24"/>
          <w:u w:val="single"/>
        </w:rPr>
      </w:pPr>
      <w:bookmarkStart w:id="31" w:name="_Toc230901628"/>
      <w:r w:rsidRPr="00C7720B">
        <w:rPr>
          <w:b/>
          <w:bCs/>
          <w:sz w:val="24"/>
          <w:szCs w:val="24"/>
          <w:u w:val="single"/>
        </w:rPr>
        <w:t>Baseline &amp; Comparative Models</w:t>
      </w:r>
      <w:bookmarkEnd w:id="31"/>
    </w:p>
    <w:p w14:paraId="28475279" w14:textId="1560015A" w:rsidR="0026078F" w:rsidRDefault="0026078F" w:rsidP="00390074">
      <w:pPr>
        <w:ind w:firstLine="720"/>
      </w:pPr>
      <w:r>
        <w:t xml:space="preserve">The 14 baseline models are selected to form a progressive comparison chain that isolates the contribution of each architectural component to transit ridership prediction performance. This progressive design ensures that each model answers a specific architectural question: Does adding bidirectionality helps? Does attention over temporal patterns improve upon bidirectionality? Does encoding cross-feature correlations as a graph surpass implicit spatial encoding? Do FFT-based decompositions outperform graph propagation for periodic </w:t>
      </w:r>
      <w:r>
        <w:lastRenderedPageBreak/>
        <w:t>ridership signal?</w:t>
      </w:r>
      <w:r w:rsidR="0067380B">
        <w:t xml:space="preserve"> The </w:t>
      </w:r>
      <w:r w:rsidR="00BB49DA">
        <w:t>architecture details used in this study</w:t>
      </w:r>
      <w:r w:rsidR="0067380B">
        <w:t xml:space="preserve"> for based and tuned variants for all 14 models are documented in Appendix</w:t>
      </w:r>
      <w:r w:rsidR="00A84AC4">
        <w:t xml:space="preserve"> for reproducing purposes</w:t>
      </w:r>
      <w:r w:rsidR="0067380B">
        <w:t>.</w:t>
      </w:r>
    </w:p>
    <w:p w14:paraId="4617D32E" w14:textId="51B1F761" w:rsidR="00C27640" w:rsidRPr="0026078F" w:rsidRDefault="00390074" w:rsidP="00FE6449">
      <w:pPr>
        <w:ind w:firstLine="720"/>
      </w:pPr>
      <w:r>
        <w:t>The proposed model, HMT-TSF, is designed to fuse the strongest mechanisms from spatiotemporal, graph, and attention models – multi-scale temporal convolution, feature-correlation graph encoding, and MCO regime-aware gating – into a single end-to-end architecture purpose-built for the distributional properties of Malaysian transit ridership data.</w:t>
      </w:r>
    </w:p>
    <w:p w14:paraId="2E71050B" w14:textId="15A3E3B8" w:rsidR="00BF5071" w:rsidRDefault="00BF5071">
      <w:pPr>
        <w:pStyle w:val="Heading2"/>
        <w:numPr>
          <w:ilvl w:val="2"/>
          <w:numId w:val="3"/>
        </w:numPr>
        <w:rPr>
          <w:b/>
          <w:bCs/>
          <w:sz w:val="24"/>
          <w:szCs w:val="24"/>
          <w:u w:val="single"/>
        </w:rPr>
      </w:pPr>
      <w:r>
        <w:rPr>
          <w:b/>
          <w:bCs/>
          <w:sz w:val="24"/>
          <w:szCs w:val="24"/>
          <w:u w:val="single"/>
        </w:rPr>
        <w:t>Spatiotemporal Models</w:t>
      </w:r>
    </w:p>
    <w:p w14:paraId="01F1ABC6" w14:textId="7801A377" w:rsidR="00FE6449" w:rsidRDefault="00FE6449">
      <w:pPr>
        <w:pStyle w:val="Heading2"/>
        <w:numPr>
          <w:ilvl w:val="3"/>
          <w:numId w:val="3"/>
        </w:numPr>
        <w:rPr>
          <w:b/>
          <w:bCs/>
          <w:sz w:val="24"/>
          <w:szCs w:val="24"/>
          <w:u w:val="single"/>
        </w:rPr>
      </w:pPr>
      <w:r>
        <w:rPr>
          <w:b/>
          <w:bCs/>
          <w:sz w:val="24"/>
          <w:szCs w:val="24"/>
          <w:u w:val="single"/>
        </w:rPr>
        <w:t>LSTM</w:t>
      </w:r>
    </w:p>
    <w:p w14:paraId="7F599424" w14:textId="7D3324B5" w:rsidR="00B20117" w:rsidRPr="00B20117" w:rsidRDefault="001E16CA" w:rsidP="001E16CA">
      <w:pPr>
        <w:ind w:firstLine="720"/>
      </w:pPr>
      <w:r>
        <w:t xml:space="preserve">LSTM is selected as the foundational sequential baseline to establish the minimum performance threshold against which all subsequent architectural innovations are measured. </w:t>
      </w:r>
      <w:r>
        <w:rPr>
          <w:noProof/>
        </w:rPr>
        <w:t>Barath et al. (2026) evaluates LSTM across diverse time series benchmarks and demostrates that it achieves consistently competitive accuracy as a general-purpose sequential model, confirming its suitability as the primary reference point before specialised architectures are introduced. In the context of Malaysian transit ridership, where temporal dependencies span daily commuter cycles and strong weekly patterns, LSTM’s gated memory mechanism provides a principled minimum capability for sequential modelling without imposing additional inductive biases such as graph structure or attention. All 14 subsequent models are directly compared against LSTM, allowing each architectural addition such as bidirectionality, pattern attention, graph convolution, series decomposition, to be expressed as a measurable incremental gain over sequential baseline.</w:t>
      </w:r>
    </w:p>
    <w:p w14:paraId="79E49D38" w14:textId="372AF935" w:rsidR="00FE6449" w:rsidRDefault="00FE6449">
      <w:pPr>
        <w:pStyle w:val="Heading2"/>
        <w:numPr>
          <w:ilvl w:val="3"/>
          <w:numId w:val="3"/>
        </w:numPr>
        <w:rPr>
          <w:b/>
          <w:bCs/>
          <w:sz w:val="24"/>
          <w:szCs w:val="24"/>
          <w:u w:val="single"/>
        </w:rPr>
      </w:pPr>
      <w:r>
        <w:rPr>
          <w:b/>
          <w:bCs/>
          <w:sz w:val="24"/>
          <w:szCs w:val="24"/>
          <w:u w:val="single"/>
        </w:rPr>
        <w:t>BiLSTM</w:t>
      </w:r>
    </w:p>
    <w:p w14:paraId="34B15FAF" w14:textId="43B73A26" w:rsidR="00B20117" w:rsidRPr="00B20117" w:rsidRDefault="00A27795" w:rsidP="001B158A">
      <w:pPr>
        <w:ind w:firstLine="720"/>
      </w:pPr>
      <w:r>
        <w:t xml:space="preserve">BiLSTM is selected to directly isolate the contribution of bidirectional encoding over the observed look-back window relative to the unidirectional LSTM baseline. </w:t>
      </w:r>
      <w:r>
        <w:rPr>
          <w:noProof/>
        </w:rPr>
        <w:t>Krishnasamy et al. (2025) demostrate that BiLSTM achieves measurable improvements over standard LSTM in traffic congestion forecasting by exposing earlier sequence positions to future-within-window context, validating the bidirectional extension for sequential transport demand tasks. In Malaysia transit ridership data, mid-window events such as public holidays or major disruptions that fall several days before the forecast horizon may be more accurately encoded when the model can contextualise them against the ridership response that follows</w:t>
      </w:r>
      <w:r w:rsidR="00FA5E4A">
        <w:rPr>
          <w:noProof/>
        </w:rPr>
        <w:t xml:space="preserve"> – a capability that LSTM’s strictly causal pass precludes by design. BiLSTM isolates precisely this contribution before more complex mechanisms are introduced later.</w:t>
      </w:r>
    </w:p>
    <w:p w14:paraId="7EC74560" w14:textId="02C2CAAC" w:rsidR="00FE6449" w:rsidRDefault="00FE6449">
      <w:pPr>
        <w:pStyle w:val="Heading2"/>
        <w:numPr>
          <w:ilvl w:val="3"/>
          <w:numId w:val="3"/>
        </w:numPr>
        <w:rPr>
          <w:b/>
          <w:bCs/>
          <w:sz w:val="24"/>
          <w:szCs w:val="24"/>
          <w:u w:val="single"/>
        </w:rPr>
      </w:pPr>
      <w:r>
        <w:rPr>
          <w:b/>
          <w:bCs/>
          <w:sz w:val="24"/>
          <w:szCs w:val="24"/>
          <w:u w:val="single"/>
        </w:rPr>
        <w:lastRenderedPageBreak/>
        <w:t>TPA-LSTM</w:t>
      </w:r>
    </w:p>
    <w:p w14:paraId="0799C8AF" w14:textId="51E5BCDD" w:rsidR="001B158A" w:rsidRPr="00B20117" w:rsidRDefault="001B158A" w:rsidP="001B158A">
      <w:pPr>
        <w:ind w:firstLine="720"/>
      </w:pPr>
      <w:r>
        <w:t>TPA-LSTM is selected to determine whether pattern-level attention over recurring temporal shapes in the LSTM hidden-state sequence improves upon positional bidirectionality. Wei et al. (2023) apply TPA-LSTM to subway passenger flow forecasting in Shenzhen and demonstrate that the temporal pattern attention mechanism extracts multi-scale periodic signals – daily, weekly, holiday-driven cycles – more effectively than LSTM alone, validating its application to transit demand prediction. Malaysian transit ridership exhibits pronounced multi-scale periodicity: strict weekday commuter peaks, clear weekday/weekend asymmetry, and sharp holiday suppression events. TPA-LSTM’s 1-D CNN applied over the LSTM hidden-state matrix is designed to detect recurring shapes directly rather than relying on positional proximity, making it architecturally well-matched to periodicity-heavy transit signals. It advances from position-level richness (bidirectionality) to shape-level richness (pattern attention).</w:t>
      </w:r>
    </w:p>
    <w:p w14:paraId="22B65665" w14:textId="6DBE8426" w:rsidR="00FE6449" w:rsidRDefault="00B20117">
      <w:pPr>
        <w:pStyle w:val="Heading2"/>
        <w:numPr>
          <w:ilvl w:val="3"/>
          <w:numId w:val="3"/>
        </w:numPr>
        <w:rPr>
          <w:b/>
          <w:bCs/>
          <w:sz w:val="24"/>
          <w:szCs w:val="24"/>
          <w:u w:val="single"/>
        </w:rPr>
      </w:pPr>
      <w:r>
        <w:rPr>
          <w:b/>
          <w:bCs/>
          <w:sz w:val="24"/>
          <w:szCs w:val="24"/>
          <w:u w:val="single"/>
        </w:rPr>
        <w:t>CNN-</w:t>
      </w:r>
      <w:r w:rsidR="00FE6449">
        <w:rPr>
          <w:b/>
          <w:bCs/>
          <w:sz w:val="24"/>
          <w:szCs w:val="24"/>
          <w:u w:val="single"/>
        </w:rPr>
        <w:t>LSTM</w:t>
      </w:r>
    </w:p>
    <w:p w14:paraId="6242B072" w14:textId="56C8982C" w:rsidR="00B20117" w:rsidRPr="00B20117" w:rsidRDefault="001D0C3B" w:rsidP="001D0C3B">
      <w:pPr>
        <w:ind w:firstLine="720"/>
      </w:pPr>
      <w:r>
        <w:t xml:space="preserve">CNN-LSTM is selected to test whether hierarchical local feature extraction by a 1-D CNN, prior to recurrent global sequence encoding, improves over attention-augmented recurrence alone. </w:t>
      </w:r>
      <w:r>
        <w:rPr>
          <w:noProof/>
        </w:rPr>
        <w:t>Topilin et al. (2025) demostrate in a traffic flow prediction study that a CNN-LSTM architecture effectively decomposes the forecasting problem into a local pattern extraction stage (CNN) followed by sequential dependency modelling (LSTM), achieving improvements over purelyy recurrent models. In Malaysia transit ridership, short-term local patterns – within-day ridership bursts during morning and evening peaks encoded as consecutive multi-timestep excursions – are more efficiently detected by convolution than by a recurrent cell that must propagate them across the full hidden state. Three independently tested fusion modes (sequential, parallel, augmented) are included to revea</w:t>
      </w:r>
      <w:r w:rsidR="003C7D17">
        <w:rPr>
          <w:noProof/>
        </w:rPr>
        <w:t>l</w:t>
      </w:r>
      <w:r>
        <w:rPr>
          <w:noProof/>
        </w:rPr>
        <w:t xml:space="preserve"> which coupling strategy best suits the flat multivariate feature representation of this dataset, providing additional granularity</w:t>
      </w:r>
      <w:r w:rsidR="003C7D17">
        <w:rPr>
          <w:noProof/>
        </w:rPr>
        <w:t xml:space="preserve"> (Khalil et al., 2021)</w:t>
      </w:r>
      <w:r>
        <w:rPr>
          <w:noProof/>
        </w:rPr>
        <w:t>.</w:t>
      </w:r>
      <w:r w:rsidR="003C7D17">
        <w:rPr>
          <w:noProof/>
        </w:rPr>
        <w:t xml:space="preserve"> </w:t>
      </w:r>
    </w:p>
    <w:p w14:paraId="5F38F9BE" w14:textId="47FB531C" w:rsidR="00FE6449" w:rsidRDefault="00B20117">
      <w:pPr>
        <w:pStyle w:val="Heading2"/>
        <w:numPr>
          <w:ilvl w:val="3"/>
          <w:numId w:val="3"/>
        </w:numPr>
        <w:rPr>
          <w:b/>
          <w:bCs/>
          <w:sz w:val="24"/>
          <w:szCs w:val="24"/>
          <w:u w:val="single"/>
        </w:rPr>
      </w:pPr>
      <w:r>
        <w:rPr>
          <w:b/>
          <w:bCs/>
          <w:sz w:val="24"/>
          <w:szCs w:val="24"/>
          <w:u w:val="single"/>
        </w:rPr>
        <w:t>CNN-Bi</w:t>
      </w:r>
      <w:r w:rsidR="00FE6449">
        <w:rPr>
          <w:b/>
          <w:bCs/>
          <w:sz w:val="24"/>
          <w:szCs w:val="24"/>
          <w:u w:val="single"/>
        </w:rPr>
        <w:t>LSTM</w:t>
      </w:r>
    </w:p>
    <w:p w14:paraId="1AF8988D" w14:textId="2964C7B1" w:rsidR="00B20117" w:rsidRPr="00B20117" w:rsidRDefault="004010AE" w:rsidP="004010AE">
      <w:pPr>
        <w:ind w:firstLine="720"/>
      </w:pPr>
      <w:r>
        <w:t xml:space="preserve">CNN-BiLSTM is selected to combine the two complementary inductive biases already validated individually – CNN local pattern extraction and BiLSTM bidirectional context – and test whether their combination yields addictive or synergistic gains over either component alone. </w:t>
      </w:r>
      <w:r>
        <w:rPr>
          <w:noProof/>
        </w:rPr>
        <w:t xml:space="preserve">Zhuang &amp; Cao (2022) apply CNN-BiLSTM to short-term traffic flow prediction with multi-component sensor inputs and show that bidirectional context over CNN-extracted </w:t>
      </w:r>
      <w:r>
        <w:rPr>
          <w:noProof/>
        </w:rPr>
        <w:lastRenderedPageBreak/>
        <w:t>features reduces prediction errors more than either component in isolation. In Malaysian transit ridership, this combination is particularly relevant for mid-window events: a public holiday falling in the middle of the look-back window creates a local pattern that the CNN can detect spatially, and whose temporal position in the window is best contextualised bidirectionally. CNN-BiLSTM is the most expressive LSTM-family model before explicit spatial stream decoupling is introduced via ST-LSTM.</w:t>
      </w:r>
    </w:p>
    <w:p w14:paraId="10CEBB45" w14:textId="3A4F2E47" w:rsidR="00FE6449" w:rsidRPr="00B20117" w:rsidRDefault="00B20117">
      <w:pPr>
        <w:pStyle w:val="Heading2"/>
        <w:numPr>
          <w:ilvl w:val="3"/>
          <w:numId w:val="3"/>
        </w:numPr>
        <w:rPr>
          <w:b/>
          <w:bCs/>
          <w:sz w:val="24"/>
          <w:szCs w:val="24"/>
          <w:u w:val="single"/>
        </w:rPr>
      </w:pPr>
      <w:r>
        <w:rPr>
          <w:b/>
          <w:bCs/>
          <w:sz w:val="24"/>
          <w:szCs w:val="24"/>
          <w:u w:val="single"/>
        </w:rPr>
        <w:t>ST-</w:t>
      </w:r>
      <w:r w:rsidR="00FE6449">
        <w:rPr>
          <w:b/>
          <w:bCs/>
          <w:sz w:val="24"/>
          <w:szCs w:val="24"/>
          <w:u w:val="single"/>
        </w:rPr>
        <w:t>LSTM</w:t>
      </w:r>
    </w:p>
    <w:p w14:paraId="2BF18160" w14:textId="6FAC7529" w:rsidR="00A55A06" w:rsidRPr="00A55A06" w:rsidRDefault="009434AF" w:rsidP="009434AF">
      <w:pPr>
        <w:ind w:firstLine="720"/>
      </w:pPr>
      <w:r>
        <w:t xml:space="preserve">ST-LSTM is selected as the canonical bridge model between the LSTM-family and graph-based series, introducing explicit spatial encoding as a separate parallel stream rather than forcing the LSTM to encode both temporal dynamics and feature interactions in a single hidden state. </w:t>
      </w:r>
      <w:r>
        <w:rPr>
          <w:noProof/>
        </w:rPr>
        <w:t>Cui et al. (2025) apply a multi-stream approach to urban rail passenger flow prediction using multi-source big data and demostrate that decoupling temporal sequence modelling from cross-sensor spatial feature aggregation improves accuracy for datasets spanning structurally heterogeneous sources. In this study, the 79-features input spans eight structurally distinct sources – ridership, fuel, rainfall, population, GTFS, OSM, GADM, and temporal – and the spatial encoder explicitly captures which feature groups persistently co-activate, a complementary signal to the temporal trajectory captured by the LSTM. ST-LSTM serves as the canonical reference model for the entire codebase: all subsequent model implementations follow its training loop, output structure, and comparison table logic.</w:t>
      </w:r>
    </w:p>
    <w:p w14:paraId="2576AE3F" w14:textId="2457C2C7" w:rsidR="00BF5071" w:rsidRDefault="00BF5071">
      <w:pPr>
        <w:pStyle w:val="Heading2"/>
        <w:numPr>
          <w:ilvl w:val="2"/>
          <w:numId w:val="3"/>
        </w:numPr>
        <w:rPr>
          <w:b/>
          <w:bCs/>
          <w:sz w:val="24"/>
          <w:szCs w:val="24"/>
          <w:u w:val="single"/>
        </w:rPr>
      </w:pPr>
      <w:r>
        <w:rPr>
          <w:b/>
          <w:bCs/>
          <w:sz w:val="24"/>
          <w:szCs w:val="24"/>
          <w:u w:val="single"/>
        </w:rPr>
        <w:t>Graph Models</w:t>
      </w:r>
    </w:p>
    <w:p w14:paraId="09EDC492" w14:textId="05218970" w:rsidR="00B20117" w:rsidRDefault="00B20117">
      <w:pPr>
        <w:pStyle w:val="Heading2"/>
        <w:numPr>
          <w:ilvl w:val="3"/>
          <w:numId w:val="3"/>
        </w:numPr>
        <w:rPr>
          <w:b/>
          <w:bCs/>
          <w:sz w:val="24"/>
          <w:szCs w:val="24"/>
          <w:u w:val="single"/>
        </w:rPr>
      </w:pPr>
      <w:r>
        <w:rPr>
          <w:b/>
          <w:bCs/>
          <w:sz w:val="24"/>
          <w:szCs w:val="24"/>
          <w:u w:val="single"/>
        </w:rPr>
        <w:t>STGCN</w:t>
      </w:r>
    </w:p>
    <w:p w14:paraId="4C3B5EED" w14:textId="428E04BD" w:rsidR="00B20117" w:rsidRPr="00B20117" w:rsidRDefault="00894A83" w:rsidP="00894A83">
      <w:pPr>
        <w:ind w:firstLine="720"/>
      </w:pPr>
      <w:r>
        <w:t xml:space="preserve">STGCN is selected as the foundational graph-based baseline because it establishes how much a fixed, pre-computed inter-feature correlation graph contributes over purely sequential or spatially implicit models. </w:t>
      </w:r>
      <w:r>
        <w:rPr>
          <w:noProof/>
        </w:rPr>
        <w:t xml:space="preserve">Deng (2025) applies STGCN with a spatiotemporal kernel to traffic flow prediction and confirms that interleaving Chebyshev graph convolution with temporal gated convolution captures relational dependencies that purely recurrent models cannot, even when the graph is static and pre-computed. In this study, the 79 features originate from eight structurally different sources whose inter-feature correlations are domain-meaningful: adjacent ridership lines co-vary across the transit network; fuel prices exhibit an inverse correlation with ridership on price-change days; rainfall co-varies with ridership suppression. Encoding these relationships as a Pearson graph allows message passing to propagate signals along correlated feature nodes rather than processing all features uniformly. </w:t>
      </w:r>
      <w:r>
        <w:rPr>
          <w:noProof/>
        </w:rPr>
        <w:lastRenderedPageBreak/>
        <w:t>STGCN marks the transition from implicit spatial encoding (ST-LSTM) to explicit graph-structured encoding.</w:t>
      </w:r>
    </w:p>
    <w:p w14:paraId="3681A7EF" w14:textId="3E524562" w:rsidR="00B20117" w:rsidRDefault="00B20117">
      <w:pPr>
        <w:pStyle w:val="Heading2"/>
        <w:numPr>
          <w:ilvl w:val="3"/>
          <w:numId w:val="3"/>
        </w:numPr>
        <w:rPr>
          <w:b/>
          <w:bCs/>
          <w:sz w:val="24"/>
          <w:szCs w:val="24"/>
          <w:u w:val="single"/>
        </w:rPr>
      </w:pPr>
      <w:r>
        <w:rPr>
          <w:b/>
          <w:bCs/>
          <w:sz w:val="24"/>
          <w:szCs w:val="24"/>
          <w:u w:val="single"/>
        </w:rPr>
        <w:t>ASTGCN</w:t>
      </w:r>
    </w:p>
    <w:p w14:paraId="78E43341" w14:textId="5B9FD143" w:rsidR="00B20117" w:rsidRPr="00B20117" w:rsidRDefault="00560890" w:rsidP="00347B24">
      <w:pPr>
        <w:ind w:firstLine="720"/>
      </w:pPr>
      <w:r>
        <w:t xml:space="preserve">ASTGCN is selected to determine whether learnable multi-head attention over both graph nodes (spatial attention) and timesteps (temporal attention) improves upon the fixed gated convolutions of STGCN. </w:t>
      </w:r>
      <w:r>
        <w:rPr>
          <w:noProof/>
        </w:rPr>
        <w:t xml:space="preserve">Cui et al. (2023) present ADSTGCN, a dynamic adaptive extension of ASTGCN for multi-step traffic forecasting, and demostrate that dual spatial and temporal attention substantially improves sensitivity to non-stationary input patterns compared to static graph message-passing alone. In transit ridership forecasting, the most informative subset of features and the most predictive timesteps vary by context: on a normal weekday the commuter-line ridership and day-of-week encoding are most informative, while during a holiday period the holiday-flag features and fuel-trend features dominate. ASTGCN’s per-layer dynamic re-weighting of which nodes and which timesteps to attend to allows the model to adapt this weighting per input sample. It bridges the graph-based and attention-based series by retaining the graph backbone of STGCN while adding attention on </w:t>
      </w:r>
      <w:r w:rsidR="008E0CBD">
        <w:rPr>
          <w:noProof/>
        </w:rPr>
        <w:t>spatiotemporal</w:t>
      </w:r>
      <w:r>
        <w:rPr>
          <w:noProof/>
        </w:rPr>
        <w:t xml:space="preserve"> dimensions.</w:t>
      </w:r>
    </w:p>
    <w:p w14:paraId="2FBF8E14" w14:textId="456C744C" w:rsidR="00B20117" w:rsidRDefault="00B20117">
      <w:pPr>
        <w:pStyle w:val="Heading2"/>
        <w:numPr>
          <w:ilvl w:val="3"/>
          <w:numId w:val="3"/>
        </w:numPr>
        <w:rPr>
          <w:b/>
          <w:bCs/>
          <w:sz w:val="24"/>
          <w:szCs w:val="24"/>
          <w:u w:val="single"/>
        </w:rPr>
      </w:pPr>
      <w:r>
        <w:rPr>
          <w:b/>
          <w:bCs/>
          <w:sz w:val="24"/>
          <w:szCs w:val="24"/>
          <w:u w:val="single"/>
        </w:rPr>
        <w:t>STSGCN</w:t>
      </w:r>
    </w:p>
    <w:p w14:paraId="2BFC9500" w14:textId="11823ADB" w:rsidR="00B20117" w:rsidRPr="00B20117" w:rsidRDefault="00517D0E" w:rsidP="00517D0E">
      <w:pPr>
        <w:ind w:firstLine="720"/>
      </w:pPr>
      <w:r>
        <w:t xml:space="preserve">STSGCN is selected to test whether fusing spatial and temporal graph operations into a single synchronous adjacency – rather than alternating them in separate blocks as STGCN does – captures joint spatiotemporal correlations more effectively. </w:t>
      </w:r>
      <w:r>
        <w:rPr>
          <w:noProof/>
        </w:rPr>
        <w:t>Chen et al. (2023) apply STSGCN to expressway traffic flow prediction during holiday periods and demonstrate that the synchronous graph approach better captures simultaneous spatial correlation changes and temporal pattern shifts during anomalous events. Malaysian transit ridership during public holidays exhibits precisely this behaviour: multiple feature nodes – ridership lines, holiday flags, fuel price indicators – shift simultaneously rather than sequentially, making joint synchronous encoding more naturally aligned with the data generating process. STSGCN tests whether replacing interleaved ST-Conv blocks with a unified 3N x 3N synchronous graph delivers measurable improvement at comparable parameter count.</w:t>
      </w:r>
    </w:p>
    <w:p w14:paraId="3D61B7B5" w14:textId="71E3451D" w:rsidR="00B20117" w:rsidRDefault="00B20117">
      <w:pPr>
        <w:pStyle w:val="Heading2"/>
        <w:numPr>
          <w:ilvl w:val="3"/>
          <w:numId w:val="3"/>
        </w:numPr>
        <w:rPr>
          <w:b/>
          <w:bCs/>
          <w:sz w:val="24"/>
          <w:szCs w:val="24"/>
          <w:u w:val="single"/>
        </w:rPr>
      </w:pPr>
      <w:r>
        <w:rPr>
          <w:b/>
          <w:bCs/>
          <w:sz w:val="24"/>
          <w:szCs w:val="24"/>
          <w:u w:val="single"/>
        </w:rPr>
        <w:t>STFGNN</w:t>
      </w:r>
    </w:p>
    <w:p w14:paraId="3EDF1633" w14:textId="2CDF9181" w:rsidR="00AC3EE1" w:rsidRPr="00AC3EE1" w:rsidRDefault="00AC3EE1" w:rsidP="00F01E04">
      <w:pPr>
        <w:ind w:firstLine="720"/>
        <w:rPr>
          <w:noProof/>
        </w:rPr>
      </w:pPr>
      <w:r>
        <w:t xml:space="preserve">STFGNN is selected to test whether using two complementary graphs, one capturing cross-feature co-variation at each moment (spatial: </w:t>
      </w:r>
      <m:oMath>
        <m:sSub>
          <m:sSubPr>
            <m:ctrlPr>
              <w:rPr>
                <w:rFonts w:ascii="Cambria Math" w:hAnsi="Cambria Math"/>
              </w:rPr>
            </m:ctrlPr>
          </m:sSubPr>
          <m:e>
            <m:r>
              <w:rPr>
                <w:rFonts w:ascii="Cambria Math" w:hAnsi="Cambria Math"/>
              </w:rPr>
              <m:t>A</m:t>
            </m:r>
          </m:e>
          <m:sub>
            <m:r>
              <w:rPr>
                <w:rFonts w:ascii="Cambria Math" w:hAnsi="Cambria Math"/>
              </w:rPr>
              <m:t>spa</m:t>
            </m:r>
          </m:sub>
        </m:sSub>
      </m:oMath>
      <w:r>
        <w:t xml:space="preserve">) and one capturing similarity of intra-window temporal profiles across features (temporal: </w:t>
      </w:r>
      <m:oMath>
        <m:sSub>
          <m:sSubPr>
            <m:ctrlPr>
              <w:rPr>
                <w:rFonts w:ascii="Cambria Math" w:hAnsi="Cambria Math"/>
              </w:rPr>
            </m:ctrlPr>
          </m:sSubPr>
          <m:e>
            <m:r>
              <w:rPr>
                <w:rFonts w:ascii="Cambria Math" w:hAnsi="Cambria Math"/>
              </w:rPr>
              <m:t>A</m:t>
            </m:r>
          </m:e>
          <m:sub>
            <m:r>
              <w:rPr>
                <w:rFonts w:ascii="Cambria Math" w:hAnsi="Cambria Math"/>
              </w:rPr>
              <m:t>tem</m:t>
            </m:r>
          </m:sub>
        </m:sSub>
      </m:oMath>
      <w:r>
        <w:t xml:space="preserve">) and fusing them via a learnable gate improves over single-graph models. </w:t>
      </w:r>
      <w:r>
        <w:rPr>
          <w:noProof/>
        </w:rPr>
        <w:t xml:space="preserve">Chang et al. (2025) present a related spatiotemporal fusion </w:t>
      </w:r>
      <w:r>
        <w:rPr>
          <w:noProof/>
        </w:rPr>
        <w:lastRenderedPageBreak/>
        <w:t xml:space="preserve">approach with dynamic sparse graph convolution and demostrate that separating spatiotemporal relational priors captures distinct aspects of the data structure that a single static graph conflates. In Malaysian ridership data, two features may co-vary strongly at a single point in time (high spatial correlatino in </w:t>
      </w:r>
      <m:oMath>
        <m:sSub>
          <m:sSubPr>
            <m:ctrlPr>
              <w:rPr>
                <w:rFonts w:ascii="Cambria Math" w:hAnsi="Cambria Math"/>
                <w:noProof/>
              </w:rPr>
            </m:ctrlPr>
          </m:sSubPr>
          <m:e>
            <m:r>
              <w:rPr>
                <w:rFonts w:ascii="Cambria Math" w:hAnsi="Cambria Math"/>
                <w:noProof/>
              </w:rPr>
              <m:t>A</m:t>
            </m:r>
          </m:e>
          <m:sub>
            <m:r>
              <w:rPr>
                <w:rFonts w:ascii="Cambria Math" w:hAnsi="Cambria Math"/>
                <w:noProof/>
              </w:rPr>
              <m:t>spa</m:t>
            </m:r>
          </m:sub>
        </m:sSub>
      </m:oMath>
      <w:r>
        <w:rPr>
          <w:noProof/>
        </w:rPr>
        <w:t xml:space="preserve">) but exhibits different daily profiles across 14-day window (low temporal correlation in </w:t>
      </w:r>
      <m:oMath>
        <m:sSub>
          <m:sSubPr>
            <m:ctrlPr>
              <w:rPr>
                <w:rFonts w:ascii="Cambria Math" w:hAnsi="Cambria Math"/>
              </w:rPr>
            </m:ctrlPr>
          </m:sSubPr>
          <m:e>
            <m:r>
              <w:rPr>
                <w:rFonts w:ascii="Cambria Math" w:hAnsi="Cambria Math"/>
              </w:rPr>
              <m:t>A</m:t>
            </m:r>
          </m:e>
          <m:sub>
            <m:r>
              <w:rPr>
                <w:rFonts w:ascii="Cambria Math" w:hAnsi="Cambria Math"/>
              </w:rPr>
              <m:t>tem</m:t>
            </m:r>
          </m:sub>
        </m:sSub>
      </m:oMath>
      <w:r>
        <w:rPr>
          <w:noProof/>
        </w:rPr>
        <w:t xml:space="preserve">). For instance, a fuel price series and a rainfall series may both dip on the same days due to coincidence, giving moderate </w:t>
      </w:r>
      <m:oMath>
        <m:sSub>
          <m:sSubPr>
            <m:ctrlPr>
              <w:rPr>
                <w:rFonts w:ascii="Cambria Math" w:hAnsi="Cambria Math"/>
                <w:noProof/>
              </w:rPr>
            </m:ctrlPr>
          </m:sSubPr>
          <m:e>
            <m:r>
              <w:rPr>
                <w:rFonts w:ascii="Cambria Math" w:hAnsi="Cambria Math"/>
                <w:noProof/>
              </w:rPr>
              <m:t>A</m:t>
            </m:r>
          </m:e>
          <m:sub>
            <m:r>
              <w:rPr>
                <w:rFonts w:ascii="Cambria Math" w:hAnsi="Cambria Math"/>
                <w:noProof/>
              </w:rPr>
              <m:t>spa</m:t>
            </m:r>
          </m:sub>
        </m:sSub>
      </m:oMath>
      <w:r>
        <w:rPr>
          <w:noProof/>
        </w:rPr>
        <w:t xml:space="preserve"> correlation, while their intra-window temporal trajectories are structurally dissimilar in </w:t>
      </w:r>
      <m:oMath>
        <m:sSub>
          <m:sSubPr>
            <m:ctrlPr>
              <w:rPr>
                <w:rFonts w:ascii="Cambria Math" w:hAnsi="Cambria Math"/>
              </w:rPr>
            </m:ctrlPr>
          </m:sSubPr>
          <m:e>
            <m:r>
              <w:rPr>
                <w:rFonts w:ascii="Cambria Math" w:hAnsi="Cambria Math"/>
              </w:rPr>
              <m:t>A</m:t>
            </m:r>
          </m:e>
          <m:sub>
            <m:r>
              <w:rPr>
                <w:rFonts w:ascii="Cambria Math" w:hAnsi="Cambria Math"/>
              </w:rPr>
              <m:t>tem</m:t>
            </m:r>
          </m:sub>
        </m:sSub>
      </m:oMath>
      <w:r>
        <w:rPr>
          <w:noProof/>
        </w:rPr>
        <w:t>. STFGNN is the only model in the study that encodes both types of inter-feature similarity simultaneously via dedicated separate graphs.</w:t>
      </w:r>
    </w:p>
    <w:p w14:paraId="3B1A1939" w14:textId="2A810774" w:rsidR="00B20117" w:rsidRDefault="00B20117">
      <w:pPr>
        <w:pStyle w:val="Heading2"/>
        <w:numPr>
          <w:ilvl w:val="3"/>
          <w:numId w:val="3"/>
        </w:numPr>
        <w:rPr>
          <w:b/>
          <w:bCs/>
          <w:sz w:val="24"/>
          <w:szCs w:val="24"/>
          <w:u w:val="single"/>
        </w:rPr>
      </w:pPr>
      <w:r>
        <w:rPr>
          <w:b/>
          <w:bCs/>
          <w:sz w:val="24"/>
          <w:szCs w:val="24"/>
          <w:u w:val="single"/>
        </w:rPr>
        <w:t>PDR-STGCN</w:t>
      </w:r>
    </w:p>
    <w:p w14:paraId="5DC6901D" w14:textId="51C8AC4A" w:rsidR="00B20117" w:rsidRPr="00B20117" w:rsidRDefault="003064DD" w:rsidP="008D653A">
      <w:pPr>
        <w:ind w:firstLine="720"/>
      </w:pPr>
      <w:r>
        <w:t xml:space="preserve">PDR-STGCN is a novel architecture developed in this study within the graph-based series, designed to address two key limitations of STGCN: the static graph’s inability to adapt to sample-specific inter-feature relationships, and the single-channel input’s failure to explicitly encode the periodicity intrinsic to transit ridership. The architecture published by </w:t>
      </w:r>
      <w:r>
        <w:rPr>
          <w:noProof/>
        </w:rPr>
        <w:t>Hu et al. (2026) demostrates that combining multi-scale periodic fusion with a dynamic relational graph significantly improves traffic forecasting performance over the static-graph STGCN baseline, motivating its adoption for transit ridership which exhibits particularly strong weekly seasonality driven by Malaysian work and school calendars. The dynamic attention-based adjacency allows the model to construct a different inter-feature graph for each input sample, capturing contextual correlations that a static Pearson graph cannot represent. PDR-STGCN is the most expressive and novel graph model in this research.</w:t>
      </w:r>
    </w:p>
    <w:p w14:paraId="3DF34A07" w14:textId="04EAEF15" w:rsidR="00B20117" w:rsidRPr="00B20117" w:rsidRDefault="00B20117">
      <w:pPr>
        <w:pStyle w:val="Heading2"/>
        <w:numPr>
          <w:ilvl w:val="3"/>
          <w:numId w:val="3"/>
        </w:numPr>
        <w:rPr>
          <w:b/>
          <w:bCs/>
          <w:sz w:val="24"/>
          <w:szCs w:val="24"/>
          <w:u w:val="single"/>
        </w:rPr>
      </w:pPr>
      <w:r>
        <w:rPr>
          <w:b/>
          <w:bCs/>
          <w:sz w:val="24"/>
          <w:szCs w:val="24"/>
          <w:u w:val="single"/>
        </w:rPr>
        <w:t>MTGNN</w:t>
      </w:r>
    </w:p>
    <w:p w14:paraId="2F137D3C" w14:textId="0B59444B" w:rsidR="008D653A" w:rsidRPr="008D653A" w:rsidRDefault="008D653A" w:rsidP="00AB2E7D">
      <w:pPr>
        <w:ind w:firstLine="720"/>
      </w:pPr>
      <w:r>
        <w:t>MTGNN is selected to test whether learning the inter-feature graph adjacency end-to-end from node embedding matrices instead of deriving it from pre-computed Pearson correlation will produce a more task-specific and expressive relational structure. Wu et al. (2025) present a multi-dynamic temporal representation GCN for traffic flow prediction and demonstrate that end-to-end learned adjacency with multi-scale dilated inception outperforms static correlation-based graph models by capturing task-relevant inter-node relationships that correlation alone cannot encode. In this study, the Pearson graph used by STGCN, STSGCN, STFGNN, and ASTGCN approximates inter-feature relationships derived from training statistics. It may miss non-linear or task-specific dependencies that only become apparent during gradient descent optimisation. MTGNN’s asymmetric learned adjacency (</w:t>
      </w:r>
      <m:oMath>
        <m:r>
          <w:rPr>
            <w:rFonts w:ascii="Cambria Math" w:hAnsi="Cambria Math"/>
          </w:rPr>
          <m:t>A≠</m:t>
        </m:r>
        <m:sSup>
          <m:sSupPr>
            <m:ctrlPr>
              <w:rPr>
                <w:rFonts w:ascii="Cambria Math" w:hAnsi="Cambria Math"/>
              </w:rPr>
            </m:ctrlPr>
          </m:sSupPr>
          <m:e>
            <m:r>
              <w:rPr>
                <w:rFonts w:ascii="Cambria Math" w:hAnsi="Cambria Math"/>
              </w:rPr>
              <m:t>A</m:t>
            </m:r>
          </m:e>
          <m:sup>
            <m:r>
              <w:rPr>
                <w:rFonts w:ascii="Cambria Math" w:hAnsi="Cambria Math"/>
              </w:rPr>
              <m:t>T</m:t>
            </m:r>
          </m:sup>
        </m:sSup>
      </m:oMath>
      <w:r>
        <w:t xml:space="preserve">) </w:t>
      </w:r>
      <w:r>
        <w:lastRenderedPageBreak/>
        <w:t>additionally allows asymmetric influence – feature i can influence feature j without the reverse – which is suitable for causally asymmetric relationships such as fuel price affecting ridership but not vice versa</w:t>
      </w:r>
      <w:r w:rsidR="00AB2E7D">
        <w:t>.</w:t>
      </w:r>
    </w:p>
    <w:p w14:paraId="1AFF43F2" w14:textId="60CB4DE7" w:rsidR="00BF5071" w:rsidRDefault="00BF5071">
      <w:pPr>
        <w:pStyle w:val="Heading2"/>
        <w:numPr>
          <w:ilvl w:val="2"/>
          <w:numId w:val="3"/>
        </w:numPr>
        <w:rPr>
          <w:b/>
          <w:bCs/>
          <w:sz w:val="24"/>
          <w:szCs w:val="24"/>
          <w:u w:val="single"/>
        </w:rPr>
      </w:pPr>
      <w:r>
        <w:rPr>
          <w:b/>
          <w:bCs/>
          <w:sz w:val="24"/>
          <w:szCs w:val="24"/>
          <w:u w:val="single"/>
        </w:rPr>
        <w:t>Attention Models</w:t>
      </w:r>
    </w:p>
    <w:p w14:paraId="5D397A87" w14:textId="5B1CCE45" w:rsidR="00B20117" w:rsidRDefault="00B20117">
      <w:pPr>
        <w:pStyle w:val="Heading2"/>
        <w:numPr>
          <w:ilvl w:val="3"/>
          <w:numId w:val="3"/>
        </w:numPr>
        <w:rPr>
          <w:b/>
          <w:bCs/>
          <w:sz w:val="24"/>
          <w:szCs w:val="24"/>
          <w:u w:val="single"/>
        </w:rPr>
      </w:pPr>
      <w:proofErr w:type="spellStart"/>
      <w:r>
        <w:rPr>
          <w:b/>
          <w:bCs/>
          <w:sz w:val="24"/>
          <w:szCs w:val="24"/>
          <w:u w:val="single"/>
        </w:rPr>
        <w:t>Autoformer</w:t>
      </w:r>
      <w:proofErr w:type="spellEnd"/>
    </w:p>
    <w:p w14:paraId="22F4C8F3" w14:textId="1E8D03CF" w:rsidR="00B20117" w:rsidRPr="00B20117" w:rsidRDefault="00480396" w:rsidP="00480396">
      <w:pPr>
        <w:ind w:firstLine="720"/>
      </w:pPr>
      <w:proofErr w:type="spellStart"/>
      <w:r>
        <w:t>Autoformer</w:t>
      </w:r>
      <w:proofErr w:type="spellEnd"/>
      <w:r>
        <w:t xml:space="preserve"> is selected to test whether explicit series decomposition into trend and seasonal components, combined with FFT-based autocorrelation attention, outperforms graph-based models for transit ridership, which is a periodic multi-scale signal. </w:t>
      </w:r>
      <w:r>
        <w:rPr>
          <w:noProof/>
        </w:rPr>
        <w:t>Ma &amp; Zhang (2025) extend Autoformer with multi-scale feature fusion for time series prediction and demostrate that the decompostion-based approach achieves stable performance on strongly periodic signals by cleanly separating trend recovery from seasonal pattern matching, validating the approach for periodic demand signals. Malaysian transit ridership in non-MCO periods exhibits largely stationary weekly and daily preiodicity, making the spectral autocorrelation mechanism theoretically well-suited: it can directly discover the 7-day dominant lag from data rather than assuming it. Autoformer introduces the hypothesis that ridership prediction problem is better framed as signal decomposition than as graph-structured feature propagation.</w:t>
      </w:r>
    </w:p>
    <w:p w14:paraId="619404CC" w14:textId="451B077F" w:rsidR="00B20117" w:rsidRPr="00B20117" w:rsidRDefault="00B20117">
      <w:pPr>
        <w:pStyle w:val="Heading2"/>
        <w:numPr>
          <w:ilvl w:val="3"/>
          <w:numId w:val="3"/>
        </w:numPr>
        <w:rPr>
          <w:b/>
          <w:bCs/>
          <w:sz w:val="24"/>
          <w:szCs w:val="24"/>
          <w:u w:val="single"/>
        </w:rPr>
      </w:pPr>
      <w:r>
        <w:rPr>
          <w:b/>
          <w:bCs/>
          <w:sz w:val="24"/>
          <w:szCs w:val="24"/>
          <w:u w:val="single"/>
        </w:rPr>
        <w:t>Informer</w:t>
      </w:r>
    </w:p>
    <w:p w14:paraId="4FCEDD16" w14:textId="107D5D1F" w:rsidR="003721D3" w:rsidRPr="003721D3" w:rsidRDefault="003721D3" w:rsidP="003721D3">
      <w:pPr>
        <w:ind w:firstLine="720"/>
        <w:rPr>
          <w:noProof/>
        </w:rPr>
      </w:pPr>
      <w:r>
        <w:t xml:space="preserve">Informer is selected as the final comparison model, representing efficient long-sequence transformer forecasting. According to </w:t>
      </w:r>
      <w:r>
        <w:rPr>
          <w:noProof/>
        </w:rPr>
        <w:t xml:space="preserve">Song et al. (2024), they applied a graph attention Informer to long-term traffic flow prediction under event impact and demostrate that ProbSparse attention with distilling achieves competitive accuracy while substantially reducing computational cost relative to full self-attention, validating the approach for transport demand forecasting. In this study at </w:t>
      </w:r>
      <m:oMath>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=14</m:t>
        </m:r>
      </m:oMath>
      <w:r>
        <w:rPr>
          <w:noProof/>
        </w:rPr>
        <w:t xml:space="preserve">, ProbSparse gracefully degenerates to near-full attention (u ~ 13 of 14 queries active), removing approximation error at the cost of no accuracy loss – making the comparison with full-attention models fair. Informer tests whether the generative one-shot decoder, which initialises with recent encoder context and directly produces all </w:t>
      </w:r>
      <m:oMath>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=7</m:t>
        </m:r>
      </m:oMath>
      <w:r>
        <w:rPr>
          <w:noProof/>
        </w:rPr>
        <w:t xml:space="preserve"> steps with autoregression, provides an advantage over the decomposition-decoder approach of Autoformer for multi-step transit ridership prediction.</w:t>
      </w:r>
    </w:p>
    <w:p w14:paraId="04645694" w14:textId="12A70446" w:rsidR="00765625" w:rsidRDefault="00096B40">
      <w:pPr>
        <w:pStyle w:val="Heading2"/>
        <w:numPr>
          <w:ilvl w:val="1"/>
          <w:numId w:val="3"/>
        </w:numPr>
        <w:rPr>
          <w:b/>
          <w:bCs/>
          <w:sz w:val="24"/>
          <w:szCs w:val="24"/>
          <w:u w:val="single"/>
        </w:rPr>
      </w:pPr>
      <w:bookmarkStart w:id="32" w:name="_Toc230901629"/>
      <w:r w:rsidRPr="00096B40">
        <w:rPr>
          <w:b/>
          <w:bCs/>
          <w:sz w:val="24"/>
          <w:szCs w:val="24"/>
          <w:u w:val="single"/>
        </w:rPr>
        <w:t xml:space="preserve">Hybrid Multi-scale Temporal </w:t>
      </w:r>
      <w:r w:rsidR="003D44AE">
        <w:rPr>
          <w:b/>
          <w:bCs/>
          <w:sz w:val="24"/>
          <w:szCs w:val="24"/>
          <w:u w:val="single"/>
        </w:rPr>
        <w:t>Spatio</w:t>
      </w:r>
      <w:r w:rsidR="00140854">
        <w:rPr>
          <w:b/>
          <w:bCs/>
          <w:sz w:val="24"/>
          <w:szCs w:val="24"/>
          <w:u w:val="single"/>
        </w:rPr>
        <w:t xml:space="preserve"> </w:t>
      </w:r>
      <w:r w:rsidRPr="00096B40">
        <w:rPr>
          <w:b/>
          <w:bCs/>
          <w:sz w:val="24"/>
          <w:szCs w:val="24"/>
          <w:u w:val="single"/>
        </w:rPr>
        <w:t xml:space="preserve">Feature (HMT-TSF) </w:t>
      </w:r>
      <w:r>
        <w:rPr>
          <w:b/>
          <w:bCs/>
          <w:sz w:val="24"/>
          <w:szCs w:val="24"/>
          <w:u w:val="single"/>
        </w:rPr>
        <w:t xml:space="preserve">- </w:t>
      </w:r>
      <w:r w:rsidR="00765625">
        <w:rPr>
          <w:b/>
          <w:bCs/>
          <w:sz w:val="24"/>
          <w:szCs w:val="24"/>
          <w:u w:val="single"/>
        </w:rPr>
        <w:t>Proposed Model</w:t>
      </w:r>
      <w:bookmarkEnd w:id="32"/>
    </w:p>
    <w:p w14:paraId="6E900C0B" w14:textId="54990D53" w:rsidR="003F6461" w:rsidRDefault="003F6461" w:rsidP="003F6461">
      <w:pPr>
        <w:ind w:firstLine="720"/>
      </w:pPr>
      <w:r>
        <w:t>HMT-TSF is proposed to address three key limitations identified across 14 baseline models:</w:t>
      </w:r>
    </w:p>
    <w:p w14:paraId="553876B3" w14:textId="4CA78140" w:rsidR="003F6461" w:rsidRDefault="003F6461">
      <w:pPr>
        <w:pStyle w:val="ListParagraph"/>
        <w:numPr>
          <w:ilvl w:val="0"/>
          <w:numId w:val="16"/>
        </w:numPr>
      </w:pPr>
      <w:r>
        <w:rPr>
          <w:b/>
          <w:bCs/>
        </w:rPr>
        <w:lastRenderedPageBreak/>
        <w:t>No model captures all three types of structure simultaneously.</w:t>
      </w:r>
      <w:r>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 HMT-TSF fuses </w:t>
      </w:r>
      <w:r w:rsidR="00FE7EC6">
        <w:t>temporal,</w:t>
      </w:r>
      <w:r>
        <w:t xml:space="preserve"> spatial, and regime-aware representations in parallel.</w:t>
      </w:r>
    </w:p>
    <w:p w14:paraId="222F505A" w14:textId="1EAB0FDA" w:rsidR="00FE7EC6" w:rsidRDefault="0096621B">
      <w:pPr>
        <w:pStyle w:val="ListParagraph"/>
        <w:numPr>
          <w:ilvl w:val="0"/>
          <w:numId w:val="16"/>
        </w:numPr>
      </w:pPr>
      <w:r>
        <w:rPr>
          <w:b/>
          <w:bCs/>
        </w:rPr>
        <w:t xml:space="preserve">No model explicitly handles the MCO regime shift. </w:t>
      </w:r>
      <w:r>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 HMT-TSF addresses this with RevIN instance normalisation and a dedicated Regime Gating Embedding.</w:t>
      </w:r>
    </w:p>
    <w:p w14:paraId="4C1134A6" w14:textId="518F40FB" w:rsidR="00207AC7" w:rsidRPr="003F6461" w:rsidRDefault="0096621B">
      <w:pPr>
        <w:pStyle w:val="ListParagraph"/>
        <w:numPr>
          <w:ilvl w:val="0"/>
          <w:numId w:val="16"/>
        </w:numPr>
      </w:pPr>
      <w:r>
        <w:rPr>
          <w:b/>
          <w:bCs/>
        </w:rPr>
        <w:t xml:space="preserve">No model uses domain-aware feature grouping. </w:t>
      </w:r>
      <w:r>
        <w:t>All 14 baselines treat the 79 features as a flat vector, giving equal initial weight to structurally disparate sources. HMT-TSF explicitly partitions features into five semantic groups based on their data source and functional role, embedding each independently before fusion.</w:t>
      </w:r>
    </w:p>
    <w:p w14:paraId="557A73E2" w14:textId="2CC72746" w:rsidR="00F80C70" w:rsidRDefault="00F80C70">
      <w:pPr>
        <w:pStyle w:val="Heading2"/>
        <w:numPr>
          <w:ilvl w:val="2"/>
          <w:numId w:val="3"/>
        </w:numPr>
        <w:rPr>
          <w:b/>
          <w:bCs/>
          <w:sz w:val="24"/>
          <w:szCs w:val="24"/>
          <w:u w:val="single"/>
        </w:rPr>
      </w:pPr>
      <w:r>
        <w:rPr>
          <w:b/>
          <w:bCs/>
          <w:sz w:val="24"/>
          <w:szCs w:val="24"/>
          <w:u w:val="single"/>
        </w:rPr>
        <w:t>Feature Selection</w:t>
      </w:r>
    </w:p>
    <w:p w14:paraId="7B59B317" w14:textId="1065E1C6" w:rsidR="009C2312" w:rsidRDefault="009A53AB" w:rsidP="009A53AB">
      <w:pPr>
        <w:ind w:firstLine="720"/>
      </w:pPr>
      <w:r>
        <w:t>All 79 inputs features are organized into five semantic groups. Two groups (temporal, external) are non-contiguous in the aligned column order, so each group is defined as one or more index segments.</w:t>
      </w:r>
    </w:p>
    <w:tbl>
      <w:tblPr>
        <w:tblStyle w:val="TableGrid"/>
        <w:tblW w:w="9067" w:type="dxa"/>
        <w:tblLook w:val="04A0" w:firstRow="1" w:lastRow="0" w:firstColumn="1" w:lastColumn="0" w:noHBand="0" w:noVBand="1"/>
      </w:tblPr>
      <w:tblGrid>
        <w:gridCol w:w="1999"/>
        <w:gridCol w:w="2107"/>
        <w:gridCol w:w="992"/>
        <w:gridCol w:w="3969"/>
      </w:tblGrid>
      <w:tr w:rsidR="009A53AB" w14:paraId="57B087AF" w14:textId="77777777" w:rsidTr="009A53AB">
        <w:tc>
          <w:tcPr>
            <w:tcW w:w="1999" w:type="dxa"/>
            <w:shd w:val="clear" w:color="auto" w:fill="C1E4F5" w:themeFill="accent1" w:themeFillTint="33"/>
          </w:tcPr>
          <w:p w14:paraId="087310CF" w14:textId="1964EC21" w:rsidR="009A53AB" w:rsidRPr="009A53AB" w:rsidRDefault="009A53AB" w:rsidP="009A53AB">
            <w:pPr>
              <w:rPr>
                <w:b/>
                <w:bCs/>
              </w:rPr>
            </w:pPr>
            <w:r>
              <w:rPr>
                <w:b/>
                <w:bCs/>
              </w:rPr>
              <w:t>Group</w:t>
            </w:r>
          </w:p>
        </w:tc>
        <w:tc>
          <w:tcPr>
            <w:tcW w:w="2107" w:type="dxa"/>
            <w:shd w:val="clear" w:color="auto" w:fill="C1E4F5" w:themeFill="accent1" w:themeFillTint="33"/>
          </w:tcPr>
          <w:p w14:paraId="41588D52" w14:textId="4DCE1BD3" w:rsidR="009A53AB" w:rsidRPr="009A53AB" w:rsidRDefault="009A53AB" w:rsidP="009A53AB">
            <w:pPr>
              <w:rPr>
                <w:b/>
                <w:bCs/>
              </w:rPr>
            </w:pPr>
            <w:r>
              <w:rPr>
                <w:b/>
                <w:bCs/>
              </w:rPr>
              <w:t>Indices</w:t>
            </w:r>
          </w:p>
        </w:tc>
        <w:tc>
          <w:tcPr>
            <w:tcW w:w="992" w:type="dxa"/>
            <w:shd w:val="clear" w:color="auto" w:fill="C1E4F5" w:themeFill="accent1" w:themeFillTint="33"/>
          </w:tcPr>
          <w:p w14:paraId="7D325E7F" w14:textId="48C86A90" w:rsidR="009A53AB" w:rsidRPr="009A53AB" w:rsidRDefault="009A53AB" w:rsidP="009A53AB">
            <w:pPr>
              <w:rPr>
                <w:b/>
                <w:bCs/>
              </w:rPr>
            </w:pPr>
            <w:r>
              <w:rPr>
                <w:b/>
                <w:bCs/>
              </w:rPr>
              <w:t>Count</w:t>
            </w:r>
          </w:p>
        </w:tc>
        <w:tc>
          <w:tcPr>
            <w:tcW w:w="3969" w:type="dxa"/>
            <w:shd w:val="clear" w:color="auto" w:fill="C1E4F5" w:themeFill="accent1" w:themeFillTint="33"/>
          </w:tcPr>
          <w:p w14:paraId="10603AEE" w14:textId="388A759C" w:rsidR="009A53AB" w:rsidRPr="009A53AB" w:rsidRDefault="009A53AB" w:rsidP="009A53AB">
            <w:pPr>
              <w:rPr>
                <w:b/>
                <w:bCs/>
              </w:rPr>
            </w:pPr>
            <w:r>
              <w:rPr>
                <w:b/>
                <w:bCs/>
              </w:rPr>
              <w:t>Features</w:t>
            </w:r>
          </w:p>
        </w:tc>
      </w:tr>
      <w:tr w:rsidR="009A53AB" w14:paraId="4EE6CC19" w14:textId="77777777" w:rsidTr="009A53AB">
        <w:tc>
          <w:tcPr>
            <w:tcW w:w="1999" w:type="dxa"/>
            <w:shd w:val="clear" w:color="auto" w:fill="F2F2F2" w:themeFill="background1" w:themeFillShade="F2"/>
          </w:tcPr>
          <w:p w14:paraId="2A522742" w14:textId="61DB3CB8" w:rsidR="009A53AB" w:rsidRDefault="009A53AB" w:rsidP="009A53AB">
            <w:pPr>
              <w:jc w:val="left"/>
            </w:pPr>
            <w:r>
              <w:t>Target Context</w:t>
            </w:r>
          </w:p>
        </w:tc>
        <w:tc>
          <w:tcPr>
            <w:tcW w:w="2107" w:type="dxa"/>
          </w:tcPr>
          <w:p w14:paraId="2CB8CAEC" w14:textId="49AAAF3D" w:rsidR="009A53AB" w:rsidRDefault="009A53AB" w:rsidP="009A53AB">
            <w:pPr>
              <w:jc w:val="left"/>
            </w:pPr>
            <w:r>
              <w:t>0 - 12</w:t>
            </w:r>
          </w:p>
        </w:tc>
        <w:tc>
          <w:tcPr>
            <w:tcW w:w="992" w:type="dxa"/>
          </w:tcPr>
          <w:p w14:paraId="484D7F33" w14:textId="6B2C538A" w:rsidR="009A53AB" w:rsidRDefault="009A53AB" w:rsidP="009A53AB">
            <w:pPr>
              <w:jc w:val="left"/>
            </w:pPr>
            <w:r>
              <w:t>13</w:t>
            </w:r>
          </w:p>
        </w:tc>
        <w:tc>
          <w:tcPr>
            <w:tcW w:w="3969" w:type="dxa"/>
          </w:tcPr>
          <w:p w14:paraId="60159B98" w14:textId="516D87FA" w:rsidR="009A53AB" w:rsidRDefault="009A53AB" w:rsidP="009A53AB">
            <w:pPr>
              <w:jc w:val="left"/>
            </w:pPr>
            <w:r>
              <w:t xml:space="preserve">12 service-line ridership values + </w:t>
            </w:r>
            <w:proofErr w:type="spellStart"/>
            <w:r>
              <w:t>total_ridership</w:t>
            </w:r>
            <w:proofErr w:type="spellEnd"/>
          </w:p>
        </w:tc>
      </w:tr>
      <w:tr w:rsidR="009A53AB" w14:paraId="31D2BBDF" w14:textId="77777777" w:rsidTr="009A53AB">
        <w:tc>
          <w:tcPr>
            <w:tcW w:w="1999" w:type="dxa"/>
            <w:shd w:val="clear" w:color="auto" w:fill="F2F2F2" w:themeFill="background1" w:themeFillShade="F2"/>
          </w:tcPr>
          <w:p w14:paraId="0730B2D4" w14:textId="44E6878E" w:rsidR="009A53AB" w:rsidRDefault="009A53AB" w:rsidP="009A53AB">
            <w:pPr>
              <w:jc w:val="left"/>
            </w:pPr>
            <w:r>
              <w:t>Lag</w:t>
            </w:r>
          </w:p>
        </w:tc>
        <w:tc>
          <w:tcPr>
            <w:tcW w:w="2107" w:type="dxa"/>
          </w:tcPr>
          <w:p w14:paraId="72491706" w14:textId="41DFF0CF" w:rsidR="009A53AB" w:rsidRDefault="009A53AB" w:rsidP="009A53AB">
            <w:pPr>
              <w:jc w:val="left"/>
            </w:pPr>
            <w:r>
              <w:t>13 – 15</w:t>
            </w:r>
          </w:p>
        </w:tc>
        <w:tc>
          <w:tcPr>
            <w:tcW w:w="992" w:type="dxa"/>
          </w:tcPr>
          <w:p w14:paraId="7905413B" w14:textId="1E8DC12F" w:rsidR="009A53AB" w:rsidRDefault="009A53AB" w:rsidP="009A53AB">
            <w:pPr>
              <w:jc w:val="left"/>
            </w:pPr>
            <w:r>
              <w:t>3</w:t>
            </w:r>
          </w:p>
        </w:tc>
        <w:tc>
          <w:tcPr>
            <w:tcW w:w="3969" w:type="dxa"/>
          </w:tcPr>
          <w:p w14:paraId="59A45E9B" w14:textId="4FC74F80" w:rsidR="009A53AB" w:rsidRDefault="009A53AB" w:rsidP="009A53AB">
            <w:pPr>
              <w:jc w:val="left"/>
            </w:pPr>
            <w:r>
              <w:t>ridership_lag_7, ridership_lag_14, ridership_lag_28</w:t>
            </w:r>
          </w:p>
        </w:tc>
      </w:tr>
      <w:tr w:rsidR="009A53AB" w14:paraId="31850BC7" w14:textId="77777777" w:rsidTr="009A53AB">
        <w:tc>
          <w:tcPr>
            <w:tcW w:w="1999" w:type="dxa"/>
            <w:shd w:val="clear" w:color="auto" w:fill="F2F2F2" w:themeFill="background1" w:themeFillShade="F2"/>
          </w:tcPr>
          <w:p w14:paraId="7C7E290F" w14:textId="1FA77B64" w:rsidR="009A53AB" w:rsidRDefault="009A53AB" w:rsidP="009A53AB">
            <w:pPr>
              <w:jc w:val="left"/>
            </w:pPr>
            <w:r>
              <w:t>Temporal/Cyclical</w:t>
            </w:r>
          </w:p>
        </w:tc>
        <w:tc>
          <w:tcPr>
            <w:tcW w:w="2107" w:type="dxa"/>
          </w:tcPr>
          <w:p w14:paraId="0EFA167E" w14:textId="6087DBEE" w:rsidR="009A53AB" w:rsidRDefault="009A53AB" w:rsidP="009A53AB">
            <w:pPr>
              <w:jc w:val="left"/>
            </w:pPr>
            <w:r>
              <w:t xml:space="preserve">16 – 17 </w:t>
            </w:r>
            <w:r w:rsidRPr="009A53AB">
              <w:rPr>
                <w:rFonts w:ascii="Cambria Math" w:hAnsi="Cambria Math" w:cs="Cambria Math"/>
              </w:rPr>
              <w:t>∪</w:t>
            </w:r>
            <w:r>
              <w:t xml:space="preserve"> 33 – 46</w:t>
            </w:r>
          </w:p>
        </w:tc>
        <w:tc>
          <w:tcPr>
            <w:tcW w:w="992" w:type="dxa"/>
          </w:tcPr>
          <w:p w14:paraId="2B3DA4EF" w14:textId="02E4068E" w:rsidR="009A53AB" w:rsidRDefault="009A53AB" w:rsidP="009A53AB">
            <w:pPr>
              <w:jc w:val="left"/>
            </w:pPr>
            <w:r>
              <w:t>16</w:t>
            </w:r>
          </w:p>
        </w:tc>
        <w:tc>
          <w:tcPr>
            <w:tcW w:w="3969" w:type="dxa"/>
          </w:tcPr>
          <w:p w14:paraId="76ED3166" w14:textId="6C8FB9ED" w:rsidR="009A53AB" w:rsidRDefault="009A53AB" w:rsidP="009A53AB">
            <w:pPr>
              <w:jc w:val="left"/>
            </w:pPr>
            <w:r>
              <w:t xml:space="preserve">year, </w:t>
            </w:r>
            <w:proofErr w:type="spellStart"/>
            <w:r>
              <w:t>day_of_year</w:t>
            </w:r>
            <w:proofErr w:type="spellEnd"/>
            <w:r>
              <w:t xml:space="preserve"> + holiday flags, lead-lag holiday, </w:t>
            </w:r>
            <w:proofErr w:type="spellStart"/>
            <w:r>
              <w:t>DoW</w:t>
            </w:r>
            <w:proofErr w:type="spellEnd"/>
            <w:r>
              <w:t>/month, sin/cos encodings</w:t>
            </w:r>
          </w:p>
        </w:tc>
      </w:tr>
      <w:tr w:rsidR="009A53AB" w14:paraId="68127B46" w14:textId="77777777" w:rsidTr="009A53AB">
        <w:tc>
          <w:tcPr>
            <w:tcW w:w="1999" w:type="dxa"/>
            <w:shd w:val="clear" w:color="auto" w:fill="F2F2F2" w:themeFill="background1" w:themeFillShade="F2"/>
          </w:tcPr>
          <w:p w14:paraId="5821B0E6" w14:textId="4DF41637" w:rsidR="009A53AB" w:rsidRDefault="009A53AB" w:rsidP="009A53AB">
            <w:pPr>
              <w:jc w:val="left"/>
            </w:pPr>
            <w:r>
              <w:t>External</w:t>
            </w:r>
          </w:p>
        </w:tc>
        <w:tc>
          <w:tcPr>
            <w:tcW w:w="2107" w:type="dxa"/>
          </w:tcPr>
          <w:p w14:paraId="1F8C5F11" w14:textId="28862397" w:rsidR="009A53AB" w:rsidRDefault="009A53AB" w:rsidP="009A53AB">
            <w:pPr>
              <w:jc w:val="left"/>
            </w:pPr>
            <w:r>
              <w:t xml:space="preserve">18 – 32 </w:t>
            </w:r>
            <w:r w:rsidRPr="009A53AB">
              <w:rPr>
                <w:rFonts w:ascii="Cambria Math" w:hAnsi="Cambria Math" w:cs="Cambria Math"/>
              </w:rPr>
              <w:t>∪</w:t>
            </w:r>
            <w:r>
              <w:t xml:space="preserve"> 47 – 61</w:t>
            </w:r>
          </w:p>
        </w:tc>
        <w:tc>
          <w:tcPr>
            <w:tcW w:w="992" w:type="dxa"/>
          </w:tcPr>
          <w:p w14:paraId="6727DE26" w14:textId="184B660F" w:rsidR="009A53AB" w:rsidRDefault="009A53AB" w:rsidP="009A53AB">
            <w:pPr>
              <w:jc w:val="left"/>
            </w:pPr>
            <w:r>
              <w:t>30</w:t>
            </w:r>
          </w:p>
        </w:tc>
        <w:tc>
          <w:tcPr>
            <w:tcW w:w="3969" w:type="dxa"/>
          </w:tcPr>
          <w:p w14:paraId="7F8242E0" w14:textId="0C57ACD7" w:rsidR="009A53AB" w:rsidRDefault="009A53AB" w:rsidP="009A53AB">
            <w:pPr>
              <w:jc w:val="left"/>
            </w:pPr>
            <w:r>
              <w:t>Fuel prices (15) + rainfall (15)</w:t>
            </w:r>
          </w:p>
        </w:tc>
      </w:tr>
      <w:tr w:rsidR="009A53AB" w14:paraId="19A2AAB2" w14:textId="77777777" w:rsidTr="009A53AB">
        <w:tc>
          <w:tcPr>
            <w:tcW w:w="1999" w:type="dxa"/>
            <w:shd w:val="clear" w:color="auto" w:fill="F2F2F2" w:themeFill="background1" w:themeFillShade="F2"/>
          </w:tcPr>
          <w:p w14:paraId="28102A76" w14:textId="4C5F4028" w:rsidR="009A53AB" w:rsidRDefault="009A53AB" w:rsidP="009A53AB">
            <w:pPr>
              <w:jc w:val="left"/>
            </w:pPr>
            <w:r>
              <w:t>Static</w:t>
            </w:r>
          </w:p>
        </w:tc>
        <w:tc>
          <w:tcPr>
            <w:tcW w:w="2107" w:type="dxa"/>
          </w:tcPr>
          <w:p w14:paraId="0F39B847" w14:textId="440A2C3C" w:rsidR="009A53AB" w:rsidRDefault="009A53AB" w:rsidP="009A53AB">
            <w:pPr>
              <w:jc w:val="left"/>
            </w:pPr>
            <w:r>
              <w:t>62 – 78</w:t>
            </w:r>
          </w:p>
        </w:tc>
        <w:tc>
          <w:tcPr>
            <w:tcW w:w="992" w:type="dxa"/>
          </w:tcPr>
          <w:p w14:paraId="345F333E" w14:textId="022198B8" w:rsidR="009A53AB" w:rsidRDefault="009A53AB" w:rsidP="009A53AB">
            <w:pPr>
              <w:jc w:val="left"/>
            </w:pPr>
            <w:r>
              <w:t>17</w:t>
            </w:r>
          </w:p>
        </w:tc>
        <w:tc>
          <w:tcPr>
            <w:tcW w:w="3969" w:type="dxa"/>
          </w:tcPr>
          <w:p w14:paraId="433D94E2" w14:textId="6CF0A8F9" w:rsidR="009A53AB" w:rsidRDefault="009A53AB" w:rsidP="009A53AB">
            <w:pPr>
              <w:jc w:val="left"/>
            </w:pPr>
            <w:r>
              <w:t>Population + GTFS + OSM POI + GADM</w:t>
            </w:r>
          </w:p>
        </w:tc>
      </w:tr>
    </w:tbl>
    <w:p w14:paraId="3A6D8B2D" w14:textId="1ACD17C1" w:rsidR="009A53AB" w:rsidRDefault="0050272D" w:rsidP="0050272D">
      <w:pPr>
        <w:pStyle w:val="Caption"/>
        <w:spacing w:before="240"/>
        <w:jc w:val="center"/>
        <w:rPr>
          <w:color w:val="auto"/>
          <w:sz w:val="24"/>
          <w:szCs w:val="24"/>
        </w:rPr>
      </w:pPr>
      <w:r w:rsidRPr="0050272D">
        <w:rPr>
          <w:color w:val="auto"/>
          <w:sz w:val="24"/>
          <w:szCs w:val="24"/>
        </w:rPr>
        <w:lastRenderedPageBreak/>
        <w:t xml:space="preserve">Table </w:t>
      </w:r>
      <w:r w:rsidRPr="0050272D">
        <w:rPr>
          <w:color w:val="auto"/>
          <w:sz w:val="24"/>
          <w:szCs w:val="24"/>
        </w:rPr>
        <w:fldChar w:fldCharType="begin"/>
      </w:r>
      <w:r w:rsidRPr="0050272D">
        <w:rPr>
          <w:color w:val="auto"/>
          <w:sz w:val="24"/>
          <w:szCs w:val="24"/>
        </w:rPr>
        <w:instrText xml:space="preserve"> SEQ Table \* ARABIC </w:instrText>
      </w:r>
      <w:r w:rsidRPr="0050272D">
        <w:rPr>
          <w:color w:val="auto"/>
          <w:sz w:val="24"/>
          <w:szCs w:val="24"/>
        </w:rPr>
        <w:fldChar w:fldCharType="separate"/>
      </w:r>
      <w:r w:rsidRPr="0050272D">
        <w:rPr>
          <w:noProof/>
          <w:color w:val="auto"/>
          <w:sz w:val="24"/>
          <w:szCs w:val="24"/>
        </w:rPr>
        <w:t>12</w:t>
      </w:r>
      <w:r w:rsidRPr="0050272D">
        <w:rPr>
          <w:color w:val="auto"/>
          <w:sz w:val="24"/>
          <w:szCs w:val="24"/>
        </w:rPr>
        <w:fldChar w:fldCharType="end"/>
      </w:r>
      <w:r>
        <w:rPr>
          <w:color w:val="auto"/>
          <w:sz w:val="24"/>
          <w:szCs w:val="24"/>
        </w:rPr>
        <w:t>: A detailed breakdown of all 79 features based on five distinct semantic groups along with its corresponding indices.</w:t>
      </w:r>
    </w:p>
    <w:p w14:paraId="78E42F8E" w14:textId="2B8183A9" w:rsidR="00C52D4D" w:rsidRDefault="00F92597" w:rsidP="00C52D4D">
      <w:pPr>
        <w:rPr>
          <w:u w:val="single"/>
        </w:rPr>
      </w:pPr>
      <w:r>
        <w:rPr>
          <w:u w:val="single"/>
        </w:rPr>
        <w:t>How Features are Used</w:t>
      </w:r>
    </w:p>
    <w:p w14:paraId="2109DD05" w14:textId="50CE16F3" w:rsidR="00F92597" w:rsidRDefault="00E822E0" w:rsidP="00C52D4D">
      <w:r>
        <w:rPr>
          <w:b/>
          <w:bCs/>
        </w:rPr>
        <w:t xml:space="preserve">Step 1 – Semantic Group Embedding: </w:t>
      </w:r>
      <w:r>
        <w:t xml:space="preserve">Each group is independently projected by a </w:t>
      </w:r>
      <w:r w:rsidR="00BA28B2">
        <w:t>small to</w:t>
      </w:r>
      <w:r>
        <w:t xml:space="preserve"> a common per-group</w:t>
      </w:r>
      <w:r w:rsidR="006E32A4">
        <w:t xml:space="preserve"> embedding dimension d/2:</w:t>
      </w:r>
    </w:p>
    <w:p w14:paraId="188CFE67" w14:textId="74086E49" w:rsidR="00BB5562" w:rsidRPr="00BB5562" w:rsidRDefault="00BB5562" w:rsidP="00C52D4D">
      <m:oMathPara>
        <m:oMath>
          <m:r>
            <w:rPr>
              <w:rFonts w:ascii="Cambria Math" w:hAnsi="Cambria Math"/>
            </w:rPr>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73BEDAF2" w14:textId="3B41922D" w:rsidR="00900BFD" w:rsidRDefault="00900BFD" w:rsidP="00C52D4D">
      <w:r>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380A9179" w14:textId="0A814EDD" w:rsidR="00900BFD" w:rsidRDefault="00900BFD" w:rsidP="00C52D4D">
      <w:r>
        <w:rPr>
          <w:b/>
          <w:bCs/>
        </w:rPr>
        <w:t xml:space="preserve">Step 2 – Gated group fusion with learned </w:t>
      </w:r>
      <w:proofErr w:type="spellStart"/>
      <w:r>
        <w:rPr>
          <w:b/>
          <w:bCs/>
        </w:rPr>
        <w:t>softmax</w:t>
      </w:r>
      <w:proofErr w:type="spellEnd"/>
      <w:r>
        <w:rPr>
          <w:b/>
          <w:bCs/>
        </w:rPr>
        <w:t xml:space="preserve"> weights: </w:t>
      </w:r>
      <w:r>
        <w:t xml:space="preserve">All group embeddings are concatenated and passed through a learned </w:t>
      </w:r>
      <w:proofErr w:type="spellStart"/>
      <w:r>
        <w:t>softmax</w:t>
      </w:r>
      <w:proofErr w:type="spellEnd"/>
      <w:r>
        <w:t xml:space="preserve"> group gate, which adaptively weights each group’s contribution at each timestep:</w:t>
      </w:r>
    </w:p>
    <w:p w14:paraId="1F9BA955" w14:textId="46C9958B" w:rsidR="00B8433F" w:rsidRPr="00B8433F" w:rsidRDefault="00000000" w:rsidP="00C52D4D">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70ED2352" w14:textId="4D42C43D" w:rsidR="006E32A4" w:rsidRPr="00900BFD" w:rsidRDefault="00900BFD" w:rsidP="00C52D4D">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DFBE61D" w14:textId="717E814A" w:rsidR="006E32A4" w:rsidRPr="00900BFD" w:rsidRDefault="00000000" w:rsidP="00C52D4D">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7705D2AA" w14:textId="59C9A89C" w:rsidR="00900BFD" w:rsidRDefault="00B8433F" w:rsidP="00C52D4D">
      <w:r>
        <w:t xml:space="preserve">The </w:t>
      </w:r>
      <w:proofErr w:type="spellStart"/>
      <w:r>
        <w:t>softmax</w:t>
      </w:r>
      <w:proofErr w:type="spellEnd"/>
      <w:r>
        <w:t xml:space="preserve">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2C61D4EF" w14:textId="4574F27E" w:rsidR="00A14B9E" w:rsidRDefault="00A14B9E" w:rsidP="00C52D4D">
      <w:r>
        <w:rPr>
          <w:b/>
          <w:bCs/>
        </w:rPr>
        <w:t>Step 3 – Projection to</w:t>
      </w:r>
      <w:r w:rsidR="00E94319">
        <w:rPr>
          <w:b/>
          <w:bCs/>
        </w:rPr>
        <w:t xml:space="preserve">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Pr>
          <w:b/>
          <w:bCs/>
        </w:rPr>
        <w:t xml:space="preserve">: </w:t>
      </w:r>
      <w:r>
        <w:t>The gated fusion output is projected to</w:t>
      </w:r>
      <w:r w:rsidR="00E94319">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t xml:space="preserve"> via:</w:t>
      </w:r>
    </w:p>
    <w:p w14:paraId="2441995F" w14:textId="514B30F7" w:rsidR="00A14B9E" w:rsidRPr="00A71581" w:rsidRDefault="00A14B9E" w:rsidP="00A71581">
      <w:pPr>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00A71581">
        <w:t xml:space="preserve"> </w:t>
      </w:r>
    </w:p>
    <w:p w14:paraId="1E9AE232" w14:textId="3BAB317C" w:rsidR="00A14B9E" w:rsidRPr="00A14B9E" w:rsidRDefault="00A14B9E" w:rsidP="00C52D4D">
      <w:r>
        <w:t xml:space="preserve">This two-stage projection with </w:t>
      </w:r>
      <w:proofErr w:type="spellStart"/>
      <w:r>
        <w:t>LayerNorm</w:t>
      </w:r>
      <w:proofErr w:type="spellEnd"/>
      <w:r>
        <w:t xml:space="preserve"> compresses the fused group embeddings into a unified representation of dimension</w:t>
      </w:r>
      <w:r w:rsidR="00E94319">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t xml:space="preserve"> on which all three parallel encoders then operate.</w:t>
      </w:r>
    </w:p>
    <w:p w14:paraId="00AA93FB" w14:textId="5CF76E38" w:rsidR="009C2312" w:rsidRDefault="00F80C70" w:rsidP="009C2312">
      <w:pPr>
        <w:pStyle w:val="Heading2"/>
        <w:numPr>
          <w:ilvl w:val="2"/>
          <w:numId w:val="3"/>
        </w:numPr>
        <w:rPr>
          <w:b/>
          <w:bCs/>
          <w:sz w:val="24"/>
          <w:szCs w:val="24"/>
          <w:u w:val="single"/>
        </w:rPr>
      </w:pPr>
      <w:r>
        <w:rPr>
          <w:b/>
          <w:bCs/>
          <w:sz w:val="24"/>
          <w:szCs w:val="24"/>
          <w:u w:val="single"/>
        </w:rPr>
        <w:t>Key Architecture Components</w:t>
      </w:r>
    </w:p>
    <w:p w14:paraId="615EB9C2" w14:textId="0809D9B8" w:rsidR="00E963EB" w:rsidRDefault="00E963EB" w:rsidP="00E963EB">
      <w:pPr>
        <w:pStyle w:val="Heading2"/>
        <w:numPr>
          <w:ilvl w:val="3"/>
          <w:numId w:val="3"/>
        </w:numPr>
        <w:rPr>
          <w:b/>
          <w:bCs/>
          <w:sz w:val="24"/>
          <w:szCs w:val="24"/>
          <w:u w:val="single"/>
        </w:rPr>
      </w:pPr>
      <w:r>
        <w:rPr>
          <w:b/>
          <w:bCs/>
          <w:sz w:val="24"/>
          <w:szCs w:val="24"/>
          <w:u w:val="single"/>
        </w:rPr>
        <w:t>RevIN – Reversible Instance Normalisation</w:t>
      </w:r>
    </w:p>
    <w:p w14:paraId="1C43B63B" w14:textId="588EA849" w:rsidR="00E963EB" w:rsidRPr="00E94319" w:rsidRDefault="00E94319" w:rsidP="00E94319">
      <w:pPr>
        <w:ind w:firstLine="720"/>
        <w:rPr>
          <w:noProof/>
        </w:rPr>
      </w:pPr>
      <w:r>
        <w:rPr>
          <w:noProof/>
        </w:rPr>
        <w:t>RevIN (Kim, et al., 2023) is applied to the raw input before feature group embedding. Each sample’s mean and variance are computed per feature and used to normalise the input:</w:t>
      </w:r>
    </w:p>
    <w:p w14:paraId="446530EB" w14:textId="42B8C38C" w:rsidR="00E94319" w:rsidRPr="00DF4D4C" w:rsidRDefault="00000000" w:rsidP="00E94319">
      <w:pPr>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2A587933" w14:textId="1073007E" w:rsidR="00DF4D4C" w:rsidRPr="00DF4D4C" w:rsidRDefault="00DF4D4C" w:rsidP="00DF4D4C">
      <w:pPr>
        <w:rPr>
          <w:noProof/>
        </w:rPr>
      </w:pPr>
      <w:r>
        <w:rPr>
          <w:noProof/>
        </w:rPr>
        <w:t xml:space="preserve">where </w:t>
      </w:r>
      <m:oMath>
        <m:r>
          <w:rPr>
            <w:rFonts w:ascii="Cambria Math" w:hAnsi="Cambria Math"/>
          </w:rPr>
          <m:t>γ</m:t>
        </m:r>
      </m:oMath>
      <w:r>
        <w:rPr>
          <w:noProof/>
        </w:rPr>
        <w:t xml:space="preserve"> and </w:t>
      </w:r>
      <m:oMath>
        <m:r>
          <w:rPr>
            <w:rFonts w:ascii="Cambria Math" w:hAnsi="Cambria Math"/>
          </w:rPr>
          <m:t>β</m:t>
        </m:r>
      </m:oMath>
      <w:r>
        <w:rPr>
          <w:noProof/>
        </w:rPr>
        <w:t xml:space="preserve"> are learnable per-feature affine parameters. The primary motivation is to reduce within-batch distributio</w:t>
      </w:r>
      <w:r w:rsidR="00702321">
        <w:rPr>
          <w:noProof/>
        </w:rPr>
        <w:t xml:space="preserve">n </w:t>
      </w:r>
      <w:r>
        <w:rPr>
          <w:noProof/>
        </w:rPr>
        <w:t>shift caused by the MCO regime change. Without instance-level normalisation, a single minibatch containing samples form multiple regimes causes gradient conflicts that impair convergence. RevIN denormalises predictions after the forecast heads and before loss computation, ensuring the loss is measured in the original MinMax-scaled space where the target scaler was fitted.</w:t>
      </w:r>
    </w:p>
    <w:p w14:paraId="2D27CA4E" w14:textId="76943E85" w:rsidR="00E963EB" w:rsidRDefault="00E963EB" w:rsidP="00E963EB">
      <w:pPr>
        <w:pStyle w:val="Heading2"/>
        <w:numPr>
          <w:ilvl w:val="3"/>
          <w:numId w:val="3"/>
        </w:numPr>
        <w:rPr>
          <w:b/>
          <w:bCs/>
          <w:sz w:val="24"/>
          <w:szCs w:val="24"/>
          <w:u w:val="single"/>
        </w:rPr>
      </w:pPr>
      <w:r>
        <w:rPr>
          <w:b/>
          <w:bCs/>
          <w:sz w:val="24"/>
          <w:szCs w:val="24"/>
          <w:u w:val="single"/>
        </w:rPr>
        <w:t>Feature Group Fusion – Semantic Input Encoder</w:t>
      </w:r>
    </w:p>
    <w:p w14:paraId="322DEB5C" w14:textId="04F5F2E5" w:rsidR="00702321" w:rsidRPr="00702321" w:rsidRDefault="00702321" w:rsidP="00702321">
      <w:pPr>
        <w:ind w:firstLine="720"/>
      </w:pPr>
      <w:r>
        <w:t xml:space="preserve">The </w:t>
      </w:r>
      <w:proofErr w:type="spellStart"/>
      <w:r>
        <w:t>FeatureGroupFusion</w:t>
      </w:r>
      <w:proofErr w:type="spellEnd"/>
      <w:r>
        <w:t xml:space="preserve"> module embeds each semantic feature group independently and outputs a sequence of </w:t>
      </w:r>
      <m:oMath>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oMath>
      <w:r>
        <w:t xml:space="preserve"> that all three parallel encoders subsequently receive. A Temporal Transformer Block (single Multihead Attention layer with learnable positional embeddings, post-LN residual, and FFN) is applied after group fusion and before the Multi-Scale TCN, adding global temporal self-attention across the full look-back window to complement the local pattern extraction of the causal convolutions.</w:t>
      </w:r>
    </w:p>
    <w:p w14:paraId="5121FD59" w14:textId="6FC2C292" w:rsidR="00E963EB" w:rsidRDefault="00E963EB" w:rsidP="00E963EB">
      <w:pPr>
        <w:pStyle w:val="Heading2"/>
        <w:numPr>
          <w:ilvl w:val="3"/>
          <w:numId w:val="3"/>
        </w:numPr>
        <w:rPr>
          <w:b/>
          <w:bCs/>
          <w:sz w:val="24"/>
          <w:szCs w:val="24"/>
          <w:u w:val="single"/>
        </w:rPr>
      </w:pPr>
      <w:r>
        <w:rPr>
          <w:b/>
          <w:bCs/>
          <w:sz w:val="24"/>
          <w:szCs w:val="24"/>
          <w:u w:val="single"/>
        </w:rPr>
        <w:t>Multi-scale TCN – Temporal Encoder</w:t>
      </w:r>
    </w:p>
    <w:p w14:paraId="68A5C9CA" w14:textId="58160B77" w:rsidR="00E963EB" w:rsidRDefault="00702321" w:rsidP="00702321">
      <w:pPr>
        <w:ind w:firstLine="720"/>
      </w:pPr>
      <w:r>
        <w:t>The Multi-scale TCN applies casual dilated convolutions at up to three temporal scales:</w:t>
      </w:r>
    </w:p>
    <w:p w14:paraId="2AF8338B" w14:textId="3D655BA5" w:rsidR="00702321" w:rsidRDefault="00702321" w:rsidP="00702321">
      <w:pPr>
        <w:pStyle w:val="ListParagraph"/>
        <w:numPr>
          <w:ilvl w:val="0"/>
          <w:numId w:val="23"/>
        </w:numPr>
      </w:pPr>
      <w:r>
        <w:rPr>
          <w:b/>
          <w:bCs/>
        </w:rPr>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702321">
        <w:rPr>
          <w:b/>
          <w:bCs/>
        </w:rPr>
        <w:t>)</w:t>
      </w:r>
      <w:r>
        <w:rPr>
          <w:b/>
          <w:bCs/>
        </w:rPr>
        <w:t xml:space="preserve">: </w:t>
      </w:r>
      <w:proofErr w:type="spellStart"/>
      <w:r>
        <w:t>CausalConv</w:t>
      </w:r>
      <w:proofErr w:type="spellEnd"/>
      <w:r>
        <w:t xml:space="preserve"> blocks with exponentially increasing dilation capture short-range and medium-range temporal dependencies.</w:t>
      </w:r>
    </w:p>
    <w:p w14:paraId="7672A656" w14:textId="1D8F638F" w:rsidR="00702321" w:rsidRDefault="00702321" w:rsidP="00702321">
      <w:pPr>
        <w:pStyle w:val="ListParagraph"/>
        <w:numPr>
          <w:ilvl w:val="0"/>
          <w:numId w:val="23"/>
        </w:numPr>
      </w:pPr>
      <w:r>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702321">
        <w:rPr>
          <w:b/>
          <w:bCs/>
        </w:rPr>
        <w:t>)</w:t>
      </w:r>
      <w:r>
        <w:rPr>
          <w:b/>
          <w:bCs/>
        </w:rPr>
        <w:t xml:space="preserve">: </w:t>
      </w:r>
      <w:proofErr w:type="spellStart"/>
      <w:r>
        <w:t>CausalConv</w:t>
      </w:r>
      <w:proofErr w:type="spellEnd"/>
      <w:r>
        <w:t xml:space="preserve"> on the first half of the window; captures medium-range structures.</w:t>
      </w:r>
    </w:p>
    <w:p w14:paraId="6248FD60" w14:textId="7661B5FB" w:rsidR="00702321" w:rsidRPr="00702321" w:rsidRDefault="00702321" w:rsidP="00702321">
      <w:pPr>
        <w:pStyle w:val="ListParagraph"/>
        <w:numPr>
          <w:ilvl w:val="0"/>
          <w:numId w:val="23"/>
        </w:numPr>
        <w:rPr>
          <w:b/>
          <w:bCs/>
        </w:rPr>
      </w:pPr>
      <w:r w:rsidRPr="00702321">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Pr>
          <w:b/>
          <w:bCs/>
        </w:rPr>
        <w:t xml:space="preserve">: </w:t>
      </w:r>
      <w:proofErr w:type="spellStart"/>
      <w:r>
        <w:t>CausalConv</w:t>
      </w:r>
      <w:proofErr w:type="spellEnd"/>
      <w:r>
        <w:t xml:space="preserve"> on the first quarter; capture long-range structural baselines.</w:t>
      </w:r>
    </w:p>
    <w:p w14:paraId="3694B015" w14:textId="18877E36" w:rsidR="00641E9D" w:rsidRPr="00641E9D" w:rsidRDefault="00702321" w:rsidP="009144B5">
      <w:pPr>
        <w:ind w:firstLine="720"/>
      </w:pPr>
      <w:proofErr w:type="spellStart"/>
      <w:r>
        <w:t>WaveNet</w:t>
      </w:r>
      <w:proofErr w:type="spellEnd"/>
      <w:r>
        <w:t xml:space="preserve">-style gated activations </w:t>
      </w:r>
      <w:r w:rsidR="00641E9D">
        <w:t>(</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00641E9D">
        <w:t xml:space="preserve">) regulate information flow within each causal block. DropPath (stochastic depth) stochastically drops entire residual paths during 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00641E9D">
        <w:t>.</w:t>
      </w:r>
    </w:p>
    <w:p w14:paraId="1D2D8275" w14:textId="5CFBF48A" w:rsidR="00E963EB" w:rsidRDefault="00E963EB" w:rsidP="00E963EB">
      <w:pPr>
        <w:pStyle w:val="Heading2"/>
        <w:numPr>
          <w:ilvl w:val="3"/>
          <w:numId w:val="3"/>
        </w:numPr>
        <w:rPr>
          <w:b/>
          <w:bCs/>
          <w:sz w:val="24"/>
          <w:szCs w:val="24"/>
          <w:u w:val="single"/>
        </w:rPr>
      </w:pPr>
      <w:r>
        <w:rPr>
          <w:b/>
          <w:bCs/>
          <w:sz w:val="24"/>
          <w:szCs w:val="24"/>
          <w:u w:val="single"/>
        </w:rPr>
        <w:lastRenderedPageBreak/>
        <w:t>Feature Graph Encoder – Spatial Encoder</w:t>
      </w:r>
    </w:p>
    <w:p w14:paraId="058E1106" w14:textId="49704894" w:rsidR="00E963EB" w:rsidRDefault="009144B5" w:rsidP="009144B5">
      <w:pPr>
        <w:ind w:firstLine="720"/>
      </w:pPr>
      <w:r>
        <w:t>Rather than using the raw temporal sequence as node features (as graph-based baselines do), the Feature Graph Encoder first compresses the time dimension via learned temporal attention:</w:t>
      </w:r>
    </w:p>
    <w:p w14:paraId="707D1BE0" w14:textId="2B212AB5" w:rsidR="009144B5" w:rsidRPr="009144B5" w:rsidRDefault="00000000" w:rsidP="009144B5">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071E3404" w14:textId="3C70A3D1" w:rsidR="009144B5" w:rsidRPr="009144B5" w:rsidRDefault="009144B5" w:rsidP="0097276E">
      <w:pPr>
        <w:ind w:firstLine="720"/>
      </w:pPr>
      <w:r>
        <w:t>A 2-layer GCN then propagates signals across the Pearson-correlation adjacency (|</w:t>
      </w:r>
      <w:proofErr w:type="spellStart"/>
      <w:r>
        <w:t>corr</w:t>
      </w:r>
      <w:proofErr w:type="spellEnd"/>
      <w:r>
        <w:t xml:space="preserve">| </w:t>
      </w:r>
      <m:oMath>
        <m:r>
          <w:rPr>
            <w:rFonts w:ascii="Cambria Math" w:hAnsi="Cambria Math"/>
          </w:rPr>
          <m:t>≥</m:t>
        </m:r>
      </m:oMath>
      <w:r>
        <w:t xml:space="preserve"> 0.1, same construction as STGCN/ASTGCN), with global mean pooling over all F feature nodes producing </w:t>
      </w:r>
      <m:oMath>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t xml:space="preserve">. This design decouples graph encoding from temporal encoding: the graph branch receives a temporal summary rather than raw sequence, allowing GCN to focus on cross-feature relational patterns without interference from temporal dynamics. Importantly, this encoder and Regime Gating Embedding both receive raw RevIN-normalised input </w:t>
      </w:r>
      <m:oMath>
        <m:r>
          <w:rPr>
            <w:rFonts w:ascii="Cambria Math" w:hAnsi="Cambria Math"/>
          </w:rPr>
          <m:t>x</m:t>
        </m:r>
      </m:oMath>
      <w:r>
        <w:t xml:space="preserve">, bypassing the Feature Group Fusion and Temporal Transformer Block, so the graph and regime branches see the unprocessed feature signal rather than the projected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t xml:space="preserve"> representation.</w:t>
      </w:r>
    </w:p>
    <w:p w14:paraId="5ED39984" w14:textId="07B14E4C" w:rsidR="00E963EB" w:rsidRDefault="00E963EB" w:rsidP="00E963EB">
      <w:pPr>
        <w:pStyle w:val="Heading2"/>
        <w:numPr>
          <w:ilvl w:val="3"/>
          <w:numId w:val="3"/>
        </w:numPr>
        <w:rPr>
          <w:b/>
          <w:bCs/>
          <w:sz w:val="24"/>
          <w:szCs w:val="24"/>
          <w:u w:val="single"/>
        </w:rPr>
      </w:pPr>
      <w:r>
        <w:rPr>
          <w:b/>
          <w:bCs/>
          <w:sz w:val="24"/>
          <w:szCs w:val="24"/>
          <w:u w:val="single"/>
        </w:rPr>
        <w:t>Regime Gating Embedding</w:t>
      </w:r>
    </w:p>
    <w:p w14:paraId="2A2629BC" w14:textId="6A62D38E" w:rsidR="00E963EB" w:rsidRDefault="004332B3" w:rsidP="004332B3">
      <w:pPr>
        <w:ind w:firstLine="720"/>
      </w:pPr>
      <w:r>
        <w:t>The MCO period represents a structural break in Malaysia transit ridership – not merely a large shock, but a change in which features predict ridership at all. During lockdown, fuel prices and population density features become irrelevant to transit demand (which was prohibited regardless). The Regime Gating Embedding maintains K=3 learnable embedding vectors representing the three operational regimes:</w:t>
      </w:r>
    </w:p>
    <w:p w14:paraId="75FADEE6" w14:textId="3CC42A27" w:rsidR="004332B3" w:rsidRDefault="00C94412" w:rsidP="00C94412">
      <w:pPr>
        <w:pStyle w:val="ListParagraph"/>
        <w:numPr>
          <w:ilvl w:val="0"/>
          <w:numId w:val="25"/>
        </w:numPr>
      </w:pPr>
      <w:r w:rsidRPr="00F8238A">
        <w:rPr>
          <w:b/>
          <w:bCs/>
        </w:rPr>
        <w:t>Pre-COVID:</w:t>
      </w:r>
      <w:r>
        <w:t xml:space="preserve"> 2019-01-01 to 2020-03-17</w:t>
      </w:r>
    </w:p>
    <w:p w14:paraId="14A1558B" w14:textId="033803AA" w:rsidR="00C94412" w:rsidRDefault="00C94412" w:rsidP="00C94412">
      <w:pPr>
        <w:pStyle w:val="ListParagraph"/>
        <w:numPr>
          <w:ilvl w:val="0"/>
          <w:numId w:val="25"/>
        </w:numPr>
      </w:pPr>
      <w:r w:rsidRPr="00F8238A">
        <w:rPr>
          <w:b/>
          <w:bCs/>
        </w:rPr>
        <w:t>MCO:</w:t>
      </w:r>
      <w:r>
        <w:t xml:space="preserve"> 2020-03-18 to 2021-12-31</w:t>
      </w:r>
    </w:p>
    <w:p w14:paraId="419F9A4A" w14:textId="373A1FCC" w:rsidR="00C94412" w:rsidRDefault="00C94412" w:rsidP="00C94412">
      <w:pPr>
        <w:pStyle w:val="ListParagraph"/>
        <w:numPr>
          <w:ilvl w:val="0"/>
          <w:numId w:val="25"/>
        </w:numPr>
      </w:pPr>
      <w:r w:rsidRPr="00F8238A">
        <w:rPr>
          <w:b/>
          <w:bCs/>
        </w:rPr>
        <w:t>Post-MCO:</w:t>
      </w:r>
      <w:r>
        <w:t xml:space="preserve"> 2022-01-01 to 2025-12-31</w:t>
      </w:r>
    </w:p>
    <w:p w14:paraId="7FDC79A3" w14:textId="7EA1FC13" w:rsidR="004332B3" w:rsidRDefault="004332B3" w:rsidP="0010066F">
      <w:pPr>
        <w:ind w:firstLine="720"/>
      </w:pPr>
      <w:r>
        <w:t xml:space="preserve">At each forward pass, the mean-pooled input is projected to K=3 soft logits via a linear layer and </w:t>
      </w:r>
      <w:proofErr w:type="spellStart"/>
      <w:r>
        <w:t>softmax</w:t>
      </w:r>
      <w:proofErr w:type="spellEnd"/>
      <w:r>
        <w:t>, producing a soft mixture of regime embeddings:</w:t>
      </w:r>
    </w:p>
    <w:p w14:paraId="5140DA32" w14:textId="01E7D31F" w:rsidR="004332B3" w:rsidRPr="004332B3" w:rsidRDefault="00000000" w:rsidP="004332B3">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6FE3F94" w14:textId="5A19D539" w:rsidR="004332B3" w:rsidRPr="004332B3" w:rsidRDefault="0010066F" w:rsidP="0010066F">
      <w:pPr>
        <w:ind w:firstLine="720"/>
      </w:pPr>
      <w:r>
        <w:t>This soft gating allows the model to blend adjacent regime characteristics for transitional periods (e.g., early MCO easing in 2021) without hard chronological boundaries. Crucially, no date metadata is required at inference – the regime gate is inferred from the observed feature pattern alone.</w:t>
      </w:r>
    </w:p>
    <w:p w14:paraId="2358D5F1" w14:textId="7B6B5F99" w:rsidR="00E963EB" w:rsidRDefault="00E963EB" w:rsidP="00E963EB">
      <w:pPr>
        <w:pStyle w:val="Heading2"/>
        <w:numPr>
          <w:ilvl w:val="3"/>
          <w:numId w:val="3"/>
        </w:numPr>
        <w:rPr>
          <w:b/>
          <w:bCs/>
          <w:sz w:val="24"/>
          <w:szCs w:val="24"/>
          <w:u w:val="single"/>
        </w:rPr>
      </w:pPr>
      <w:r>
        <w:rPr>
          <w:b/>
          <w:bCs/>
          <w:sz w:val="24"/>
          <w:szCs w:val="24"/>
          <w:u w:val="single"/>
        </w:rPr>
        <w:lastRenderedPageBreak/>
        <w:t>Gated Fusion</w:t>
      </w:r>
    </w:p>
    <w:p w14:paraId="5641A9F2" w14:textId="47C42DCA" w:rsidR="00E963EB" w:rsidRDefault="003A5423" w:rsidP="003A5423">
      <w:pPr>
        <w:ind w:firstLine="720"/>
      </w:pPr>
      <w:r>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t xml:space="preserve"> (regime gating) are concatenated and passed through a Squeeze-and-Excitation (SE) bottleneck gate:</w:t>
      </w:r>
    </w:p>
    <w:p w14:paraId="22F2E4DD" w14:textId="6DD7C4F3" w:rsidR="003A5423" w:rsidRPr="003A5423" w:rsidRDefault="003A5423" w:rsidP="003A5423">
      <m:oMathPara>
        <m:oMath>
          <m:r>
            <w:rPr>
              <w:rFonts w:ascii="Cambria Math" w:hAnsi="Cambria Math"/>
            </w:rPr>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m:t>
                  </m:r>
                </m:sub>
              </m:sSub>
              <m:r>
                <w:rPr>
                  <w:rFonts w:ascii="Cambria Math" w:hAnsi="Cambria Math"/>
                </w:rPr>
                <m:t>odel</m:t>
              </m:r>
            </m:e>
          </m:d>
        </m:oMath>
      </m:oMathPara>
    </w:p>
    <w:p w14:paraId="13E0D4FE" w14:textId="2DF08509" w:rsidR="003A5423" w:rsidRPr="003A5423" w:rsidRDefault="003A5423" w:rsidP="003A5423">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6503CF53" w14:textId="43035C76" w:rsidR="003A5423" w:rsidRPr="003A5423" w:rsidRDefault="003A5423" w:rsidP="003A5423">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B3A0904" w14:textId="1668958B" w:rsidR="003A5423" w:rsidRPr="003A5423" w:rsidRDefault="003A5423" w:rsidP="00E963EB">
      <w:r>
        <w:t>The SE bottleneck avoid a computationally expensive 3d x 3d weight matrix while still learning to calibrate which of the tree encoder streams contributes most for each input context</w:t>
      </w:r>
      <w:r w:rsidR="001E60BE">
        <w:t>.</w:t>
      </w:r>
    </w:p>
    <w:p w14:paraId="596E7164" w14:textId="6FA49134" w:rsidR="00E963EB" w:rsidRDefault="00E963EB" w:rsidP="00E963EB">
      <w:pPr>
        <w:pStyle w:val="Heading2"/>
        <w:numPr>
          <w:ilvl w:val="3"/>
          <w:numId w:val="3"/>
        </w:numPr>
        <w:rPr>
          <w:b/>
          <w:bCs/>
          <w:sz w:val="24"/>
          <w:szCs w:val="24"/>
          <w:u w:val="single"/>
        </w:rPr>
      </w:pPr>
      <w:r>
        <w:rPr>
          <w:b/>
          <w:bCs/>
          <w:sz w:val="24"/>
          <w:szCs w:val="24"/>
          <w:u w:val="single"/>
        </w:rPr>
        <w:t>Dual Forecast Heads and Custom Loss</w:t>
      </w:r>
    </w:p>
    <w:p w14:paraId="121A86D9" w14:textId="688FCF97" w:rsidR="00E963EB" w:rsidRDefault="005A1513" w:rsidP="00672170">
      <w:r>
        <w:t>Two forecast heads are applied to the fused embedding:</w:t>
      </w:r>
    </w:p>
    <w:p w14:paraId="751F0694" w14:textId="2ED80DBC" w:rsidR="005A1513" w:rsidRPr="005A1513" w:rsidRDefault="005A1513" w:rsidP="005A1513">
      <w:pPr>
        <w:pStyle w:val="ListParagraph"/>
        <w:numPr>
          <w:ilvl w:val="0"/>
          <w:numId w:val="24"/>
        </w:numPr>
      </w:pPr>
      <w:r>
        <w:rPr>
          <w:b/>
          <w:bCs/>
        </w:rPr>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t xml:space="preserve"> with highway residual and LayerNorm.</w:t>
      </w:r>
    </w:p>
    <w:p w14:paraId="0302B37C" w14:textId="07957AB7" w:rsidR="005A1513" w:rsidRPr="005A1513" w:rsidRDefault="005A1513" w:rsidP="005A1513">
      <w:pPr>
        <w:pStyle w:val="ListParagraph"/>
        <w:numPr>
          <w:ilvl w:val="0"/>
          <w:numId w:val="24"/>
        </w:numPr>
      </w:pPr>
      <w:r>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t xml:space="preserve"> where </w:t>
      </w:r>
      <m:oMath>
        <m:r>
          <w:rPr>
            <w:rFonts w:ascii="Cambria Math" w:hAnsi="Cambria Math"/>
          </w:rPr>
          <m:t>α</m:t>
        </m:r>
      </m:oMath>
      <w:r>
        <w:t xml:space="preserve"> is initialised to -2.0 so </w:t>
      </w:r>
      <w:proofErr w:type="gramStart"/>
      <w:r>
        <w:t>sigmoid(</w:t>
      </w:r>
      <w:proofErr w:type="gramEnd"/>
      <w:r>
        <w:t>-2.0) ~ 0.12 suppresses the boosting contribution early in training; the head gradually activates as training converges</w:t>
      </w:r>
    </w:p>
    <w:p w14:paraId="6C8D431E" w14:textId="5053D1C2" w:rsidR="005A1513" w:rsidRPr="005A1513" w:rsidRDefault="005A1513" w:rsidP="00672170">
      <w:r>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14FC0427" w14:textId="2DC5EF45" w:rsidR="005A1513" w:rsidRDefault="005A1513" w:rsidP="00672170">
      <w:r>
        <w:t>The custom loss penalises both prediction accuracy and smoothness:</w:t>
      </w:r>
    </w:p>
    <w:p w14:paraId="4439283E" w14:textId="479973E6" w:rsidR="005A1513" w:rsidRPr="005A1513" w:rsidRDefault="005A1513" w:rsidP="005A1513">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149CDBA3" w14:textId="63C9FF34" w:rsidR="006F2C1B" w:rsidRPr="006F2C1B" w:rsidRDefault="005A1513" w:rsidP="008F053F">
      <w:pPr>
        <w:ind w:firstLine="720"/>
      </w:pPr>
      <w:r>
        <w:t>Step 1 (1-day-ahead) has weight 1.0; Step 7 (7-day-ahead) receives weight 0.9</w:t>
      </w:r>
      <w:r>
        <w:rPr>
          <w:vertAlign w:val="superscript"/>
        </w:rPr>
        <w:t>6</w:t>
      </w:r>
      <w:r>
        <w:t xml:space="preserve"> ~ 0.53. </w:t>
      </w:r>
      <w:proofErr w:type="spellStart"/>
      <w:r>
        <w:t>TemporalSmoothness</w:t>
      </w:r>
      <w:proofErr w:type="spellEnd"/>
      <w:r w:rsidR="006F2C1B">
        <w:t xml:space="preserve">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006F2C1B">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006F2C1B">
        <w:t xml:space="preserve"> prevents oscillatory day-to-day predictions.</w:t>
      </w:r>
    </w:p>
    <w:p w14:paraId="4FFA2270" w14:textId="0EEA14E8" w:rsidR="00E963EB" w:rsidRDefault="00E963EB" w:rsidP="00E963EB">
      <w:pPr>
        <w:pStyle w:val="Heading2"/>
        <w:numPr>
          <w:ilvl w:val="3"/>
          <w:numId w:val="3"/>
        </w:numPr>
        <w:jc w:val="left"/>
        <w:rPr>
          <w:b/>
          <w:bCs/>
          <w:sz w:val="24"/>
          <w:szCs w:val="24"/>
          <w:u w:val="single"/>
        </w:rPr>
      </w:pPr>
      <w:r>
        <w:rPr>
          <w:b/>
          <w:bCs/>
          <w:sz w:val="24"/>
          <w:szCs w:val="24"/>
          <w:u w:val="single"/>
        </w:rPr>
        <w:t>Future Temporal Projection – Known-Future Calendar Conditioning</w:t>
      </w:r>
    </w:p>
    <w:p w14:paraId="2F954866" w14:textId="6095651D" w:rsidR="005D1354" w:rsidRPr="005D1354" w:rsidRDefault="005D1354" w:rsidP="005D1354">
      <w:pPr>
        <w:ind w:firstLine="720"/>
      </w:pPr>
      <w:r>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t>. A per-step 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t>, zero-initialised so it starts as a no-op) learns an additive correction from this known-future context – letting the model anticipate weekend dips and holiday effects inside the forecast horizon rather than extrapolating them from the look-back window.</w:t>
      </w:r>
    </w:p>
    <w:p w14:paraId="41838942" w14:textId="40DA68BA" w:rsidR="00E963EB" w:rsidRDefault="00E963EB" w:rsidP="00E963EB">
      <w:pPr>
        <w:pStyle w:val="Heading2"/>
        <w:numPr>
          <w:ilvl w:val="3"/>
          <w:numId w:val="3"/>
        </w:numPr>
        <w:rPr>
          <w:b/>
          <w:bCs/>
          <w:sz w:val="24"/>
          <w:szCs w:val="24"/>
          <w:u w:val="single"/>
        </w:rPr>
      </w:pPr>
      <w:r>
        <w:rPr>
          <w:b/>
          <w:bCs/>
          <w:sz w:val="24"/>
          <w:szCs w:val="24"/>
          <w:u w:val="single"/>
        </w:rPr>
        <w:lastRenderedPageBreak/>
        <w:t>Post-Hoc Residual Boosting</w:t>
      </w:r>
    </w:p>
    <w:p w14:paraId="52A9469D" w14:textId="32382174" w:rsidR="00D10CD2" w:rsidRPr="00D10CD2" w:rsidRDefault="00D10CD2" w:rsidP="008358BA">
      <w:pPr>
        <w:ind w:firstLine="720"/>
      </w:pPr>
      <w:r>
        <w:t xml:space="preserve">After neural training, a </w:t>
      </w:r>
      <w:proofErr w:type="spellStart"/>
      <w:r>
        <w:t>CatBoost</w:t>
      </w:r>
      <w:proofErr w:type="spellEnd"/>
      <w:r>
        <w:t xml:space="preserve"> model is fitted on training set residuals </w:t>
      </w: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true</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neural</m:t>
            </m:r>
          </m:sub>
        </m:sSub>
      </m:oMath>
      <w:r>
        <w:t xml:space="preserve">. The correction is applied as: </w:t>
      </w:r>
      <m:oMath>
        <m:sSub>
          <m:sSubPr>
            <m:ctrlPr>
              <w:rPr>
                <w:rFonts w:ascii="Cambria Math" w:hAnsi="Cambria Math"/>
              </w:rPr>
            </m:ctrlPr>
          </m:sSubPr>
          <m:e>
            <m:r>
              <w:rPr>
                <w:rFonts w:ascii="Cambria Math" w:hAnsi="Cambria Math"/>
              </w:rPr>
              <m:t>y</m:t>
            </m:r>
          </m:e>
          <m:sub>
            <m:r>
              <w:rPr>
                <w:rFonts w:ascii="Cambria Math" w:hAnsi="Cambria Math"/>
              </w:rPr>
              <m:t>final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neural</m:t>
            </m:r>
          </m:sub>
        </m:sSub>
        <m:r>
          <w:rPr>
            <w:rFonts w:ascii="Cambria Math" w:hAnsi="Cambria Math"/>
          </w:rPr>
          <m:t>+0.5×</m:t>
        </m:r>
        <m:sSub>
          <m:sSubPr>
            <m:ctrlPr>
              <w:rPr>
                <w:rFonts w:ascii="Cambria Math" w:hAnsi="Cambria Math"/>
              </w:rPr>
            </m:ctrlPr>
          </m:sSubPr>
          <m:e>
            <m:r>
              <w:rPr>
                <w:rFonts w:ascii="Cambria Math" w:hAnsi="Cambria Math"/>
              </w:rPr>
              <m:t>Δ</m:t>
            </m:r>
          </m:e>
          <m:sub>
            <m:r>
              <w:rPr>
                <w:rFonts w:ascii="Cambria Math" w:hAnsi="Cambria Math"/>
              </w:rPr>
              <m:t>boost</m:t>
            </m:r>
          </m:sub>
        </m:sSub>
      </m:oMath>
      <w:r>
        <w:t>, activated only if Combined% improves on the validation set. This provides a non-parametric second-stage correction for systematic prediction biases without modifying the neural model. In the regenerated runs the validation gate activates the boost only at extreme lookbacks.</w:t>
      </w:r>
    </w:p>
    <w:p w14:paraId="4DF64A42" w14:textId="796F564A" w:rsidR="00F80C70" w:rsidRDefault="00F80C70" w:rsidP="00E963EB">
      <w:pPr>
        <w:pStyle w:val="Heading2"/>
        <w:numPr>
          <w:ilvl w:val="2"/>
          <w:numId w:val="3"/>
        </w:numPr>
        <w:rPr>
          <w:b/>
          <w:bCs/>
          <w:sz w:val="24"/>
          <w:szCs w:val="24"/>
          <w:u w:val="single"/>
        </w:rPr>
      </w:pPr>
      <w:r>
        <w:rPr>
          <w:b/>
          <w:bCs/>
          <w:sz w:val="24"/>
          <w:szCs w:val="24"/>
          <w:u w:val="single"/>
        </w:rPr>
        <w:t>Architecture Diagram</w:t>
      </w:r>
    </w:p>
    <w:p w14:paraId="1299E469" w14:textId="2A9EAA0D" w:rsidR="009C2312" w:rsidRDefault="00BA28B2" w:rsidP="009C2312">
      <w:r>
        <w:rPr>
          <w:noProof/>
        </w:rPr>
        <w:drawing>
          <wp:inline distT="0" distB="0" distL="0" distR="0" wp14:anchorId="23EE9010" wp14:editId="5CF9369A">
            <wp:extent cx="5739788" cy="2457450"/>
            <wp:effectExtent l="19050" t="19050" r="13335" b="19050"/>
            <wp:docPr id="12982790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51844"/>
                    <a:stretch>
                      <a:fillRect/>
                    </a:stretch>
                  </pic:blipFill>
                  <pic:spPr bwMode="auto">
                    <a:xfrm>
                      <a:off x="0" y="0"/>
                      <a:ext cx="5742493" cy="24586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sidR="0093430D">
        <w:rPr>
          <w:noProof/>
        </w:rPr>
        <w:drawing>
          <wp:inline distT="0" distB="0" distL="0" distR="0" wp14:anchorId="75BCF011" wp14:editId="15DACE12">
            <wp:extent cx="5782696" cy="2314575"/>
            <wp:effectExtent l="19050" t="19050" r="27940" b="9525"/>
            <wp:docPr id="3884326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48489"/>
                    <a:stretch>
                      <a:fillRect/>
                    </a:stretch>
                  </pic:blipFill>
                  <pic:spPr bwMode="auto">
                    <a:xfrm>
                      <a:off x="0" y="0"/>
                      <a:ext cx="5790918" cy="231786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BB90FBA" w14:textId="0003C578" w:rsidR="009C2312" w:rsidRPr="009C2312" w:rsidRDefault="009C2312" w:rsidP="009C2312">
      <w:pPr>
        <w:pStyle w:val="Caption"/>
        <w:jc w:val="center"/>
        <w:rPr>
          <w:color w:val="auto"/>
          <w:sz w:val="24"/>
          <w:szCs w:val="24"/>
        </w:rPr>
      </w:pPr>
      <w:r w:rsidRPr="009C2312">
        <w:rPr>
          <w:color w:val="auto"/>
          <w:sz w:val="24"/>
          <w:szCs w:val="24"/>
        </w:rPr>
        <w:t xml:space="preserve">Figure </w:t>
      </w:r>
      <w:r w:rsidRPr="009C2312">
        <w:rPr>
          <w:color w:val="auto"/>
          <w:sz w:val="24"/>
          <w:szCs w:val="24"/>
        </w:rPr>
        <w:fldChar w:fldCharType="begin"/>
      </w:r>
      <w:r w:rsidRPr="009C2312">
        <w:rPr>
          <w:color w:val="auto"/>
          <w:sz w:val="24"/>
          <w:szCs w:val="24"/>
        </w:rPr>
        <w:instrText xml:space="preserve"> SEQ Figure \* ARABIC </w:instrText>
      </w:r>
      <w:r w:rsidRPr="009C2312">
        <w:rPr>
          <w:color w:val="auto"/>
          <w:sz w:val="24"/>
          <w:szCs w:val="24"/>
        </w:rPr>
        <w:fldChar w:fldCharType="separate"/>
      </w:r>
      <w:r w:rsidR="00BA28B2">
        <w:rPr>
          <w:noProof/>
          <w:color w:val="auto"/>
          <w:sz w:val="24"/>
          <w:szCs w:val="24"/>
        </w:rPr>
        <w:t>23</w:t>
      </w:r>
      <w:r w:rsidRPr="009C2312">
        <w:rPr>
          <w:color w:val="auto"/>
          <w:sz w:val="24"/>
          <w:szCs w:val="24"/>
        </w:rPr>
        <w:fldChar w:fldCharType="end"/>
      </w:r>
      <w:r w:rsidR="00BA28B2">
        <w:rPr>
          <w:color w:val="auto"/>
          <w:sz w:val="24"/>
          <w:szCs w:val="24"/>
        </w:rPr>
        <w:t xml:space="preserve"> - </w:t>
      </w:r>
      <w:r w:rsidR="00BA28B2" w:rsidRPr="009C2312">
        <w:rPr>
          <w:color w:val="auto"/>
          <w:sz w:val="24"/>
          <w:szCs w:val="24"/>
        </w:rPr>
        <w:fldChar w:fldCharType="begin"/>
      </w:r>
      <w:r w:rsidR="00BA28B2" w:rsidRPr="009C2312">
        <w:rPr>
          <w:color w:val="auto"/>
          <w:sz w:val="24"/>
          <w:szCs w:val="24"/>
        </w:rPr>
        <w:instrText xml:space="preserve"> SEQ Figure \* ARABIC </w:instrText>
      </w:r>
      <w:r w:rsidR="00BA28B2" w:rsidRPr="009C2312">
        <w:rPr>
          <w:color w:val="auto"/>
          <w:sz w:val="24"/>
          <w:szCs w:val="24"/>
        </w:rPr>
        <w:fldChar w:fldCharType="separate"/>
      </w:r>
      <w:r w:rsidR="00BA28B2">
        <w:rPr>
          <w:noProof/>
          <w:color w:val="auto"/>
          <w:sz w:val="24"/>
          <w:szCs w:val="24"/>
        </w:rPr>
        <w:t>24</w:t>
      </w:r>
      <w:r w:rsidR="00BA28B2" w:rsidRPr="009C2312">
        <w:rPr>
          <w:color w:val="auto"/>
          <w:sz w:val="24"/>
          <w:szCs w:val="24"/>
        </w:rPr>
        <w:fldChar w:fldCharType="end"/>
      </w:r>
      <w:r>
        <w:rPr>
          <w:color w:val="auto"/>
          <w:sz w:val="24"/>
          <w:szCs w:val="24"/>
        </w:rPr>
        <w:t xml:space="preserve">: HMT-TSF architectural flow diagram illustrating a multi-path technical processing pipeline. It begins with sequential initial steps on the far left, splits into three distinct parallel processing blocks in the </w:t>
      </w:r>
      <w:r w:rsidR="008D3FF0">
        <w:rPr>
          <w:color w:val="auto"/>
          <w:sz w:val="24"/>
          <w:szCs w:val="24"/>
        </w:rPr>
        <w:t>centre</w:t>
      </w:r>
      <w:r>
        <w:rPr>
          <w:color w:val="auto"/>
          <w:sz w:val="24"/>
          <w:szCs w:val="24"/>
        </w:rPr>
        <w:t xml:space="preserve"> (highlighted in green and blue blocks</w:t>
      </w:r>
      <w:r w:rsidR="00BA28B2">
        <w:rPr>
          <w:color w:val="auto"/>
          <w:sz w:val="24"/>
          <w:szCs w:val="24"/>
        </w:rPr>
        <w:t>) and</w:t>
      </w:r>
      <w:r>
        <w:rPr>
          <w:color w:val="auto"/>
          <w:sz w:val="24"/>
          <w:szCs w:val="24"/>
        </w:rPr>
        <w:t xml:space="preserve"> converges back into a single sequence of analytical and output steps on the right.</w:t>
      </w:r>
      <w:r w:rsidR="00845B3D">
        <w:rPr>
          <w:color w:val="auto"/>
          <w:sz w:val="24"/>
          <w:szCs w:val="24"/>
        </w:rPr>
        <w:t xml:space="preserve"> Full training configurations are as listed in Appendix.</w:t>
      </w:r>
    </w:p>
    <w:p w14:paraId="0042B0F3" w14:textId="323FAB9F" w:rsidR="00F80C70" w:rsidRDefault="00846618" w:rsidP="00E963EB">
      <w:pPr>
        <w:pStyle w:val="Heading2"/>
        <w:numPr>
          <w:ilvl w:val="2"/>
          <w:numId w:val="3"/>
        </w:numPr>
        <w:rPr>
          <w:b/>
          <w:bCs/>
          <w:sz w:val="24"/>
          <w:szCs w:val="24"/>
          <w:u w:val="single"/>
        </w:rPr>
      </w:pPr>
      <w:r>
        <w:rPr>
          <w:b/>
          <w:bCs/>
          <w:sz w:val="24"/>
          <w:szCs w:val="24"/>
          <w:u w:val="single"/>
        </w:rPr>
        <w:lastRenderedPageBreak/>
        <w:t>Strengths</w:t>
      </w:r>
    </w:p>
    <w:p w14:paraId="635E45C1" w14:textId="7FD04857" w:rsidR="003431C4" w:rsidRDefault="003431C4">
      <w:pPr>
        <w:pStyle w:val="ListParagraph"/>
        <w:numPr>
          <w:ilvl w:val="0"/>
          <w:numId w:val="17"/>
        </w:numPr>
      </w:pPr>
      <w:r>
        <w:t>Three parallel encoders address all three primary modelling challenges identified from the baseline analysis: temporal dynamics (TCN), inter-feature correlations (GCN), and regime shift (gating).</w:t>
      </w:r>
    </w:p>
    <w:p w14:paraId="29261E42" w14:textId="68DCA837" w:rsidR="003431C4" w:rsidRDefault="003431C4">
      <w:pPr>
        <w:pStyle w:val="ListParagraph"/>
        <w:numPr>
          <w:ilvl w:val="0"/>
          <w:numId w:val="17"/>
        </w:numPr>
      </w:pPr>
      <w:r>
        <w:t xml:space="preserve">Semantic feature group embedding with learned </w:t>
      </w:r>
      <w:proofErr w:type="spellStart"/>
      <w:r>
        <w:t>softmax</w:t>
      </w:r>
      <w:proofErr w:type="spellEnd"/>
      <w:r>
        <w:t xml:space="preserve"> gate provides adaptive feature-source weighting – the model learns which data sources matter most per context</w:t>
      </w:r>
      <w:r w:rsidR="00B20942">
        <w:t>.</w:t>
      </w:r>
    </w:p>
    <w:p w14:paraId="0B9FCC00" w14:textId="61E61A16" w:rsidR="003431C4" w:rsidRDefault="003431C4">
      <w:pPr>
        <w:pStyle w:val="ListParagraph"/>
        <w:numPr>
          <w:ilvl w:val="0"/>
          <w:numId w:val="17"/>
        </w:numPr>
      </w:pPr>
      <w:r>
        <w:t>RevIN and Regime Gating jointly address the MCO distributional shift from two independent directions: instance-level normalisation removes amplitude drift; explicit regime embeddings adjust the prediction bias for each operational regime.</w:t>
      </w:r>
    </w:p>
    <w:p w14:paraId="7EFF2306" w14:textId="74F00A1E" w:rsidR="003431C4" w:rsidRDefault="003431C4">
      <w:pPr>
        <w:pStyle w:val="ListParagraph"/>
        <w:numPr>
          <w:ilvl w:val="0"/>
          <w:numId w:val="17"/>
        </w:numPr>
      </w:pPr>
      <w:r>
        <w:t xml:space="preserve">Multi-scale TCN with </w:t>
      </w:r>
      <w:proofErr w:type="spellStart"/>
      <w:r>
        <w:t>DropPath</w:t>
      </w:r>
      <w:proofErr w:type="spellEnd"/>
      <w:r>
        <w:t xml:space="preserve"> avoids spectral leakage and sequence-length sensitivity in </w:t>
      </w:r>
      <w:proofErr w:type="spellStart"/>
      <w:r>
        <w:t>Autoformer</w:t>
      </w:r>
      <w:proofErr w:type="spellEnd"/>
      <w:r>
        <w:t>.</w:t>
      </w:r>
    </w:p>
    <w:p w14:paraId="03F238B8" w14:textId="31B892B4" w:rsidR="003431C4" w:rsidRPr="009C2312" w:rsidRDefault="003431C4">
      <w:pPr>
        <w:pStyle w:val="ListParagraph"/>
        <w:numPr>
          <w:ilvl w:val="0"/>
          <w:numId w:val="17"/>
        </w:numPr>
      </w:pPr>
      <w:r>
        <w:t>Dual forecast heads with suppressed boosting initialisation ensure stable early training while allowing residual correction to activate progressively.</w:t>
      </w:r>
    </w:p>
    <w:p w14:paraId="2775B3A3" w14:textId="411B252A" w:rsidR="00F80C70" w:rsidRDefault="00846618" w:rsidP="00E963EB">
      <w:pPr>
        <w:pStyle w:val="Heading2"/>
        <w:numPr>
          <w:ilvl w:val="2"/>
          <w:numId w:val="3"/>
        </w:numPr>
        <w:rPr>
          <w:b/>
          <w:bCs/>
          <w:sz w:val="24"/>
          <w:szCs w:val="24"/>
          <w:u w:val="single"/>
        </w:rPr>
      </w:pPr>
      <w:r>
        <w:rPr>
          <w:b/>
          <w:bCs/>
          <w:sz w:val="24"/>
          <w:szCs w:val="24"/>
          <w:u w:val="single"/>
        </w:rPr>
        <w:t>Weaknesses</w:t>
      </w:r>
    </w:p>
    <w:p w14:paraId="0F1044F3" w14:textId="044FC2D5" w:rsidR="003F303F" w:rsidRDefault="00082CFA">
      <w:pPr>
        <w:pStyle w:val="ListParagraph"/>
        <w:numPr>
          <w:ilvl w:val="0"/>
          <w:numId w:val="18"/>
        </w:numPr>
      </w:pPr>
      <w:r>
        <w:t xml:space="preserve">Significantly higher parameter </w:t>
      </w:r>
      <w:r w:rsidR="008667AD">
        <w:t>counts</w:t>
      </w:r>
      <w:r>
        <w:t xml:space="preserve"> and architectural complexity than any single baseline and need careful tuning of RevIN, SE gate, </w:t>
      </w:r>
      <w:proofErr w:type="spellStart"/>
      <w:r>
        <w:t>DropPath</w:t>
      </w:r>
      <w:proofErr w:type="spellEnd"/>
      <w:r>
        <w:t>, and boosting head initialisation.</w:t>
      </w:r>
    </w:p>
    <w:p w14:paraId="249503BF" w14:textId="28E18D9D" w:rsidR="00082CFA" w:rsidRDefault="00082CFA">
      <w:pPr>
        <w:pStyle w:val="ListParagraph"/>
        <w:numPr>
          <w:ilvl w:val="0"/>
          <w:numId w:val="18"/>
        </w:numPr>
      </w:pPr>
      <w:r>
        <w:t xml:space="preserve">Post-hoc </w:t>
      </w:r>
      <w:proofErr w:type="spellStart"/>
      <w:r>
        <w:t>CatBoost</w:t>
      </w:r>
      <w:proofErr w:type="spellEnd"/>
      <w:r>
        <w:t xml:space="preserve"> residual correction adds a second-stage pipeline that is harder to explain and may degrade if neural residuals are not well-structured.</w:t>
      </w:r>
    </w:p>
    <w:p w14:paraId="7E2F5D10" w14:textId="264641CF" w:rsidR="00082CFA" w:rsidRDefault="00082CFA">
      <w:pPr>
        <w:pStyle w:val="ListParagraph"/>
        <w:numPr>
          <w:ilvl w:val="0"/>
          <w:numId w:val="18"/>
        </w:numPr>
      </w:pPr>
      <w:r>
        <w:t xml:space="preserve">The </w:t>
      </w:r>
      <w:r w:rsidR="003D3317">
        <w:t>k</w:t>
      </w:r>
      <w:r>
        <w:t xml:space="preserve">=3 regime embedding boundaries are manually motivated by MCO chronology, a different country or crisis </w:t>
      </w:r>
      <w:r w:rsidR="00870A8E">
        <w:t>timeline</w:t>
      </w:r>
      <w:r>
        <w:t xml:space="preserve"> would require re-specification of regime count and boundary dates.</w:t>
      </w:r>
    </w:p>
    <w:p w14:paraId="61EBA969" w14:textId="6AE5D875" w:rsidR="00082CFA" w:rsidRDefault="00082CFA">
      <w:pPr>
        <w:pStyle w:val="ListParagraph"/>
        <w:numPr>
          <w:ilvl w:val="0"/>
          <w:numId w:val="18"/>
        </w:numPr>
      </w:pPr>
      <w:r>
        <w:t>Static Pearson graph in the Feature Graph Encoder inherits the same MCO-sensitivity limitation as STGCN and ASTGCN, partially offset by RevIN and regime gating but not fully resolved.</w:t>
      </w:r>
    </w:p>
    <w:p w14:paraId="471B449B" w14:textId="57B01762" w:rsidR="003F303F" w:rsidRDefault="003F303F" w:rsidP="00E963EB">
      <w:pPr>
        <w:pStyle w:val="Heading2"/>
        <w:numPr>
          <w:ilvl w:val="1"/>
          <w:numId w:val="3"/>
        </w:numPr>
        <w:rPr>
          <w:b/>
          <w:bCs/>
          <w:sz w:val="24"/>
          <w:szCs w:val="24"/>
          <w:u w:val="single"/>
        </w:rPr>
      </w:pPr>
      <w:r>
        <w:rPr>
          <w:b/>
          <w:bCs/>
          <w:sz w:val="24"/>
          <w:szCs w:val="24"/>
          <w:u w:val="single"/>
        </w:rPr>
        <w:t>Evaluation Metrics</w:t>
      </w:r>
    </w:p>
    <w:p w14:paraId="35175EC5" w14:textId="7C9E7B22" w:rsidR="005D2D4A" w:rsidRDefault="005D2D4A" w:rsidP="00E963EB">
      <w:pPr>
        <w:pStyle w:val="Heading2"/>
        <w:numPr>
          <w:ilvl w:val="2"/>
          <w:numId w:val="3"/>
        </w:numPr>
        <w:rPr>
          <w:b/>
          <w:bCs/>
          <w:sz w:val="24"/>
          <w:szCs w:val="24"/>
          <w:u w:val="single"/>
        </w:rPr>
      </w:pPr>
      <w:r>
        <w:rPr>
          <w:b/>
          <w:bCs/>
          <w:sz w:val="24"/>
          <w:szCs w:val="24"/>
          <w:u w:val="single"/>
        </w:rPr>
        <w:t>Combined Accuracy Percentage (Combined %)</w:t>
      </w:r>
    </w:p>
    <w:p w14:paraId="687988C4" w14:textId="292DAB69" w:rsidR="00750A89" w:rsidRDefault="00D376C3" w:rsidP="00D376C3">
      <w:pPr>
        <w:ind w:firstLine="720"/>
      </w:pPr>
      <w:r>
        <w:t>The Combined% metric is a composite scalar that aggregates MAPE, MAE%, and RMSE% into a single rank-ordered performance indicator, enabling direct and unambiguous comparison across all models in the study.</w:t>
      </w:r>
    </w:p>
    <w:p w14:paraId="21E73C8B" w14:textId="5FE1370E" w:rsidR="00D376C3" w:rsidRPr="004D4432" w:rsidRDefault="004D4432" w:rsidP="00D376C3">
      <m:oMathPara>
        <m:oMath>
          <m:r>
            <m:rPr>
              <m:nor/>
            </m:rPr>
            <w:rPr>
              <w:rFonts w:ascii="Cambria Math" w:hAnsi="Cambria Math"/>
            </w:rPr>
            <w:lastRenderedPageBreak/>
            <m:t>Combined%</m:t>
          </m:r>
          <m:r>
            <w:rPr>
              <w:rFonts w:ascii="Cambria Math" w:hAnsi="Cambria Math"/>
            </w:rPr>
            <m:t>=</m:t>
          </m:r>
          <m:r>
            <m:rPr>
              <m:nor/>
            </m:rPr>
            <w:rPr>
              <w:rFonts w:ascii="Cambria Math" w:hAnsi="Cambria Math"/>
            </w:rPr>
            <m:t>max(0, 100 - MAPE - MAE% - RMSE%)</m:t>
          </m:r>
        </m:oMath>
      </m:oMathPara>
    </w:p>
    <w:p w14:paraId="413269A7" w14:textId="6960AD64" w:rsidR="004D4432" w:rsidRDefault="004D4432">
      <w:pPr>
        <w:pStyle w:val="ListParagraph"/>
        <w:numPr>
          <w:ilvl w:val="0"/>
          <w:numId w:val="15"/>
        </w:numPr>
      </w:pPr>
      <w:r>
        <w:t>Higher is better, clipped, cannot be negative</w:t>
      </w:r>
    </w:p>
    <w:p w14:paraId="3543ACFB" w14:textId="3BFD9D86" w:rsidR="004D4432" w:rsidRDefault="004D4432">
      <w:pPr>
        <w:pStyle w:val="ListParagraph"/>
        <w:numPr>
          <w:ilvl w:val="0"/>
          <w:numId w:val="15"/>
        </w:numPr>
      </w:pPr>
      <w:r>
        <w:t>All three constituent terms are mean-demand-normalized percentages, making them dimensionally homogeneous and directly addable on the same scale.</w:t>
      </w:r>
    </w:p>
    <w:p w14:paraId="5EBCDE6E" w14:textId="4B549414" w:rsidR="006678AE" w:rsidRPr="004D4432" w:rsidRDefault="004D4432" w:rsidP="00870A8E">
      <w:pPr>
        <w:ind w:firstLine="720"/>
      </w:pPr>
      <w:r>
        <w:t>The equal weighting of three components is a deliberate design choice reflecting the absence of a domain-specific priority ordering between proportional, absolute, and squared-error accuracy in transit operations. A transit agency monitoring ridership forecast is equally concerned with percentage accuracy relative to daily demand (MAPE), average absolute discrepancy in passenger counts (MAE%), and suppression of large forecast failures (RMSE%).</w:t>
      </w:r>
      <w:r w:rsidR="006678AE">
        <w:t xml:space="preserve"> Combined% is best read as a screening and ranking convenience, not a substitute for the underlying error metrics.</w:t>
      </w:r>
    </w:p>
    <w:p w14:paraId="030F08D9" w14:textId="1B251249" w:rsidR="005D2D4A" w:rsidRDefault="005D2D4A" w:rsidP="00E963EB">
      <w:pPr>
        <w:pStyle w:val="Heading2"/>
        <w:numPr>
          <w:ilvl w:val="2"/>
          <w:numId w:val="3"/>
        </w:numPr>
        <w:rPr>
          <w:b/>
          <w:bCs/>
          <w:sz w:val="24"/>
          <w:szCs w:val="24"/>
          <w:u w:val="single"/>
        </w:rPr>
      </w:pPr>
      <w:r>
        <w:rPr>
          <w:b/>
          <w:bCs/>
          <w:sz w:val="24"/>
          <w:szCs w:val="24"/>
          <w:u w:val="single"/>
        </w:rPr>
        <w:t>Mean Absolute Percentage Error (MAPE%)</w:t>
      </w:r>
    </w:p>
    <w:p w14:paraId="4290F6BD" w14:textId="1E95326C" w:rsidR="00750A89" w:rsidRDefault="00CE35FB" w:rsidP="00655E39">
      <w:pPr>
        <w:ind w:firstLine="720"/>
      </w:pPr>
      <w:r>
        <w:t>MAPE expresses the average prediction error as a proportion of actual demand, providing a scale-independent measure of forecast accuracy that is directly interpretable as a percentage of daily ridership.</w:t>
      </w:r>
    </w:p>
    <w:p w14:paraId="42B19E74" w14:textId="7C67DC47" w:rsidR="00655E39" w:rsidRPr="003E11BE" w:rsidRDefault="003E11BE" w:rsidP="00655E39">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744377C2" w14:textId="615C003E" w:rsidR="003E11BE" w:rsidRPr="003E11BE" w:rsidRDefault="00000000">
      <w:pPr>
        <w:pStyle w:val="ListParagraph"/>
        <w:numPr>
          <w:ilvl w:val="0"/>
          <w:numId w:val="14"/>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3E11BE">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3E11BE">
        <w:t xml:space="preserve"> = predicted ridership</w:t>
      </w:r>
    </w:p>
    <w:p w14:paraId="31C2B7B6" w14:textId="7389FB29" w:rsidR="003E11BE" w:rsidRPr="003E11BE" w:rsidRDefault="003E11BE">
      <w:pPr>
        <w:pStyle w:val="ListParagraph"/>
        <w:numPr>
          <w:ilvl w:val="0"/>
          <w:numId w:val="14"/>
        </w:numPr>
      </w:pPr>
      <w:r>
        <w:t>Unit: %, used directly in Combined%</w:t>
      </w:r>
    </w:p>
    <w:p w14:paraId="73A17A7E" w14:textId="59DFA60D" w:rsidR="003E11BE" w:rsidRDefault="003E11BE">
      <w:pPr>
        <w:pStyle w:val="ListParagraph"/>
        <w:numPr>
          <w:ilvl w:val="0"/>
          <w:numId w:val="14"/>
        </w:numPr>
      </w:pPr>
      <w:r>
        <w:t>Lower is better</w:t>
      </w:r>
    </w:p>
    <w:p w14:paraId="27A9243A" w14:textId="0A5401A0" w:rsidR="00D376C3" w:rsidRPr="003E11BE" w:rsidRDefault="00D376C3" w:rsidP="00870A8E">
      <w:pPr>
        <w:ind w:firstLine="720"/>
      </w:pPr>
      <w:r>
        <w:rPr>
          <w:noProof/>
          <w:lang w:val="en-US"/>
        </w:rPr>
        <w:t xml:space="preserve">Wei et al. (2023) applied MAPE as the primary accuracy metric for subway passenger flow prediction across Shenzhen metro stations and found that temporal attention mechanisms achieve MAPE reductions of approximately 3-7% relative to standard LSTM baselines, demostrating that MAPE is sufficiently sensitive to detect incremental accuracy gains characteristic of DL architecture comparisons. MAPE is particularly well-suited for transit ridership evaluation because it normalises errors by the actual daily ridership, giving proportionally equal weight to prediction accuracy on low-ridership days (weekends, holidays) and high-ridership days (weekdays). </w:t>
      </w:r>
    </w:p>
    <w:p w14:paraId="376D1174" w14:textId="66CC422C" w:rsidR="005D2D4A" w:rsidRDefault="005D2D4A" w:rsidP="00E963EB">
      <w:pPr>
        <w:pStyle w:val="Heading2"/>
        <w:numPr>
          <w:ilvl w:val="2"/>
          <w:numId w:val="3"/>
        </w:numPr>
        <w:rPr>
          <w:b/>
          <w:bCs/>
          <w:sz w:val="24"/>
          <w:szCs w:val="24"/>
          <w:u w:val="single"/>
        </w:rPr>
      </w:pPr>
      <w:r>
        <w:rPr>
          <w:b/>
          <w:bCs/>
          <w:sz w:val="24"/>
          <w:szCs w:val="24"/>
          <w:u w:val="single"/>
        </w:rPr>
        <w:lastRenderedPageBreak/>
        <w:t>Mean Absolute Error as Percentage of Mean Demand (MAE%)</w:t>
      </w:r>
    </w:p>
    <w:p w14:paraId="623D923E" w14:textId="0ED7EDC6" w:rsidR="005B3203" w:rsidRDefault="000B7A6C" w:rsidP="000B7A6C">
      <w:pPr>
        <w:ind w:firstLine="720"/>
      </w:pPr>
      <w:r>
        <w:t>MAE% normalises the absolute daily ridership error by mean demand, yielding a scale-free percentage that quantifies the average magnitude of forecast deviations relative to typical system throughput.</w:t>
      </w:r>
    </w:p>
    <w:p w14:paraId="28C0D815" w14:textId="6E84CD08" w:rsidR="000B7A6C" w:rsidRPr="000B7A6C" w:rsidRDefault="000B7A6C" w:rsidP="000B7A6C">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4B8F8C34" w14:textId="7CD9DD94" w:rsidR="000B7A6C" w:rsidRDefault="00000000">
      <w:pPr>
        <w:pStyle w:val="ListParagraph"/>
        <w:numPr>
          <w:ilvl w:val="0"/>
          <w:numId w:val="13"/>
        </w:numPr>
      </w:pPr>
      <m:oMath>
        <m:acc>
          <m:accPr>
            <m:chr m:val="̅"/>
            <m:ctrlPr>
              <w:rPr>
                <w:rFonts w:ascii="Cambria Math" w:hAnsi="Cambria Math"/>
              </w:rPr>
            </m:ctrlPr>
          </m:accPr>
          <m:e>
            <m:r>
              <w:rPr>
                <w:rFonts w:ascii="Cambria Math" w:hAnsi="Cambria Math"/>
              </w:rPr>
              <m:t>y</m:t>
            </m:r>
          </m:e>
        </m:acc>
      </m:oMath>
      <w:r w:rsidR="000B7A6C">
        <w:t xml:space="preserve"> = mean actual ridership across all test observations</w:t>
      </w:r>
    </w:p>
    <w:p w14:paraId="738B267E" w14:textId="4799F837" w:rsidR="000B7A6C" w:rsidRDefault="000B7A6C">
      <w:pPr>
        <w:pStyle w:val="ListParagraph"/>
        <w:numPr>
          <w:ilvl w:val="0"/>
          <w:numId w:val="13"/>
        </w:numPr>
      </w:pPr>
      <w:r>
        <w:t>Unit: % - scale-free; used directly in Combined%</w:t>
      </w:r>
    </w:p>
    <w:p w14:paraId="00B9ABC4" w14:textId="06319DF6" w:rsidR="000B7A6C" w:rsidRDefault="000B7A6C">
      <w:pPr>
        <w:pStyle w:val="ListParagraph"/>
        <w:numPr>
          <w:ilvl w:val="0"/>
          <w:numId w:val="13"/>
        </w:numPr>
      </w:pPr>
      <w:r>
        <w:t>Raw MAE (absolute ridership counts) is report separately as an operational diagnostic.</w:t>
      </w:r>
    </w:p>
    <w:p w14:paraId="7A5FEEA2" w14:textId="3A8697FC" w:rsidR="000B7A6C" w:rsidRDefault="000B7A6C">
      <w:pPr>
        <w:pStyle w:val="ListParagraph"/>
        <w:numPr>
          <w:ilvl w:val="0"/>
          <w:numId w:val="13"/>
        </w:numPr>
      </w:pPr>
      <w:r>
        <w:t>Lower is better</w:t>
      </w:r>
    </w:p>
    <w:p w14:paraId="05D7544C" w14:textId="06C19CA9" w:rsidR="000B7A6C" w:rsidRPr="000B7A6C" w:rsidRDefault="000B7A6C" w:rsidP="004E36E0">
      <w:pPr>
        <w:ind w:firstLine="720"/>
        <w:rPr>
          <w:noProof/>
        </w:rPr>
      </w:pPr>
      <w:r>
        <w:rPr>
          <w:noProof/>
          <w:lang w:val="en-US"/>
        </w:rPr>
        <w:t xml:space="preserve">Krishnasamy, et al. (2025) evaluated BiLSTM-based traffic congestion forecasting using MAE alongside MAPE and RMSE, finding that MAE provides a more stable ranking criterion than MAPE when the target series contains near-zero observations. </w:t>
      </w:r>
      <w:r w:rsidR="00756D39">
        <w:rPr>
          <w:noProof/>
        </w:rPr>
        <w:t>The combined inclusion of both metrics in Combined% ensures that models are penalised for day-specific proportional failure (MAPE) as well as for average absolute error magnitude relative to system scale (MAE%).</w:t>
      </w:r>
    </w:p>
    <w:p w14:paraId="6615B0B4" w14:textId="36900022" w:rsidR="005D2D4A" w:rsidRDefault="005D2D4A" w:rsidP="00E963EB">
      <w:pPr>
        <w:pStyle w:val="Heading2"/>
        <w:numPr>
          <w:ilvl w:val="2"/>
          <w:numId w:val="3"/>
        </w:numPr>
        <w:rPr>
          <w:b/>
          <w:bCs/>
          <w:sz w:val="24"/>
          <w:szCs w:val="24"/>
          <w:u w:val="single"/>
        </w:rPr>
      </w:pPr>
      <w:r>
        <w:rPr>
          <w:b/>
          <w:bCs/>
          <w:sz w:val="24"/>
          <w:szCs w:val="24"/>
          <w:u w:val="single"/>
        </w:rPr>
        <w:t>Root Mean Squared Error as Percentage of Mean Demand (RMSE%)</w:t>
      </w:r>
    </w:p>
    <w:p w14:paraId="3C00A438" w14:textId="06765484" w:rsidR="00BD1BBF" w:rsidRDefault="00BD1BBF" w:rsidP="00BD1BBF">
      <w:pPr>
        <w:ind w:firstLine="720"/>
      </w:pPr>
      <w:r>
        <w:t>RMSE% normalises root mean squared error by mean ridership demand, providing a scale-free error measure that penalises large forecast deviations more heavily than MAE% through the squaring operation, thereby capturing tail-error behaviour in the forecast distribution.</w:t>
      </w:r>
    </w:p>
    <w:p w14:paraId="628F899F" w14:textId="632E2C10" w:rsidR="00BD1BBF" w:rsidRPr="00F17AD2" w:rsidRDefault="00F17AD2" w:rsidP="00BD1BBF">
      <m:oMathPara>
        <m:oMath>
          <m:r>
            <m:rPr>
              <m:nor/>
            </m:rPr>
            <w:rPr>
              <w:rFonts w:ascii="Cambria Math" w:hAnsi="Cambria Math"/>
            </w:rPr>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00809C68" w14:textId="7AC34382" w:rsidR="00F17AD2" w:rsidRDefault="00F17AD2">
      <w:pPr>
        <w:pStyle w:val="ListParagraph"/>
        <w:numPr>
          <w:ilvl w:val="0"/>
          <w:numId w:val="12"/>
        </w:numPr>
      </w:pPr>
      <w:r>
        <w:t xml:space="preserve">Same mean-demand denominator </w:t>
      </w:r>
      <m:oMath>
        <m:acc>
          <m:accPr>
            <m:chr m:val="̅"/>
            <m:ctrlPr>
              <w:rPr>
                <w:rFonts w:ascii="Cambria Math" w:hAnsi="Cambria Math"/>
              </w:rPr>
            </m:ctrlPr>
          </m:accPr>
          <m:e>
            <m:r>
              <w:rPr>
                <w:rFonts w:ascii="Cambria Math" w:hAnsi="Cambria Math"/>
              </w:rPr>
              <m:t>y</m:t>
            </m:r>
          </m:e>
        </m:acc>
      </m:oMath>
      <w:r>
        <w:t xml:space="preserve"> as MAE%</w:t>
      </w:r>
    </w:p>
    <w:p w14:paraId="501541BD" w14:textId="10CDA721" w:rsidR="00F17AD2" w:rsidRDefault="00F17AD2">
      <w:pPr>
        <w:pStyle w:val="ListParagraph"/>
        <w:numPr>
          <w:ilvl w:val="0"/>
          <w:numId w:val="12"/>
        </w:numPr>
      </w:pPr>
      <w:r>
        <w:t>Unit: % - used directly in Combined%</w:t>
      </w:r>
    </w:p>
    <w:p w14:paraId="2D0AFF70" w14:textId="0ABA0D32" w:rsidR="00F17AD2" w:rsidRDefault="00F17AD2">
      <w:pPr>
        <w:pStyle w:val="ListParagraph"/>
        <w:numPr>
          <w:ilvl w:val="0"/>
          <w:numId w:val="12"/>
        </w:numPr>
      </w:pPr>
      <w:r>
        <w:t>Raw RMSE (ridership counts) is reported separately as an operational diagnostic</w:t>
      </w:r>
    </w:p>
    <w:p w14:paraId="69913CB7" w14:textId="354C9CB4" w:rsidR="00F17AD2" w:rsidRDefault="00F17AD2">
      <w:pPr>
        <w:pStyle w:val="ListParagraph"/>
        <w:numPr>
          <w:ilvl w:val="0"/>
          <w:numId w:val="12"/>
        </w:numPr>
      </w:pPr>
      <w:r>
        <w:t>Lower is better.</w:t>
      </w:r>
    </w:p>
    <w:p w14:paraId="2CE45B1C" w14:textId="6CE7EC0A" w:rsidR="00F17AD2" w:rsidRPr="00F17AD2" w:rsidRDefault="00F17AD2" w:rsidP="004E36E0">
      <w:pPr>
        <w:ind w:firstLine="720"/>
      </w:pPr>
      <w:r>
        <w:rPr>
          <w:noProof/>
          <w:lang w:val="en-US"/>
        </w:rPr>
        <w:t xml:space="preserve">Wu et al. (2025) evaluated multi-dynamic temporal graph convolutional networks for traffic flow prediction and demostrated that RMSE captures model sensitivity to peak-period demand spikes more effectively than MAE, since the squared error term exponentially </w:t>
      </w:r>
      <w:r>
        <w:rPr>
          <w:noProof/>
          <w:lang w:val="en-US"/>
        </w:rPr>
        <w:lastRenderedPageBreak/>
        <w:t>penalises large deviations that arise when a model misjudges a morning-peak or post-holiday surge.</w:t>
      </w:r>
      <w:r w:rsidR="00153CA7">
        <w:rPr>
          <w:noProof/>
          <w:lang w:val="en-US"/>
        </w:rPr>
        <w:t xml:space="preserve"> Including both metrics in Combined% therefore ensures that models are jointly evaluated on average absolute accuracy (MAE%) and worst-cast daily error severity (RMSE%), providing a more complete picture of operational forecast reliability than either metric alone.</w:t>
      </w:r>
    </w:p>
    <w:p w14:paraId="67EDAB06" w14:textId="03EF5DD8" w:rsidR="005D2D4A" w:rsidRDefault="005D2D4A" w:rsidP="00E963EB">
      <w:pPr>
        <w:pStyle w:val="Heading2"/>
        <w:numPr>
          <w:ilvl w:val="2"/>
          <w:numId w:val="3"/>
        </w:numPr>
        <w:rPr>
          <w:b/>
          <w:bCs/>
          <w:sz w:val="24"/>
          <w:szCs w:val="24"/>
          <w:u w:val="single"/>
        </w:rPr>
      </w:pPr>
      <w:r>
        <w:rPr>
          <w:b/>
          <w:bCs/>
          <w:sz w:val="24"/>
          <w:szCs w:val="24"/>
          <w:u w:val="single"/>
        </w:rPr>
        <w:t>Coefficient of Determination (R</w:t>
      </w:r>
      <w:r>
        <w:rPr>
          <w:b/>
          <w:bCs/>
          <w:sz w:val="24"/>
          <w:szCs w:val="24"/>
          <w:u w:val="single"/>
          <w:vertAlign w:val="superscript"/>
        </w:rPr>
        <w:t>2</w:t>
      </w:r>
      <w:r>
        <w:rPr>
          <w:b/>
          <w:bCs/>
          <w:sz w:val="24"/>
          <w:szCs w:val="24"/>
          <w:u w:val="single"/>
        </w:rPr>
        <w:t>)</w:t>
      </w:r>
    </w:p>
    <w:p w14:paraId="5F27AB22" w14:textId="7ABB9636" w:rsidR="005D2D4A" w:rsidRDefault="00E65EC5" w:rsidP="00E65EC5">
      <w:pPr>
        <w:ind w:firstLine="720"/>
      </w:pPr>
      <w:r w:rsidRPr="00E65EC5">
        <w:t>R</w:t>
      </w:r>
      <w:r w:rsidRPr="00E65EC5">
        <w:rPr>
          <w:vertAlign w:val="superscript"/>
        </w:rPr>
        <w:t>2</w:t>
      </w:r>
      <w:r>
        <w:t xml:space="preserve"> measures the proportion of variance in actual ridership that is explained by the model’s predictions, providing a scale-independent goodness-of-fit indicator that is directly interpretable as the fraction of total demand variation accounted for by the forecast.</w:t>
      </w:r>
    </w:p>
    <w:p w14:paraId="77DFD6B2" w14:textId="74AFAD48" w:rsidR="00E65EC5" w:rsidRPr="00E65EC5" w:rsidRDefault="00000000" w:rsidP="00E65EC5">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3196D243" w14:textId="1E899FB8" w:rsidR="00E65EC5" w:rsidRDefault="00000000">
      <w:pPr>
        <w:pStyle w:val="ListParagraph"/>
        <w:numPr>
          <w:ilvl w:val="0"/>
          <w:numId w:val="11"/>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E65EC5">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E65EC5">
        <w:t xml:space="preserve">= predicted ridership, </w:t>
      </w:r>
      <m:oMath>
        <m:acc>
          <m:accPr>
            <m:chr m:val="̅"/>
            <m:ctrlPr>
              <w:rPr>
                <w:rFonts w:ascii="Cambria Math" w:hAnsi="Cambria Math"/>
              </w:rPr>
            </m:ctrlPr>
          </m:accPr>
          <m:e>
            <m:r>
              <w:rPr>
                <w:rFonts w:ascii="Cambria Math" w:hAnsi="Cambria Math"/>
              </w:rPr>
              <m:t>y</m:t>
            </m:r>
          </m:e>
        </m:acc>
      </m:oMath>
      <w:r w:rsidR="00E65EC5">
        <w:t xml:space="preserve"> = mean of actual values</w:t>
      </w:r>
    </w:p>
    <w:p w14:paraId="2B8EDDEF" w14:textId="452B8D9D" w:rsidR="00E65EC5" w:rsidRDefault="00E65EC5">
      <w:pPr>
        <w:pStyle w:val="ListParagraph"/>
        <w:numPr>
          <w:ilvl w:val="0"/>
          <w:numId w:val="11"/>
        </w:numPr>
      </w:pPr>
      <w:r>
        <w:t>Numerator = Residual Sum of Squares (SSR) – unexplained variance</w:t>
      </w:r>
    </w:p>
    <w:p w14:paraId="085A27C1" w14:textId="1106F2E3" w:rsidR="00E65EC5" w:rsidRDefault="00E65EC5">
      <w:pPr>
        <w:pStyle w:val="ListParagraph"/>
        <w:numPr>
          <w:ilvl w:val="0"/>
          <w:numId w:val="11"/>
        </w:numPr>
      </w:pPr>
      <w:r>
        <w:t>Denominator = Total Sum of Squares (SST) – total variance in the data</w:t>
      </w:r>
    </w:p>
    <w:p w14:paraId="792C184E" w14:textId="583F7C12" w:rsidR="00E65EC5" w:rsidRDefault="00E65EC5">
      <w:pPr>
        <w:pStyle w:val="ListParagraph"/>
        <w:numPr>
          <w:ilvl w:val="0"/>
          <w:numId w:val="11"/>
        </w:numPr>
      </w:pPr>
      <w:r>
        <w:t>Range: -</w:t>
      </w:r>
      <w:r w:rsidRPr="00E65EC5">
        <w:t>∞</w:t>
      </w:r>
      <w:r>
        <w:t xml:space="preserve"> to 1; R</w:t>
      </w:r>
      <w:r>
        <w:rPr>
          <w:vertAlign w:val="superscript"/>
        </w:rPr>
        <w:t>2</w:t>
      </w:r>
      <w:r>
        <w:t xml:space="preserve"> &lt; 0, indicates performance worse than predicting the mean.</w:t>
      </w:r>
    </w:p>
    <w:p w14:paraId="66491B63" w14:textId="2473366A" w:rsidR="00E65EC5" w:rsidRPr="00E65EC5" w:rsidRDefault="00E65EC5">
      <w:pPr>
        <w:pStyle w:val="ListParagraph"/>
        <w:numPr>
          <w:ilvl w:val="0"/>
          <w:numId w:val="11"/>
        </w:numPr>
      </w:pPr>
      <w:r>
        <w:t>Higher is better.</w:t>
      </w:r>
    </w:p>
    <w:p w14:paraId="1270B85D" w14:textId="53F388FF" w:rsidR="00020CC2" w:rsidRPr="00BD1BBF" w:rsidRDefault="006C1D7F" w:rsidP="004E36E0">
      <w:pPr>
        <w:ind w:firstLine="720"/>
      </w:pPr>
      <w:r>
        <w:rPr>
          <w:noProof/>
          <w:lang w:val="en-US"/>
        </w:rPr>
        <w:t>Zhuang &amp; Cao (2022) similarly found that R</w:t>
      </w:r>
      <w:r>
        <w:rPr>
          <w:noProof/>
          <w:vertAlign w:val="superscript"/>
          <w:lang w:val="en-US"/>
        </w:rPr>
        <w:t>2</w:t>
      </w:r>
      <w:r>
        <w:rPr>
          <w:noProof/>
          <w:lang w:val="en-US"/>
        </w:rPr>
        <w:t xml:space="preserve"> provided additional discriminative power beyond MAE and RMSE when comparing CNN-BiLSTM variants on traffic flow data, since models with near-identical error magnitudes could differ substantially in how well they tracked the temporal structure of the target series</w:t>
      </w:r>
      <w:r w:rsidR="004E36E0">
        <w:t>. While Combined% penalises errors as percentages and rewards models that minimise all three error component</w:t>
      </w:r>
      <w:r w:rsidR="006D500B">
        <w:t>s</w:t>
      </w:r>
      <w:r w:rsidR="004E36E0">
        <w:t xml:space="preserve"> simultaneously, R</w:t>
      </w:r>
      <w:r w:rsidR="004E36E0">
        <w:rPr>
          <w:vertAlign w:val="superscript"/>
        </w:rPr>
        <w:t>2</w:t>
      </w:r>
      <w:r w:rsidR="004E36E0">
        <w:t xml:space="preserve"> measures explained variance and is sensitive to the model’s ability to track the shape and direction of ridership dynamics rather than their magnitude</w:t>
      </w:r>
      <w:r w:rsidR="004E36E0">
        <w:t>.</w:t>
      </w:r>
    </w:p>
    <w:p w14:paraId="52D89D94" w14:textId="590D90A9" w:rsidR="007D5F0D" w:rsidRPr="001D34FB" w:rsidRDefault="007D5F0D" w:rsidP="00E963EB">
      <w:pPr>
        <w:pStyle w:val="Heading1"/>
        <w:numPr>
          <w:ilvl w:val="0"/>
          <w:numId w:val="3"/>
        </w:numPr>
        <w:jc w:val="left"/>
        <w:rPr>
          <w:b/>
          <w:bCs/>
          <w:sz w:val="24"/>
          <w:szCs w:val="24"/>
          <w:u w:val="single"/>
        </w:rPr>
      </w:pPr>
      <w:bookmarkStart w:id="33" w:name="_Toc230901631"/>
      <w:r w:rsidRPr="001D34FB">
        <w:rPr>
          <w:b/>
          <w:bCs/>
          <w:sz w:val="24"/>
          <w:szCs w:val="24"/>
          <w:u w:val="single"/>
        </w:rPr>
        <w:t>References</w:t>
      </w:r>
      <w:bookmarkEnd w:id="33"/>
    </w:p>
    <w:p w14:paraId="352AB7C7" w14:textId="77777777" w:rsidR="004E36E0" w:rsidRDefault="005C23CC" w:rsidP="004E36E0">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4E36E0">
        <w:rPr>
          <w:noProof/>
        </w:rPr>
        <w:t xml:space="preserve">Ahmad, M., Anwer, I., Yousuf, M. I., Javid, M. A., Ali, N., Tesoriere, G., &amp; Campisi, T. (23 May, 2024). Investigating the Key Factors Affecting Public Transport Ridership in Developing Countries through Structural Equation Modeling. </w:t>
      </w:r>
      <w:r w:rsidR="004E36E0">
        <w:rPr>
          <w:i/>
          <w:iCs/>
          <w:noProof/>
        </w:rPr>
        <w:t>Sustainability, 16</w:t>
      </w:r>
      <w:r w:rsidR="004E36E0">
        <w:rPr>
          <w:noProof/>
        </w:rPr>
        <w:t>(11), 4426. doi:10.3390/su16114426</w:t>
      </w:r>
    </w:p>
    <w:p w14:paraId="42D91BD1" w14:textId="77777777" w:rsidR="004E36E0" w:rsidRDefault="004E36E0" w:rsidP="004E36E0">
      <w:pPr>
        <w:pStyle w:val="Bibliography"/>
        <w:ind w:left="720" w:hanging="720"/>
        <w:rPr>
          <w:noProof/>
        </w:rPr>
      </w:pPr>
      <w:r>
        <w:rPr>
          <w:noProof/>
        </w:rPr>
        <w:t xml:space="preserve">AlKhereibi, A. H., Wakjira, T. G., Kucukvar, M., &amp; Onat, N. C. (16 January, 2023). Predictive Machine Learning Algorithms for Metro Ridership Based on Urban Land Use Policies </w:t>
      </w:r>
      <w:r>
        <w:rPr>
          <w:noProof/>
        </w:rPr>
        <w:lastRenderedPageBreak/>
        <w:t xml:space="preserve">in Support of Transit-Oriented Development. </w:t>
      </w:r>
      <w:r>
        <w:rPr>
          <w:i/>
          <w:iCs/>
          <w:noProof/>
        </w:rPr>
        <w:t>Sustainability, 15</w:t>
      </w:r>
      <w:r>
        <w:rPr>
          <w:noProof/>
        </w:rPr>
        <w:t>(2), 1718. doi:10.3390/su15021718</w:t>
      </w:r>
    </w:p>
    <w:p w14:paraId="1E0D088E" w14:textId="77777777" w:rsidR="004E36E0" w:rsidRDefault="004E36E0" w:rsidP="004E36E0">
      <w:pPr>
        <w:pStyle w:val="Bibliography"/>
        <w:ind w:left="720" w:hanging="720"/>
        <w:rPr>
          <w:noProof/>
        </w:rPr>
      </w:pPr>
      <w:r>
        <w:rPr>
          <w:noProof/>
        </w:rPr>
        <w:t xml:space="preserve">Amir, N. N., Anuar, N. S., Ismail, B., Azreen, N. A., &amp; Ramli, N. A. (28 December, 2025). Ridership Prediction System for Rapid Bus Kuantan and Penang using Multi-Feature Analysis. </w:t>
      </w:r>
      <w:r>
        <w:rPr>
          <w:i/>
          <w:iCs/>
          <w:noProof/>
        </w:rPr>
        <w:t>Journal of the Malaysian Institute of Planners, 23</w:t>
      </w:r>
      <w:r>
        <w:rPr>
          <w:noProof/>
        </w:rPr>
        <w:t>(6), 332 - 347. doi:10.21837/pm.v23i39.1913</w:t>
      </w:r>
    </w:p>
    <w:p w14:paraId="750DEB13" w14:textId="77777777" w:rsidR="004E36E0" w:rsidRDefault="004E36E0" w:rsidP="004E36E0">
      <w:pPr>
        <w:pStyle w:val="Bibliography"/>
        <w:ind w:left="720" w:hanging="720"/>
        <w:rPr>
          <w:noProof/>
        </w:rPr>
      </w:pPr>
      <w:r>
        <w:rPr>
          <w:noProof/>
        </w:rPr>
        <w:t xml:space="preserve">Barath, Z., Veres, P., &amp; Banyai, A. (1 March, 2026). Beyond Traditional Forecasting Methods: Evaluating LSTM Performance on Diverse Time Series. </w:t>
      </w:r>
      <w:r>
        <w:rPr>
          <w:i/>
          <w:iCs/>
          <w:noProof/>
        </w:rPr>
        <w:t>Mathematics, 14</w:t>
      </w:r>
      <w:r>
        <w:rPr>
          <w:noProof/>
        </w:rPr>
        <w:t>(5), 838. doi:10.3390/math14050838</w:t>
      </w:r>
    </w:p>
    <w:p w14:paraId="320040A6" w14:textId="77777777" w:rsidR="004E36E0" w:rsidRDefault="004E36E0" w:rsidP="004E36E0">
      <w:pPr>
        <w:pStyle w:val="Bibliography"/>
        <w:ind w:left="720" w:hanging="720"/>
        <w:rPr>
          <w:noProof/>
        </w:rPr>
      </w:pPr>
      <w:r>
        <w:rPr>
          <w:noProof/>
        </w:rPr>
        <w:t xml:space="preserve">Bhartiya, P., Bhatele, M., &amp; Gour, L. (July, 2023). Anomaly Detection and Short-Term Prediction of Traffic Flow by using Ensemble Deep Learning Approach. </w:t>
      </w:r>
      <w:r>
        <w:rPr>
          <w:i/>
          <w:iCs/>
          <w:noProof/>
        </w:rPr>
        <w:t>International Journal of Research Publication and Reviews, 4</w:t>
      </w:r>
      <w:r>
        <w:rPr>
          <w:noProof/>
        </w:rPr>
        <w:t>(7), 1951 - 1959.</w:t>
      </w:r>
    </w:p>
    <w:p w14:paraId="4EBCE6D0" w14:textId="77777777" w:rsidR="004E36E0" w:rsidRDefault="004E36E0" w:rsidP="004E36E0">
      <w:pPr>
        <w:pStyle w:val="Bibliography"/>
        <w:ind w:left="720" w:hanging="720"/>
        <w:rPr>
          <w:noProof/>
        </w:rPr>
      </w:pPr>
      <w:r>
        <w:rPr>
          <w:noProof/>
        </w:rPr>
        <w:t xml:space="preserve">Casolaro, A., Capone, V., Iannuzzo, G., &amp; Camastra, F. (4 November, 2023). Deep Learning for Time Series Forecasting: Advances and Open Problems. </w:t>
      </w:r>
      <w:r>
        <w:rPr>
          <w:i/>
          <w:iCs/>
          <w:noProof/>
        </w:rPr>
        <w:t>Information, 14</w:t>
      </w:r>
      <w:r>
        <w:rPr>
          <w:noProof/>
        </w:rPr>
        <w:t>(11), 598. doi:10.3390/info14110598</w:t>
      </w:r>
    </w:p>
    <w:p w14:paraId="3FEF907B" w14:textId="77777777" w:rsidR="004E36E0" w:rsidRDefault="004E36E0" w:rsidP="004E36E0">
      <w:pPr>
        <w:pStyle w:val="Bibliography"/>
        <w:ind w:left="720" w:hanging="720"/>
        <w:rPr>
          <w:noProof/>
        </w:rPr>
      </w:pPr>
      <w:r>
        <w:rPr>
          <w:noProof/>
        </w:rPr>
        <w:t xml:space="preserve">CCS Global Tech. (9 March, 2026). </w:t>
      </w:r>
      <w:r>
        <w:rPr>
          <w:i/>
          <w:iCs/>
          <w:noProof/>
        </w:rPr>
        <w:t>From Reactive to Proactive Decisions: How AI Enablement is Solving Everyday Transit Challenges</w:t>
      </w:r>
      <w:r>
        <w:rPr>
          <w:noProof/>
        </w:rPr>
        <w:t>. Retrieved from CSS Global Tech: https://ccsglobaltech.com/from-reactive-to-proactive-decisions-how-ai-enablement-is-solving-everyday-transit-challenges/</w:t>
      </w:r>
    </w:p>
    <w:p w14:paraId="64868D22" w14:textId="77777777" w:rsidR="004E36E0" w:rsidRDefault="004E36E0" w:rsidP="004E36E0">
      <w:pPr>
        <w:pStyle w:val="Bibliography"/>
        <w:ind w:left="720" w:hanging="720"/>
        <w:rPr>
          <w:noProof/>
        </w:rPr>
      </w:pPr>
      <w:r>
        <w:rPr>
          <w:noProof/>
        </w:rPr>
        <w:t xml:space="preserve">Chang, J., Yin, J., Hao, Y., &amp; Gao, C. (30 May, 2025). STFDSGCN: Spatio-Temporal Fusion Graph Neural Network Based on Dynamic Sparse Graph Convolution GRU for Traffic Flow Forecast. </w:t>
      </w:r>
      <w:r>
        <w:rPr>
          <w:i/>
          <w:iCs/>
          <w:noProof/>
        </w:rPr>
        <w:t>Sensors, 25</w:t>
      </w:r>
      <w:r>
        <w:rPr>
          <w:noProof/>
        </w:rPr>
        <w:t>(11), 3446. doi:10.3390/s25113446</w:t>
      </w:r>
    </w:p>
    <w:p w14:paraId="18E13203" w14:textId="77777777" w:rsidR="004E36E0" w:rsidRDefault="004E36E0" w:rsidP="004E36E0">
      <w:pPr>
        <w:pStyle w:val="Bibliography"/>
        <w:ind w:left="720" w:hanging="720"/>
        <w:rPr>
          <w:noProof/>
        </w:rPr>
      </w:pPr>
      <w:r>
        <w:rPr>
          <w:noProof/>
        </w:rPr>
        <w:t xml:space="preserve">Chen, L., Ren, Q., Zheng, J., Zou, F., Luo, S., Tian, J., &amp; Xing, Y. (5 April, 2023). CSFPre: Expressway key sections based on CEEMDAN-STSGCN-FCM during the holidays for traffic flow prediction. (T. A. Rashid, Ed.) </w:t>
      </w:r>
      <w:r>
        <w:rPr>
          <w:i/>
          <w:iCs/>
          <w:noProof/>
        </w:rPr>
        <w:t>PLoS One, 18</w:t>
      </w:r>
      <w:r>
        <w:rPr>
          <w:noProof/>
        </w:rPr>
        <w:t>(4), 1 - 22. doi:10.1371/journal.pone.0283898</w:t>
      </w:r>
    </w:p>
    <w:p w14:paraId="12485CB5" w14:textId="77777777" w:rsidR="004E36E0" w:rsidRDefault="004E36E0" w:rsidP="004E36E0">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7D194765" w14:textId="77777777" w:rsidR="004E36E0" w:rsidRDefault="004E36E0" w:rsidP="004E36E0">
      <w:pPr>
        <w:pStyle w:val="Bibliography"/>
        <w:ind w:left="720" w:hanging="720"/>
        <w:rPr>
          <w:noProof/>
        </w:rPr>
      </w:pPr>
      <w:r>
        <w:rPr>
          <w:noProof/>
        </w:rPr>
        <w:lastRenderedPageBreak/>
        <w:t xml:space="preserve">Chevance, G., Andrieu, B., Koch, N., Tonne, C., Nieuwenhuyijsen, M., &amp; Bernard, P. (30 December, 2024). How gasoline prices influence the effectiveness of interventions targeting sustainable transport modes? </w:t>
      </w:r>
      <w:r>
        <w:rPr>
          <w:i/>
          <w:iCs/>
          <w:noProof/>
        </w:rPr>
        <w:t>Sustainable Mobility and Transport, 1</w:t>
      </w:r>
      <w:r>
        <w:rPr>
          <w:noProof/>
        </w:rPr>
        <w:t>, 1 - 8. doi:10.1038/s44333-024-00017-1</w:t>
      </w:r>
    </w:p>
    <w:p w14:paraId="4DD4DE02" w14:textId="77777777" w:rsidR="004E36E0" w:rsidRDefault="004E36E0" w:rsidP="004E36E0">
      <w:pPr>
        <w:pStyle w:val="Bibliography"/>
        <w:ind w:left="720" w:hanging="720"/>
        <w:rPr>
          <w:noProof/>
        </w:rPr>
      </w:pPr>
      <w:r>
        <w:rPr>
          <w:noProof/>
        </w:rPr>
        <w:t xml:space="preserve">Cui, H., Si, B., Chi, D., Li, Y., Li, G., &amp; Chen, Y. (6 October, 2025). Short-term passenger flow prediction for urban rail systems: A deep learning approach utilizing multi-source big data. (S. Panigrahi, Ed.) </w:t>
      </w:r>
      <w:r>
        <w:rPr>
          <w:i/>
          <w:iCs/>
          <w:noProof/>
        </w:rPr>
        <w:t>PLoS One, 20</w:t>
      </w:r>
      <w:r>
        <w:rPr>
          <w:noProof/>
        </w:rPr>
        <w:t>(10), 1 - 23. doi:10.1371/journal.pone.0333094</w:t>
      </w:r>
    </w:p>
    <w:p w14:paraId="7A55D75A" w14:textId="77777777" w:rsidR="004E36E0" w:rsidRDefault="004E36E0" w:rsidP="004E36E0">
      <w:pPr>
        <w:pStyle w:val="Bibliography"/>
        <w:ind w:left="720" w:hanging="720"/>
        <w:rPr>
          <w:noProof/>
        </w:rPr>
      </w:pPr>
      <w:r>
        <w:rPr>
          <w:noProof/>
        </w:rPr>
        <w:t xml:space="preserve">Cui, Z., Zhang, J., Noh, G., &amp; Park, H. J. (23 August, 2023). ADSTGCN: A Dynamic Adaptive Deeper Spatio-Temporal Graph Convolutional Network for Multi-Step Traffic Forecasting. </w:t>
      </w:r>
      <w:r>
        <w:rPr>
          <w:i/>
          <w:iCs/>
          <w:noProof/>
        </w:rPr>
        <w:t>Sensors, 23</w:t>
      </w:r>
      <w:r>
        <w:rPr>
          <w:noProof/>
        </w:rPr>
        <w:t>(15), 6950. doi:10.3390/s23156950</w:t>
      </w:r>
    </w:p>
    <w:p w14:paraId="4A3395B9" w14:textId="77777777" w:rsidR="004E36E0" w:rsidRDefault="004E36E0" w:rsidP="004E36E0">
      <w:pPr>
        <w:pStyle w:val="Bibliography"/>
        <w:ind w:left="720" w:hanging="720"/>
        <w:rPr>
          <w:noProof/>
        </w:rPr>
      </w:pPr>
      <w:r>
        <w:rPr>
          <w:noProof/>
        </w:rPr>
        <w:t xml:space="preserve">Deng, H. (31 March, 2025). Traffic-Forecasting Model with Spatio-Temporal Kernel. </w:t>
      </w:r>
      <w:r>
        <w:rPr>
          <w:i/>
          <w:iCs/>
          <w:noProof/>
        </w:rPr>
        <w:t>Electronics, 14</w:t>
      </w:r>
      <w:r>
        <w:rPr>
          <w:noProof/>
        </w:rPr>
        <w:t>(7), 1410. doi:10.3390/electronics14071410</w:t>
      </w:r>
    </w:p>
    <w:p w14:paraId="3803C821" w14:textId="77777777" w:rsidR="004E36E0" w:rsidRDefault="004E36E0" w:rsidP="004E36E0">
      <w:pPr>
        <w:pStyle w:val="Bibliography"/>
        <w:ind w:left="720" w:hanging="720"/>
        <w:rPr>
          <w:noProof/>
        </w:rPr>
      </w:pPr>
      <w:r>
        <w:rPr>
          <w:noProof/>
        </w:rPr>
        <w:t xml:space="preserve">Farahmand, Z. H., Gkiotsalitis, K., &amp; Geurs, K. T. (May, 2023). Predicting bus ridership based on the weather conditions using deep learning algorithms. </w:t>
      </w:r>
      <w:r>
        <w:rPr>
          <w:i/>
          <w:iCs/>
          <w:noProof/>
        </w:rPr>
        <w:t>Transportation Research Interdisciplinary Perspectives, 19</w:t>
      </w:r>
      <w:r>
        <w:rPr>
          <w:noProof/>
        </w:rPr>
        <w:t>, 100833. doi:10.1016/j.trip.2023.100833</w:t>
      </w:r>
    </w:p>
    <w:p w14:paraId="04215F60" w14:textId="77777777" w:rsidR="004E36E0" w:rsidRDefault="004E36E0" w:rsidP="004E36E0">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0F54A0FF" w14:textId="77777777" w:rsidR="004E36E0" w:rsidRDefault="004E36E0" w:rsidP="004E36E0">
      <w:pPr>
        <w:pStyle w:val="Bibliography"/>
        <w:ind w:left="720" w:hanging="720"/>
        <w:rPr>
          <w:noProof/>
        </w:rPr>
      </w:pPr>
      <w:r>
        <w:rPr>
          <w:noProof/>
        </w:rPr>
        <w:t xml:space="preserve">Gheorghe, C., &amp; Soica, A. (12 February, 2025). Revolutionizing Urban Mobility: A Systematic Review of AI, IoT, and Predictive Analytics in Adaptive Traffic Control Systems for Road Networks. </w:t>
      </w:r>
      <w:r>
        <w:rPr>
          <w:i/>
          <w:iCs/>
          <w:noProof/>
        </w:rPr>
        <w:t>Electronics, 14</w:t>
      </w:r>
      <w:r>
        <w:rPr>
          <w:noProof/>
        </w:rPr>
        <w:t>(4), 719. doi:10.3390/electronics14040719</w:t>
      </w:r>
    </w:p>
    <w:p w14:paraId="3CB1162D" w14:textId="77777777" w:rsidR="004E36E0" w:rsidRDefault="004E36E0" w:rsidP="004E36E0">
      <w:pPr>
        <w:pStyle w:val="Bibliography"/>
        <w:ind w:left="720" w:hanging="720"/>
        <w:rPr>
          <w:noProof/>
        </w:rPr>
      </w:pPr>
      <w:r>
        <w:rPr>
          <w:noProof/>
        </w:rPr>
        <w:t xml:space="preserve">Hashimzai, I. A., &amp; Mohammadi, M. Q. (December, 2024). The Integration of Artificial Intelligence in Project Management: A Systematic Literature Review of Emerging Trends and Challenges. </w:t>
      </w:r>
      <w:r>
        <w:rPr>
          <w:i/>
          <w:iCs/>
          <w:noProof/>
        </w:rPr>
        <w:t>TIERS Information Technology Journal, 5</w:t>
      </w:r>
      <w:r>
        <w:rPr>
          <w:noProof/>
        </w:rPr>
        <w:t>(2), 152 - 164. doi:10.38043/tiers.v5i2.5963</w:t>
      </w:r>
    </w:p>
    <w:p w14:paraId="70AC9762" w14:textId="77777777" w:rsidR="004E36E0" w:rsidRDefault="004E36E0" w:rsidP="004E36E0">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28387F0B" w14:textId="77777777" w:rsidR="004E36E0" w:rsidRDefault="004E36E0" w:rsidP="004E36E0">
      <w:pPr>
        <w:pStyle w:val="Bibliography"/>
        <w:ind w:left="720" w:hanging="720"/>
        <w:rPr>
          <w:noProof/>
        </w:rPr>
      </w:pPr>
      <w:r>
        <w:rPr>
          <w:noProof/>
        </w:rPr>
        <w:lastRenderedPageBreak/>
        <w:t xml:space="preserve">Hu, J., Tang, B., Zhu, L., Li, Y., Hu, J., &amp; Yang, G. (18 January, 2026). PDR-STGCN: An Enhanced STGCN with Multi-Scale Periodic Fusion and a Dynamic Relational Graph for Traffic Forecasting. </w:t>
      </w:r>
      <w:r>
        <w:rPr>
          <w:i/>
          <w:iCs/>
          <w:noProof/>
        </w:rPr>
        <w:t>Systems, 14</w:t>
      </w:r>
      <w:r>
        <w:rPr>
          <w:noProof/>
        </w:rPr>
        <w:t>(1), 102. doi:10.3390/systems14010102</w:t>
      </w:r>
    </w:p>
    <w:p w14:paraId="1A6E86F7" w14:textId="77777777" w:rsidR="004E36E0" w:rsidRDefault="004E36E0" w:rsidP="004E36E0">
      <w:pPr>
        <w:pStyle w:val="Bibliography"/>
        <w:ind w:left="720" w:hanging="720"/>
        <w:rPr>
          <w:noProof/>
        </w:rPr>
      </w:pPr>
      <w:r>
        <w:rPr>
          <w:noProof/>
        </w:rPr>
        <w:t xml:space="preserve">Huang, S., Li, W., Wen, J., Zhu, M., Lu, Y., &amp; Wu, N. (2022). Spatiotemporal Variations in Shanghai Metro Commuting Flows during Rainfall Events. </w:t>
      </w:r>
      <w:r>
        <w:rPr>
          <w:i/>
          <w:iCs/>
          <w:noProof/>
        </w:rPr>
        <w:t>Weather, Climate and Society, 14</w:t>
      </w:r>
      <w:r>
        <w:rPr>
          <w:noProof/>
        </w:rPr>
        <w:t>(3), 979 - 991. doi:10.1175/WCAS-D-21-0167.1</w:t>
      </w:r>
    </w:p>
    <w:p w14:paraId="1D3C6D87" w14:textId="77777777" w:rsidR="004E36E0" w:rsidRDefault="004E36E0" w:rsidP="004E36E0">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32428592" w14:textId="77777777" w:rsidR="004E36E0" w:rsidRDefault="004E36E0" w:rsidP="004E36E0">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3D0B0E5A" w14:textId="77777777" w:rsidR="004E36E0" w:rsidRDefault="004E36E0" w:rsidP="004E36E0">
      <w:pPr>
        <w:pStyle w:val="Bibliography"/>
        <w:ind w:left="720" w:hanging="720"/>
        <w:rPr>
          <w:noProof/>
        </w:rPr>
      </w:pPr>
      <w:r>
        <w:rPr>
          <w:noProof/>
        </w:rPr>
        <w:t xml:space="preserve">Jiang, R., Yin, D., Wang, Z., Wang, Y., Deng, J., Liu, H., . . . Shibasaki, R. (30 October, 2021). DL-Traff: Survey and Benchmark of Deep Learning Models for Urban Traffic Prediction. </w:t>
      </w:r>
      <w:r>
        <w:rPr>
          <w:i/>
          <w:iCs/>
          <w:noProof/>
        </w:rPr>
        <w:t>Proceedings of the 30th ACM International Conference on Information &amp; Knowledge Management</w:t>
      </w:r>
      <w:r>
        <w:rPr>
          <w:noProof/>
        </w:rPr>
        <w:t>, 4515 - 4525. doi:10.1145/3459637.3482000</w:t>
      </w:r>
    </w:p>
    <w:p w14:paraId="6C326424" w14:textId="77777777" w:rsidR="004E36E0" w:rsidRDefault="004E36E0" w:rsidP="004E36E0">
      <w:pPr>
        <w:pStyle w:val="Bibliography"/>
        <w:ind w:left="720" w:hanging="720"/>
        <w:rPr>
          <w:noProof/>
        </w:rPr>
      </w:pPr>
      <w:r>
        <w:rPr>
          <w:noProof/>
        </w:rPr>
        <w:t xml:space="preserve">Jiang, S., &amp; Cai, C. (April, 2023). The impacts of weather conditions on metro ridership: An empirical study from three mega cities in China. </w:t>
      </w:r>
      <w:r>
        <w:rPr>
          <w:i/>
          <w:iCs/>
          <w:noProof/>
        </w:rPr>
        <w:t>Travel Behaviour and Society, 31</w:t>
      </w:r>
      <w:r>
        <w:rPr>
          <w:noProof/>
        </w:rPr>
        <w:t>, 166 - 177. doi:10.1016/j.tbs.2022.12.003</w:t>
      </w:r>
    </w:p>
    <w:p w14:paraId="6438A3ED" w14:textId="77777777" w:rsidR="004E36E0" w:rsidRDefault="004E36E0" w:rsidP="004E36E0">
      <w:pPr>
        <w:pStyle w:val="Bibliography"/>
        <w:ind w:left="720" w:hanging="720"/>
        <w:rPr>
          <w:noProof/>
        </w:rPr>
      </w:pPr>
      <w:r>
        <w:rPr>
          <w:noProof/>
        </w:rPr>
        <w:t xml:space="preserve">Jin, S., Jing, C., Wang, Y., &amp; Lv, X. (June, 2022). Spatiotemporal Graph Convolutional Neural Networks for Metro Flow Prediction. </w:t>
      </w:r>
      <w:r>
        <w:rPr>
          <w:i/>
          <w:iCs/>
          <w:noProof/>
        </w:rPr>
        <w:t>The International Archives of the Photogrammetry Remote Sensing and Spatial Information Sciences, XLIII</w:t>
      </w:r>
      <w:r>
        <w:rPr>
          <w:noProof/>
        </w:rPr>
        <w:t>, 403 - 409. doi:10.5194/isprs-archives-XLIII-B4-2022-403-2022</w:t>
      </w:r>
    </w:p>
    <w:p w14:paraId="6BF595D5" w14:textId="77777777" w:rsidR="004E36E0" w:rsidRDefault="004E36E0" w:rsidP="004E36E0">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47820B4F" w14:textId="77777777" w:rsidR="004E36E0" w:rsidRDefault="004E36E0" w:rsidP="004E36E0">
      <w:pPr>
        <w:pStyle w:val="Bibliography"/>
        <w:ind w:left="720" w:hanging="720"/>
        <w:rPr>
          <w:noProof/>
        </w:rPr>
      </w:pPr>
      <w:r>
        <w:rPr>
          <w:noProof/>
        </w:rPr>
        <w:t xml:space="preserve">Khalil, S., Amrit, C., Koch, T., &amp; Dugundji, E. R. (May, 2021). Forecasting Public Transport Ridership: Management of Information Systems using CNN and LSTM Architectures. </w:t>
      </w:r>
      <w:r>
        <w:rPr>
          <w:i/>
          <w:iCs/>
          <w:noProof/>
        </w:rPr>
        <w:t>Procedia Computer Science, 184</w:t>
      </w:r>
      <w:r>
        <w:rPr>
          <w:noProof/>
        </w:rPr>
        <w:t>, 283 - 290. doi:10.1016/j.procs.2021.03.037</w:t>
      </w:r>
    </w:p>
    <w:p w14:paraId="62F8A426" w14:textId="77777777" w:rsidR="004E36E0" w:rsidRDefault="004E36E0" w:rsidP="004E36E0">
      <w:pPr>
        <w:pStyle w:val="Bibliography"/>
        <w:ind w:left="720" w:hanging="720"/>
        <w:rPr>
          <w:noProof/>
        </w:rPr>
      </w:pPr>
      <w:r>
        <w:rPr>
          <w:noProof/>
        </w:rPr>
        <w:lastRenderedPageBreak/>
        <w:t xml:space="preserve">Kim, T., Kim, J., Tae, Y., Park, C., Choi, J.-H., &amp; Choo, J. (14 February, 2023). Reversible Instance Normalization for Accurate Time-Series Forecasting against Distribution Shift . </w:t>
      </w:r>
      <w:r>
        <w:rPr>
          <w:i/>
          <w:iCs/>
          <w:noProof/>
        </w:rPr>
        <w:t>ICLR 2022 Conference</w:t>
      </w:r>
      <w:r>
        <w:rPr>
          <w:noProof/>
        </w:rPr>
        <w:t>, 1 - 25. Retrieved from https://openreview.net/forum?id=cGDAkQo1C0p</w:t>
      </w:r>
    </w:p>
    <w:p w14:paraId="77BE2676" w14:textId="77777777" w:rsidR="004E36E0" w:rsidRDefault="004E36E0" w:rsidP="004E36E0">
      <w:pPr>
        <w:pStyle w:val="Bibliography"/>
        <w:ind w:left="720" w:hanging="720"/>
        <w:rPr>
          <w:noProof/>
        </w:rPr>
      </w:pPr>
      <w:r>
        <w:rPr>
          <w:noProof/>
        </w:rPr>
        <w:t xml:space="preserve">Krishnasamy, L., C, S., Dhanaraj, R. K., Al-Khasawneh, M. A., Al-Shehari, T., Alsadhan, N. A., &amp; Selvarajan, S. (26 May, 2025). Intelligent traffic congestion forecasting using BiLSTM and adaptive secretary bird optimizer for sustainable urban transportation. </w:t>
      </w:r>
      <w:r>
        <w:rPr>
          <w:i/>
          <w:iCs/>
          <w:noProof/>
        </w:rPr>
        <w:t>Scientific Reports, 15</w:t>
      </w:r>
      <w:r>
        <w:rPr>
          <w:noProof/>
        </w:rPr>
        <w:t>, 18423. doi:10.1038/s41598-025-02933-9</w:t>
      </w:r>
    </w:p>
    <w:p w14:paraId="54D662D8" w14:textId="77777777" w:rsidR="004E36E0" w:rsidRDefault="004E36E0" w:rsidP="004E36E0">
      <w:pPr>
        <w:pStyle w:val="Bibliography"/>
        <w:ind w:left="720" w:hanging="720"/>
        <w:rPr>
          <w:noProof/>
        </w:rPr>
      </w:pPr>
      <w:r>
        <w:rPr>
          <w:noProof/>
        </w:rPr>
        <w:t xml:space="preserve">Levner, A. (31 March, 2025). </w:t>
      </w:r>
      <w:r>
        <w:rPr>
          <w:i/>
          <w:iCs/>
          <w:noProof/>
        </w:rPr>
        <w:t>AI-Powered Public Transportation Gains Momentum as Optibus Platform hits One Million Optimizations</w:t>
      </w:r>
      <w:r>
        <w:rPr>
          <w:noProof/>
        </w:rPr>
        <w:t>. Retrieved from Optibus: https://blog.optibus.com/ai-powered-public-transportation-gains-momentum-as-optibus-platform-hits-one-million-optimizations</w:t>
      </w:r>
    </w:p>
    <w:p w14:paraId="3F9ADA8D" w14:textId="77777777" w:rsidR="004E36E0" w:rsidRDefault="004E36E0" w:rsidP="004E36E0">
      <w:pPr>
        <w:pStyle w:val="Bibliography"/>
        <w:ind w:left="720" w:hanging="720"/>
        <w:rPr>
          <w:noProof/>
        </w:rPr>
      </w:pPr>
      <w:r>
        <w:rPr>
          <w:noProof/>
        </w:rPr>
        <w:t xml:space="preserve">Li, L., Xue, S., &amp; Xiao, Y. (9 August, 2024). An Efficient Approach for Identifying Potential Bus Passenger Demand Based on Multisource Data. </w:t>
      </w:r>
      <w:r>
        <w:rPr>
          <w:i/>
          <w:iCs/>
          <w:noProof/>
        </w:rPr>
        <w:t>Journal of Advanced Transportation, 2024</w:t>
      </w:r>
      <w:r>
        <w:rPr>
          <w:noProof/>
        </w:rPr>
        <w:t>(1), 5368577. doi:10.1155/2024/5368577</w:t>
      </w:r>
    </w:p>
    <w:p w14:paraId="32BF2425" w14:textId="77777777" w:rsidR="004E36E0" w:rsidRDefault="004E36E0" w:rsidP="004E36E0">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69DA7FDF" w14:textId="77777777" w:rsidR="004E36E0" w:rsidRDefault="004E36E0" w:rsidP="004E36E0">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7E688572" w14:textId="77777777" w:rsidR="004E36E0" w:rsidRDefault="004E36E0" w:rsidP="004E36E0">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0AD454C9" w14:textId="77777777" w:rsidR="004E36E0" w:rsidRDefault="004E36E0" w:rsidP="004E36E0">
      <w:pPr>
        <w:pStyle w:val="Bibliography"/>
        <w:ind w:left="720" w:hanging="720"/>
        <w:rPr>
          <w:noProof/>
        </w:rPr>
      </w:pPr>
      <w:r>
        <w:rPr>
          <w:noProof/>
        </w:rPr>
        <w:t xml:space="preserve">Ma, X., &amp; Zhang, H. (29 March, 2025). Time Series Forecasting Method Based on Multi-Scale Feature Fusion and Autoformer. </w:t>
      </w:r>
      <w:r>
        <w:rPr>
          <w:i/>
          <w:iCs/>
          <w:noProof/>
        </w:rPr>
        <w:t>Applied Science, 15</w:t>
      </w:r>
      <w:r>
        <w:rPr>
          <w:noProof/>
        </w:rPr>
        <w:t>(7), 3768. doi:10.3390/app15073768</w:t>
      </w:r>
    </w:p>
    <w:p w14:paraId="0EC56BEE" w14:textId="77777777" w:rsidR="004E36E0" w:rsidRDefault="004E36E0" w:rsidP="004E36E0">
      <w:pPr>
        <w:pStyle w:val="Bibliography"/>
        <w:ind w:left="720" w:hanging="720"/>
        <w:rPr>
          <w:noProof/>
        </w:rPr>
      </w:pPr>
      <w:r>
        <w:rPr>
          <w:noProof/>
        </w:rPr>
        <w:t xml:space="preserve">Maria-Arribas, D., Pantrigo, J. J., &amp; Cuesta-Infante, A. (25 February, 2026). A massive, graph augmented, traffic dataset for machine leraning and deep learning spatio-temporal traffic analysis. </w:t>
      </w:r>
      <w:r>
        <w:rPr>
          <w:i/>
          <w:iCs/>
          <w:noProof/>
        </w:rPr>
        <w:t>Research Square</w:t>
      </w:r>
      <w:r>
        <w:rPr>
          <w:noProof/>
        </w:rPr>
        <w:t>, 1 - 17. doi:10.21203/rs.3.rs-8670080/v1</w:t>
      </w:r>
    </w:p>
    <w:p w14:paraId="46CA32D2" w14:textId="77777777" w:rsidR="004E36E0" w:rsidRDefault="004E36E0" w:rsidP="004E36E0">
      <w:pPr>
        <w:pStyle w:val="Bibliography"/>
        <w:ind w:left="720" w:hanging="720"/>
        <w:rPr>
          <w:noProof/>
        </w:rPr>
      </w:pPr>
      <w:r>
        <w:rPr>
          <w:noProof/>
        </w:rPr>
        <w:lastRenderedPageBreak/>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560C8651" w14:textId="77777777" w:rsidR="004E36E0" w:rsidRDefault="004E36E0" w:rsidP="004E36E0">
      <w:pPr>
        <w:pStyle w:val="Bibliography"/>
        <w:ind w:left="720" w:hanging="720"/>
        <w:rPr>
          <w:noProof/>
        </w:rPr>
      </w:pPr>
      <w:r>
        <w:rPr>
          <w:noProof/>
        </w:rPr>
        <w:t xml:space="preserve">Mily, S. N., Haque, M. B., &amp; Islam, M. A. (22 October, 2024 ). Unveiling the consequence of unprecedented fuel price hike in Bangladesh on consumer travel behavior. </w:t>
      </w:r>
      <w:r>
        <w:rPr>
          <w:i/>
          <w:iCs/>
          <w:noProof/>
        </w:rPr>
        <w:t>Sustainable Transport and Livability, 1</w:t>
      </w:r>
      <w:r>
        <w:rPr>
          <w:noProof/>
        </w:rPr>
        <w:t>(1), 1 - 23. doi:10.1080/29941849.2024.2409081</w:t>
      </w:r>
    </w:p>
    <w:p w14:paraId="3989BE13" w14:textId="77777777" w:rsidR="004E36E0" w:rsidRDefault="004E36E0" w:rsidP="004E36E0">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744DA0E9" w14:textId="77777777" w:rsidR="004E36E0" w:rsidRDefault="004E36E0" w:rsidP="004E36E0">
      <w:pPr>
        <w:pStyle w:val="Bibliography"/>
        <w:ind w:left="720" w:hanging="720"/>
        <w:rPr>
          <w:noProof/>
        </w:rPr>
      </w:pPr>
      <w:r>
        <w:rPr>
          <w:noProof/>
        </w:rPr>
        <w:t xml:space="preserve">Mystakidis, A., Koukaras, P., &amp; Tjortjis, C. (7 February, 2025). Advances in Traffic Congestion Prediction: An Overview of Emerging Techniques and Methods. </w:t>
      </w:r>
      <w:r>
        <w:rPr>
          <w:i/>
          <w:iCs/>
          <w:noProof/>
        </w:rPr>
        <w:t>Smart Cities, 8</w:t>
      </w:r>
      <w:r>
        <w:rPr>
          <w:noProof/>
        </w:rPr>
        <w:t>(1), 25. doi:10.3390/smartcities8010025</w:t>
      </w:r>
    </w:p>
    <w:p w14:paraId="61230BD2" w14:textId="77777777" w:rsidR="004E36E0" w:rsidRDefault="004E36E0" w:rsidP="004E36E0">
      <w:pPr>
        <w:pStyle w:val="Bibliography"/>
        <w:ind w:left="720" w:hanging="720"/>
        <w:rPr>
          <w:noProof/>
        </w:rPr>
      </w:pPr>
      <w:r>
        <w:rPr>
          <w:noProof/>
        </w:rPr>
        <w:t xml:space="preserve">Ngo, N. S., &amp; Bashar, S. (December, 2024). The impacts of extreme weather events on U.S. Public transit ridership. </w:t>
      </w:r>
      <w:r>
        <w:rPr>
          <w:i/>
          <w:iCs/>
          <w:noProof/>
        </w:rPr>
        <w:t>Transportation Research Part D: Transport and Environment, 137</w:t>
      </w:r>
      <w:r>
        <w:rPr>
          <w:noProof/>
        </w:rPr>
        <w:t>, 104504. doi:10.1016/j.trd.2024.104504</w:t>
      </w:r>
    </w:p>
    <w:p w14:paraId="188956D3" w14:textId="77777777" w:rsidR="004E36E0" w:rsidRDefault="004E36E0" w:rsidP="004E36E0">
      <w:pPr>
        <w:pStyle w:val="Bibliography"/>
        <w:ind w:left="720" w:hanging="720"/>
        <w:rPr>
          <w:noProof/>
        </w:rPr>
      </w:pPr>
      <w:r>
        <w:rPr>
          <w:noProof/>
        </w:rPr>
        <w:t xml:space="preserve">Pour, M. A., Zargari, F., Samimi, A., &amp; Sahebi, S. (March, 2026). Analyzing the influence of fuel price shock on urban public transit and interurban automobile travel demand: Evidence from a country with fixed fuel price regulation. </w:t>
      </w:r>
      <w:r>
        <w:rPr>
          <w:i/>
          <w:iCs/>
          <w:noProof/>
        </w:rPr>
        <w:t>Transportation Research Interdisciplinary Perspectives 36, 36</w:t>
      </w:r>
      <w:r>
        <w:rPr>
          <w:noProof/>
        </w:rPr>
        <w:t>, 101829. doi:10.1016/j.trip.2025.101829</w:t>
      </w:r>
    </w:p>
    <w:p w14:paraId="67D4A6D4" w14:textId="77777777" w:rsidR="004E36E0" w:rsidRDefault="004E36E0" w:rsidP="004E36E0">
      <w:pPr>
        <w:pStyle w:val="Bibliography"/>
        <w:ind w:left="720" w:hanging="720"/>
        <w:rPr>
          <w:noProof/>
        </w:rPr>
      </w:pPr>
      <w:r>
        <w:rPr>
          <w:noProof/>
        </w:rPr>
        <w:t xml:space="preserve">Rahmani, B., Moghaddam, A. M., &amp; Maghrebi, M. (July, 2025). Forecasting demand fluctuations of public bus transit during special events and adverse weather conditions through smart card data analysis. </w:t>
      </w:r>
      <w:r>
        <w:rPr>
          <w:i/>
          <w:iCs/>
          <w:noProof/>
        </w:rPr>
        <w:t>Travel Behaviour and Society, 40</w:t>
      </w:r>
      <w:r>
        <w:rPr>
          <w:noProof/>
        </w:rPr>
        <w:t>, 101033. doi:10.1016/j.tbs.2025.101033</w:t>
      </w:r>
    </w:p>
    <w:p w14:paraId="64110C79" w14:textId="77777777" w:rsidR="004E36E0" w:rsidRDefault="004E36E0" w:rsidP="004E36E0">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7D1868A7" w14:textId="77777777" w:rsidR="004E36E0" w:rsidRDefault="004E36E0" w:rsidP="004E36E0">
      <w:pPr>
        <w:pStyle w:val="Bibliography"/>
        <w:ind w:left="720" w:hanging="720"/>
        <w:rPr>
          <w:noProof/>
        </w:rPr>
      </w:pPr>
      <w:r>
        <w:rPr>
          <w:noProof/>
        </w:rPr>
        <w:t xml:space="preserve">S.K.B, S., Mathivanan, S. K., Rajadurai, H., Cho, J., &amp; Easwaramoorthy, S. V. (30 December, 2024). A multi-modal geospatial–temporal LSTM based deep learning framework for </w:t>
      </w:r>
      <w:r>
        <w:rPr>
          <w:noProof/>
        </w:rPr>
        <w:lastRenderedPageBreak/>
        <w:t xml:space="preserve">predictive modeling of urban mobility patterns. </w:t>
      </w:r>
      <w:r>
        <w:rPr>
          <w:i/>
          <w:iCs/>
          <w:noProof/>
        </w:rPr>
        <w:t>Scientific Reports, 14</w:t>
      </w:r>
      <w:r>
        <w:rPr>
          <w:noProof/>
        </w:rPr>
        <w:t>, 1 - 19. doi:10.1038/s41598-024-74237-3</w:t>
      </w:r>
    </w:p>
    <w:p w14:paraId="2C73C1AF" w14:textId="77777777" w:rsidR="004E36E0" w:rsidRDefault="004E36E0" w:rsidP="004E36E0">
      <w:pPr>
        <w:pStyle w:val="Bibliography"/>
        <w:ind w:left="720" w:hanging="720"/>
        <w:rPr>
          <w:noProof/>
        </w:rPr>
      </w:pPr>
      <w:r>
        <w:rPr>
          <w:noProof/>
        </w:rPr>
        <w:t xml:space="preserve">Shi, B., Wang, Z., Yan, J., Yang, Q., &amp; Yang, N. (27 February, 2024). A Novel Spatial-Temporal Deep Learning Method for Metro Flow Prediction Considering External Factors and Periodicity. </w:t>
      </w:r>
      <w:r>
        <w:rPr>
          <w:i/>
          <w:iCs/>
          <w:noProof/>
        </w:rPr>
        <w:t>Applied Science, 14</w:t>
      </w:r>
      <w:r>
        <w:rPr>
          <w:noProof/>
        </w:rPr>
        <w:t>(5), 1949. doi:10.3390/app14051949</w:t>
      </w:r>
    </w:p>
    <w:p w14:paraId="6FDA2984" w14:textId="77777777" w:rsidR="004E36E0" w:rsidRDefault="004E36E0" w:rsidP="004E36E0">
      <w:pPr>
        <w:pStyle w:val="Bibliography"/>
        <w:ind w:left="720" w:hanging="720"/>
        <w:rPr>
          <w:noProof/>
        </w:rPr>
      </w:pPr>
      <w:r>
        <w:rPr>
          <w:noProof/>
        </w:rPr>
        <w:t xml:space="preserve">Sobrie, L., Verschelde, M., Hennebel, V., &amp; Roets, B. (1 April, 2023). Capturing complexity over space and time via deep learning: An application to real-time delay prediction in railways. </w:t>
      </w:r>
      <w:r>
        <w:rPr>
          <w:i/>
          <w:iCs/>
          <w:noProof/>
        </w:rPr>
        <w:t>European Journal of Operational Research, 310</w:t>
      </w:r>
      <w:r>
        <w:rPr>
          <w:noProof/>
        </w:rPr>
        <w:t>(3), 1201 - 1217. doi:10.1016/j.ejor.2023.03.040</w:t>
      </w:r>
    </w:p>
    <w:p w14:paraId="1F77B014" w14:textId="77777777" w:rsidR="004E36E0" w:rsidRDefault="004E36E0" w:rsidP="004E36E0">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4DAAC44F" w14:textId="77777777" w:rsidR="004E36E0" w:rsidRDefault="004E36E0" w:rsidP="004E36E0">
      <w:pPr>
        <w:pStyle w:val="Bibliography"/>
        <w:ind w:left="720" w:hanging="720"/>
        <w:rPr>
          <w:noProof/>
        </w:rPr>
      </w:pPr>
      <w:r>
        <w:rPr>
          <w:noProof/>
        </w:rPr>
        <w:t xml:space="preserve">Son, H., Jang, J., Park, J., Balog, A., Ballantyne, P., Kwon, H. R., . . . Hwang, J. (5 March, 2025). Leveraging Advanced Technologies for (Smart) Transportation Planning: A Systematic Review. </w:t>
      </w:r>
      <w:r>
        <w:rPr>
          <w:i/>
          <w:iCs/>
          <w:noProof/>
        </w:rPr>
        <w:t>Sustainability, 17</w:t>
      </w:r>
      <w:r>
        <w:rPr>
          <w:noProof/>
        </w:rPr>
        <w:t>(5), 2245. doi:10.3390/su17052245</w:t>
      </w:r>
    </w:p>
    <w:p w14:paraId="2B39EAC2" w14:textId="77777777" w:rsidR="004E36E0" w:rsidRDefault="004E36E0" w:rsidP="004E36E0">
      <w:pPr>
        <w:pStyle w:val="Bibliography"/>
        <w:ind w:left="720" w:hanging="720"/>
        <w:rPr>
          <w:noProof/>
        </w:rPr>
      </w:pPr>
      <w:r>
        <w:rPr>
          <w:noProof/>
        </w:rPr>
        <w:t xml:space="preserve">Song, Y., Luo, R., Zhou, T., Zhou, C., &amp; Su, R. (24 July, 2024). Graph Attention Informer for Long-Term Traffic Flow Prediction under the Impact of Sports Events. </w:t>
      </w:r>
      <w:r>
        <w:rPr>
          <w:i/>
          <w:iCs/>
          <w:noProof/>
        </w:rPr>
        <w:t>Sensors, 24</w:t>
      </w:r>
      <w:r>
        <w:rPr>
          <w:noProof/>
        </w:rPr>
        <w:t>(15), 4796. doi:10.3390/s24154796</w:t>
      </w:r>
    </w:p>
    <w:p w14:paraId="67EFE912" w14:textId="77777777" w:rsidR="004E36E0" w:rsidRDefault="004E36E0" w:rsidP="004E36E0">
      <w:pPr>
        <w:pStyle w:val="Bibliography"/>
        <w:ind w:left="720" w:hanging="720"/>
        <w:rPr>
          <w:noProof/>
        </w:rPr>
      </w:pPr>
      <w:r>
        <w:rPr>
          <w:noProof/>
        </w:rPr>
        <w:t xml:space="preserve">Suwaidi, J. A., Aydin, R., &amp; Rashid, H. (July, 2022). Investigating Barriers and Challenges to Artificial Intelligence (AI) Implementation in Logistics Operations: A Systematic Review of Literature. </w:t>
      </w:r>
      <w:r>
        <w:rPr>
          <w:i/>
          <w:iCs/>
          <w:noProof/>
        </w:rPr>
        <w:t>Proceedings of the 5th European International Conference on Industrial Engineering and Operations Management</w:t>
      </w:r>
      <w:r>
        <w:rPr>
          <w:noProof/>
        </w:rPr>
        <w:t>, 1600 - 1616. doi:10.46254/EU05.20220308</w:t>
      </w:r>
    </w:p>
    <w:p w14:paraId="79CD3426" w14:textId="77777777" w:rsidR="004E36E0" w:rsidRDefault="004E36E0" w:rsidP="004E36E0">
      <w:pPr>
        <w:pStyle w:val="Bibliography"/>
        <w:ind w:left="720" w:hanging="720"/>
        <w:rPr>
          <w:noProof/>
        </w:rPr>
      </w:pPr>
      <w:r>
        <w:rPr>
          <w:noProof/>
        </w:rPr>
        <w:t xml:space="preserve">Topilin, I., Jiang, J., Feofilova, A., &amp; Beskopylny, N. (15 September, 2025). Traffic Flow Prediction via a Hybrid CPO-CNN-LSTM-Attention Architecture. </w:t>
      </w:r>
      <w:r>
        <w:rPr>
          <w:i/>
          <w:iCs/>
          <w:noProof/>
        </w:rPr>
        <w:t>Smart Cities, 8</w:t>
      </w:r>
      <w:r>
        <w:rPr>
          <w:noProof/>
        </w:rPr>
        <w:t>(5), 148. doi:10.3390/smartcities8050148</w:t>
      </w:r>
    </w:p>
    <w:p w14:paraId="50568320" w14:textId="77777777" w:rsidR="004E36E0" w:rsidRDefault="004E36E0" w:rsidP="004E36E0">
      <w:pPr>
        <w:pStyle w:val="Bibliography"/>
        <w:ind w:left="720" w:hanging="720"/>
        <w:rPr>
          <w:noProof/>
        </w:rPr>
      </w:pPr>
      <w:r>
        <w:rPr>
          <w:noProof/>
        </w:rPr>
        <w:t xml:space="preserve">Ubaidillah, N. Z., Sa'ad, N. H., Ismail, F., Nordin, N. A., Baharuddin, N., &amp; Hassam, M. K. (June, 2022). The Impact of Public Bus Service Quality on the Users’ Satisfaction: </w:t>
      </w:r>
      <w:r>
        <w:rPr>
          <w:noProof/>
        </w:rPr>
        <w:lastRenderedPageBreak/>
        <w:t xml:space="preserve">Evidence from a Developing Asian City. </w:t>
      </w:r>
      <w:r>
        <w:rPr>
          <w:i/>
          <w:iCs/>
          <w:noProof/>
        </w:rPr>
        <w:t>Review of Applied Socio-Economic Research, 23</w:t>
      </w:r>
      <w:r>
        <w:rPr>
          <w:noProof/>
        </w:rPr>
        <w:t>(1), 83 - 96. doi:10.54609/reaser.v23i1.185</w:t>
      </w:r>
    </w:p>
    <w:p w14:paraId="21F13D11" w14:textId="77777777" w:rsidR="004E36E0" w:rsidRDefault="004E36E0" w:rsidP="004E36E0">
      <w:pPr>
        <w:pStyle w:val="Bibliography"/>
        <w:ind w:left="720" w:hanging="720"/>
        <w:rPr>
          <w:noProof/>
        </w:rPr>
      </w:pPr>
      <w:r>
        <w:rPr>
          <w:noProof/>
        </w:rPr>
        <w:t xml:space="preserve">Vaswani, A., Shazeer, N., Parmar, N., Uszkoreit, J., Jones, L., Gomez, A. N., . . . Polosukhin, I. (12 June, 2017). Attention is All You Need. </w:t>
      </w:r>
      <w:r>
        <w:rPr>
          <w:i/>
          <w:iCs/>
          <w:noProof/>
        </w:rPr>
        <w:t>Computation and Language</w:t>
      </w:r>
      <w:r>
        <w:rPr>
          <w:noProof/>
        </w:rPr>
        <w:t>, 1 - 15. doi:10.48550/arXiv.1706.03762</w:t>
      </w:r>
    </w:p>
    <w:p w14:paraId="3EC071DE" w14:textId="77777777" w:rsidR="004E36E0" w:rsidRDefault="004E36E0" w:rsidP="004E36E0">
      <w:pPr>
        <w:pStyle w:val="Bibliography"/>
        <w:ind w:left="720" w:hanging="720"/>
        <w:rPr>
          <w:noProof/>
        </w:rPr>
      </w:pPr>
      <w:r>
        <w:rPr>
          <w:noProof/>
        </w:rPr>
        <w:t xml:space="preserve">Vujadinovic, V. L., Damnjanovic, A., Cakic, A., Petkovic, D. R., Prelevic, M., Pantovic, V., . . . Bodolo, I. (6 September, 2024). AI-Driven Approach for Enhancing Sustainability in Urban Public Transportation. </w:t>
      </w:r>
      <w:r>
        <w:rPr>
          <w:i/>
          <w:iCs/>
          <w:noProof/>
        </w:rPr>
        <w:t>Sustainability, 16</w:t>
      </w:r>
      <w:r>
        <w:rPr>
          <w:noProof/>
        </w:rPr>
        <w:t>(17), 7763. doi:10.3390/su16177763</w:t>
      </w:r>
    </w:p>
    <w:p w14:paraId="77DD306E" w14:textId="77777777" w:rsidR="004E36E0" w:rsidRDefault="004E36E0" w:rsidP="004E36E0">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7B97E38B" w14:textId="77777777" w:rsidR="004E36E0" w:rsidRDefault="004E36E0" w:rsidP="004E36E0">
      <w:pPr>
        <w:pStyle w:val="Bibliography"/>
        <w:ind w:left="720" w:hanging="720"/>
        <w:rPr>
          <w:noProof/>
        </w:rPr>
      </w:pPr>
      <w:r>
        <w:rPr>
          <w:noProof/>
        </w:rPr>
        <w:t xml:space="preserve">Wang, L., Zhou, Y., &amp; Ke, W. (March, 2025). Harmful data enhanced anomaly detection for quasi-periodic multivariate time series. </w:t>
      </w:r>
      <w:r>
        <w:rPr>
          <w:i/>
          <w:iCs/>
          <w:noProof/>
        </w:rPr>
        <w:t>Applied Intelligence, 55</w:t>
      </w:r>
      <w:r>
        <w:rPr>
          <w:noProof/>
        </w:rPr>
        <w:t>(7), 1 - 21. doi:10.1007/s10489-025-06461-x</w:t>
      </w:r>
    </w:p>
    <w:p w14:paraId="0D0147CE" w14:textId="77777777" w:rsidR="004E36E0" w:rsidRDefault="004E36E0" w:rsidP="004E36E0">
      <w:pPr>
        <w:pStyle w:val="Bibliography"/>
        <w:ind w:left="720" w:hanging="720"/>
        <w:rPr>
          <w:noProof/>
        </w:rPr>
      </w:pPr>
      <w:r>
        <w:rPr>
          <w:noProof/>
        </w:rPr>
        <w:t xml:space="preserve">Wang, X., Zhang, Y., &amp; Zhang, J. (21 November, 2024). Large-Scale Origin–Destination Prediction for Urban Rail Transit Network Based on Graph Convolutional Neural Network. </w:t>
      </w:r>
      <w:r>
        <w:rPr>
          <w:i/>
          <w:iCs/>
          <w:noProof/>
        </w:rPr>
        <w:t>Sustainability, 16</w:t>
      </w:r>
      <w:r>
        <w:rPr>
          <w:noProof/>
        </w:rPr>
        <w:t>(23), 10190. doi:10.3390/su162310190</w:t>
      </w:r>
    </w:p>
    <w:p w14:paraId="052C6A81" w14:textId="77777777" w:rsidR="004E36E0" w:rsidRDefault="004E36E0" w:rsidP="004E36E0">
      <w:pPr>
        <w:pStyle w:val="Bibliography"/>
        <w:ind w:left="720" w:hanging="720"/>
        <w:rPr>
          <w:noProof/>
        </w:rPr>
      </w:pPr>
      <w:r>
        <w:rPr>
          <w:noProof/>
        </w:rPr>
        <w:t xml:space="preserve">Wei, L., Guo, D., Chen, Z., Yang, J., &amp; Feng, T. (16 January, 2023). Forecasting Short-Term Passenger Flow of Subway Stations Based on the Temporal Pattern Attention Mechanism and the Long Short-Term Memory Network. </w:t>
      </w:r>
      <w:r>
        <w:rPr>
          <w:i/>
          <w:iCs/>
          <w:noProof/>
        </w:rPr>
        <w:t>Geo-Information, 12</w:t>
      </w:r>
      <w:r>
        <w:rPr>
          <w:noProof/>
        </w:rPr>
        <w:t>(1), 25. doi:10.3390/ijgi12010025</w:t>
      </w:r>
    </w:p>
    <w:p w14:paraId="13FE80FA" w14:textId="77777777" w:rsidR="004E36E0" w:rsidRDefault="004E36E0" w:rsidP="004E36E0">
      <w:pPr>
        <w:pStyle w:val="Bibliography"/>
        <w:ind w:left="720" w:hanging="720"/>
        <w:rPr>
          <w:noProof/>
        </w:rPr>
      </w:pPr>
      <w:r>
        <w:rPr>
          <w:noProof/>
        </w:rPr>
        <w:t xml:space="preserve">Wu, J.-L., Lu, M., &amp; Wang, C.-Y. (2 February, 2023). Forecasting metro rail transit passenger flow with multiple-attention deep neural networks and surrounding vehicle detection devices. </w:t>
      </w:r>
      <w:r>
        <w:rPr>
          <w:i/>
          <w:iCs/>
          <w:noProof/>
        </w:rPr>
        <w:t>Applied Intelligence, 53</w:t>
      </w:r>
      <w:r>
        <w:rPr>
          <w:noProof/>
        </w:rPr>
        <w:t>, 18531 - 18546. doi:10.1007/s10489-023-04483-x</w:t>
      </w:r>
    </w:p>
    <w:p w14:paraId="25A6AD72" w14:textId="77777777" w:rsidR="004E36E0" w:rsidRDefault="004E36E0" w:rsidP="004E36E0">
      <w:pPr>
        <w:pStyle w:val="Bibliography"/>
        <w:ind w:left="720" w:hanging="720"/>
        <w:rPr>
          <w:noProof/>
        </w:rPr>
      </w:pPr>
      <w:r>
        <w:rPr>
          <w:noProof/>
        </w:rPr>
        <w:t xml:space="preserve">Wu, Z., Liu, X., &amp; Zhang, X. (14 May, 2025). Multi dynamic temporal representation graph convolutional network for traffic flow prediction. </w:t>
      </w:r>
      <w:r>
        <w:rPr>
          <w:i/>
          <w:iCs/>
          <w:noProof/>
        </w:rPr>
        <w:t>Scientific Reports, 15</w:t>
      </w:r>
      <w:r>
        <w:rPr>
          <w:noProof/>
        </w:rPr>
        <w:t>, 16734. doi:10.1038/s41598-025-01157-1</w:t>
      </w:r>
    </w:p>
    <w:p w14:paraId="0658B1DA" w14:textId="77777777" w:rsidR="004E36E0" w:rsidRDefault="004E36E0" w:rsidP="004E36E0">
      <w:pPr>
        <w:pStyle w:val="Bibliography"/>
        <w:ind w:left="720" w:hanging="720"/>
        <w:rPr>
          <w:noProof/>
        </w:rPr>
      </w:pPr>
      <w:r>
        <w:rPr>
          <w:noProof/>
        </w:rPr>
        <w:t xml:space="preserve">Yin, X., Wu, G., Wei, J., Shen, Y., Qi, H., &amp; Yin, B. (June, 2022). Deep Learning on Traffic Prediction: Methods, Analysis, and Future Directions. </w:t>
      </w:r>
      <w:r>
        <w:rPr>
          <w:i/>
          <w:iCs/>
          <w:noProof/>
        </w:rPr>
        <w:t>IEEE Transactions on Intelligent Transportation Systems, 23</w:t>
      </w:r>
      <w:r>
        <w:rPr>
          <w:noProof/>
        </w:rPr>
        <w:t>(6), 4927 - 4943. doi:10.1109/TITS.2021.3054840</w:t>
      </w:r>
    </w:p>
    <w:p w14:paraId="13ABBDF5" w14:textId="77777777" w:rsidR="004E36E0" w:rsidRDefault="004E36E0" w:rsidP="004E36E0">
      <w:pPr>
        <w:pStyle w:val="Bibliography"/>
        <w:ind w:left="720" w:hanging="720"/>
        <w:rPr>
          <w:noProof/>
        </w:rPr>
      </w:pPr>
      <w:r>
        <w:rPr>
          <w:noProof/>
        </w:rPr>
        <w:lastRenderedPageBreak/>
        <w:t xml:space="preserve">Yusuf, O., Rasheed, A., &amp; Lindseth, F. (3 November, 2025). Data-driven predictive modelling of stop-level public transit patterns. </w:t>
      </w:r>
      <w:r>
        <w:rPr>
          <w:i/>
          <w:iCs/>
          <w:noProof/>
        </w:rPr>
        <w:t>Transportation</w:t>
      </w:r>
      <w:r>
        <w:rPr>
          <w:noProof/>
        </w:rPr>
        <w:t>, 1 - 53. doi:10.1007/s11116-025-10689-4</w:t>
      </w:r>
    </w:p>
    <w:p w14:paraId="3EA3179A" w14:textId="77777777" w:rsidR="004E36E0" w:rsidRDefault="004E36E0" w:rsidP="004E36E0">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11CD403F" w14:textId="77777777" w:rsidR="004E36E0" w:rsidRDefault="004E36E0" w:rsidP="004E36E0">
      <w:pPr>
        <w:pStyle w:val="Bibliography"/>
        <w:ind w:left="720" w:hanging="720"/>
        <w:rPr>
          <w:noProof/>
        </w:rPr>
      </w:pPr>
      <w:r>
        <w:rPr>
          <w:noProof/>
        </w:rPr>
        <w:t xml:space="preserve">Zhou, W., Tang, T., &amp; Gao, C. (20 March, 2024). Spatio-Temporal Self-Attention Network for Origin–Destination Matrix Prediction in Urban Rail Transit. </w:t>
      </w:r>
      <w:r>
        <w:rPr>
          <w:i/>
          <w:iCs/>
          <w:noProof/>
        </w:rPr>
        <w:t>Sustainability, 16</w:t>
      </w:r>
      <w:r>
        <w:rPr>
          <w:noProof/>
        </w:rPr>
        <w:t>(6), 2555. doi:10.3390/su16062555</w:t>
      </w:r>
    </w:p>
    <w:p w14:paraId="0A266770" w14:textId="77777777" w:rsidR="004E36E0" w:rsidRDefault="004E36E0" w:rsidP="004E36E0">
      <w:pPr>
        <w:pStyle w:val="Bibliography"/>
        <w:ind w:left="720" w:hanging="720"/>
        <w:rPr>
          <w:noProof/>
        </w:rPr>
      </w:pPr>
      <w:r>
        <w:rPr>
          <w:noProof/>
        </w:rPr>
        <w:t xml:space="preserve">Zhuang, W., &amp; Cao, Y. (30 August, 2022). Short-Term Traffic Flow Prediction Based on CNN-BILSTM with Multicomponent Information. </w:t>
      </w:r>
      <w:r>
        <w:rPr>
          <w:i/>
          <w:iCs/>
          <w:noProof/>
        </w:rPr>
        <w:t>Applied Science, 12</w:t>
      </w:r>
      <w:r>
        <w:rPr>
          <w:noProof/>
        </w:rPr>
        <w:t>(17), 8714. doi:10.3390/app12178714</w:t>
      </w:r>
    </w:p>
    <w:p w14:paraId="0005E160" w14:textId="6FFCC7F5" w:rsidR="0044045A" w:rsidRDefault="005C23CC" w:rsidP="004E36E0">
      <w:pPr>
        <w:spacing w:line="240" w:lineRule="auto"/>
        <w:rPr>
          <w:b/>
          <w:bCs/>
          <w:u w:val="single"/>
        </w:rPr>
      </w:pPr>
      <w:r>
        <w:rPr>
          <w:b/>
          <w:bCs/>
          <w:u w:val="single"/>
        </w:rPr>
        <w:fldChar w:fldCharType="end"/>
      </w:r>
    </w:p>
    <w:sectPr w:rsidR="0044045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D01F5" w14:textId="77777777" w:rsidR="00091E5D" w:rsidRDefault="00091E5D" w:rsidP="00BA296D">
      <w:pPr>
        <w:spacing w:after="0" w:line="240" w:lineRule="auto"/>
      </w:pPr>
      <w:r>
        <w:separator/>
      </w:r>
    </w:p>
  </w:endnote>
  <w:endnote w:type="continuationSeparator" w:id="0">
    <w:p w14:paraId="79191FC1" w14:textId="77777777" w:rsidR="00091E5D" w:rsidRDefault="00091E5D"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7F737" w14:textId="77777777" w:rsidR="00091E5D" w:rsidRDefault="00091E5D" w:rsidP="00BA296D">
      <w:pPr>
        <w:spacing w:after="0" w:line="240" w:lineRule="auto"/>
      </w:pPr>
      <w:r>
        <w:separator/>
      </w:r>
    </w:p>
  </w:footnote>
  <w:footnote w:type="continuationSeparator" w:id="0">
    <w:p w14:paraId="43782D4F" w14:textId="77777777" w:rsidR="00091E5D" w:rsidRDefault="00091E5D" w:rsidP="00BA296D">
      <w:pPr>
        <w:spacing w:after="0" w:line="240" w:lineRule="auto"/>
      </w:pPr>
      <w:r>
        <w:continuationSeparator/>
      </w:r>
    </w:p>
  </w:footnote>
  <w:footnote w:id="1">
    <w:p w14:paraId="64039568" w14:textId="31DB51AB" w:rsidR="007B4D3D" w:rsidRPr="007B4D3D" w:rsidRDefault="007B4D3D">
      <w:pPr>
        <w:pStyle w:val="FootnoteText"/>
      </w:pPr>
      <w:r>
        <w:rPr>
          <w:rStyle w:val="FootnoteReference"/>
        </w:rPr>
        <w:footnoteRef/>
      </w:r>
      <w:r>
        <w:t xml:space="preserve"> </w:t>
      </w:r>
      <w:r w:rsidRPr="007B4D3D">
        <w:rPr>
          <w:b/>
          <w:bCs/>
        </w:rPr>
        <w:t>R</w:t>
      </w:r>
      <w:r w:rsidRPr="007B4D3D">
        <w:rPr>
          <w:b/>
          <w:bCs/>
          <w:vertAlign w:val="superscript"/>
        </w:rPr>
        <w:t>2</w:t>
      </w:r>
      <w:r w:rsidRPr="007B4D3D">
        <w:t>:</w:t>
      </w:r>
      <w:r>
        <w:rPr>
          <w:b/>
          <w:bCs/>
        </w:rPr>
        <w:t xml:space="preserve"> </w:t>
      </w:r>
      <w:r>
        <w:t>Coefficient of determination</w:t>
      </w:r>
    </w:p>
  </w:footnote>
  <w:footnote w:id="2">
    <w:p w14:paraId="0BC3802E" w14:textId="6B5161D1" w:rsidR="0040009C" w:rsidRDefault="0040009C">
      <w:pPr>
        <w:pStyle w:val="FootnoteText"/>
      </w:pPr>
      <w:r>
        <w:rPr>
          <w:rStyle w:val="FootnoteReference"/>
        </w:rPr>
        <w:footnoteRef/>
      </w:r>
      <w:r>
        <w:t xml:space="preserve"> </w:t>
      </w:r>
      <w:r w:rsidRPr="0040009C">
        <w:rPr>
          <w:b/>
          <w:bCs/>
        </w:rPr>
        <w:t>MAE</w:t>
      </w:r>
      <w:r>
        <w:t>: Mean absolute error</w:t>
      </w:r>
    </w:p>
  </w:footnote>
  <w:footnote w:id="3">
    <w:p w14:paraId="41B1FB27" w14:textId="4F97096A" w:rsidR="0040009C" w:rsidRDefault="0040009C">
      <w:pPr>
        <w:pStyle w:val="FootnoteText"/>
      </w:pPr>
      <w:r>
        <w:rPr>
          <w:rStyle w:val="FootnoteReference"/>
        </w:rPr>
        <w:footnoteRef/>
      </w:r>
      <w:r>
        <w:t xml:space="preserve"> </w:t>
      </w:r>
      <w:r w:rsidRPr="0040009C">
        <w:rPr>
          <w:b/>
          <w:bCs/>
        </w:rPr>
        <w:t>RMSE</w:t>
      </w:r>
      <w:r>
        <w:t>: Root mean square error</w:t>
      </w:r>
    </w:p>
  </w:footnote>
  <w:footnote w:id="4">
    <w:p w14:paraId="6D0CB7C1" w14:textId="15ABCF0D" w:rsidR="0040009C" w:rsidRDefault="0040009C">
      <w:pPr>
        <w:pStyle w:val="FootnoteText"/>
      </w:pPr>
      <w:r>
        <w:rPr>
          <w:rStyle w:val="FootnoteReference"/>
        </w:rPr>
        <w:footnoteRef/>
      </w:r>
      <w:r>
        <w:t xml:space="preserve"> </w:t>
      </w:r>
      <w:r w:rsidRPr="0040009C">
        <w:rPr>
          <w:b/>
          <w:bCs/>
        </w:rPr>
        <w:t>MAPE</w:t>
      </w:r>
      <w:r>
        <w:t>: Mean absolute percentage error</w:t>
      </w:r>
    </w:p>
  </w:footnote>
  <w:footnote w:id="5">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652326A"/>
    <w:multiLevelType w:val="hybridMultilevel"/>
    <w:tmpl w:val="7BFAC6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24C84591"/>
    <w:multiLevelType w:val="hybridMultilevel"/>
    <w:tmpl w:val="03CE79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34416275"/>
    <w:multiLevelType w:val="hybridMultilevel"/>
    <w:tmpl w:val="D232566A"/>
    <w:lvl w:ilvl="0" w:tplc="44090005">
      <w:start w:val="1"/>
      <w:numFmt w:val="bullet"/>
      <w:lvlText w:val=""/>
      <w:lvlJc w:val="left"/>
      <w:pPr>
        <w:ind w:left="1080" w:hanging="360"/>
      </w:pPr>
      <w:rPr>
        <w:rFonts w:ascii="Wingdings" w:hAnsi="Wingdings"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8" w15:restartNumberingAfterBreak="0">
    <w:nsid w:val="35036C93"/>
    <w:multiLevelType w:val="hybridMultilevel"/>
    <w:tmpl w:val="200CEFC6"/>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9" w15:restartNumberingAfterBreak="0">
    <w:nsid w:val="370036C2"/>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90B0A8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B4208F5"/>
    <w:multiLevelType w:val="hybridMultilevel"/>
    <w:tmpl w:val="9BD276D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B585AAD"/>
    <w:multiLevelType w:val="hybridMultilevel"/>
    <w:tmpl w:val="D2D82D8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D774D3F"/>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78C1ADC"/>
    <w:multiLevelType w:val="hybridMultilevel"/>
    <w:tmpl w:val="34F4016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D1A3479"/>
    <w:multiLevelType w:val="hybridMultilevel"/>
    <w:tmpl w:val="71E03A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50965FF8"/>
    <w:multiLevelType w:val="hybridMultilevel"/>
    <w:tmpl w:val="4198D228"/>
    <w:lvl w:ilvl="0" w:tplc="4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56652890"/>
    <w:multiLevelType w:val="hybridMultilevel"/>
    <w:tmpl w:val="89AC1C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58824DF6"/>
    <w:multiLevelType w:val="hybridMultilevel"/>
    <w:tmpl w:val="CBEA443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5D460D00"/>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6" w15:restartNumberingAfterBreak="0">
    <w:nsid w:val="6DF05501"/>
    <w:multiLevelType w:val="hybridMultilevel"/>
    <w:tmpl w:val="1E0067B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9" w15:restartNumberingAfterBreak="0">
    <w:nsid w:val="7C6E4BF9"/>
    <w:multiLevelType w:val="hybridMultilevel"/>
    <w:tmpl w:val="9AF2D5C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422532857">
    <w:abstractNumId w:val="5"/>
  </w:num>
  <w:num w:numId="2" w16cid:durableId="1890915732">
    <w:abstractNumId w:val="22"/>
  </w:num>
  <w:num w:numId="3" w16cid:durableId="495653598">
    <w:abstractNumId w:val="2"/>
  </w:num>
  <w:num w:numId="4" w16cid:durableId="543252947">
    <w:abstractNumId w:val="4"/>
  </w:num>
  <w:num w:numId="5" w16cid:durableId="2012677018">
    <w:abstractNumId w:val="16"/>
  </w:num>
  <w:num w:numId="6" w16cid:durableId="1749880287">
    <w:abstractNumId w:val="20"/>
  </w:num>
  <w:num w:numId="7" w16cid:durableId="2025666564">
    <w:abstractNumId w:val="6"/>
  </w:num>
  <w:num w:numId="8" w16cid:durableId="1301305275">
    <w:abstractNumId w:val="23"/>
  </w:num>
  <w:num w:numId="9" w16cid:durableId="757943127">
    <w:abstractNumId w:val="1"/>
  </w:num>
  <w:num w:numId="10" w16cid:durableId="2000039238">
    <w:abstractNumId w:val="17"/>
  </w:num>
  <w:num w:numId="11" w16cid:durableId="599067786">
    <w:abstractNumId w:val="13"/>
  </w:num>
  <w:num w:numId="12" w16cid:durableId="1539704320">
    <w:abstractNumId w:val="18"/>
  </w:num>
  <w:num w:numId="13" w16cid:durableId="1536238043">
    <w:abstractNumId w:val="28"/>
  </w:num>
  <w:num w:numId="14" w16cid:durableId="374894432">
    <w:abstractNumId w:val="27"/>
  </w:num>
  <w:num w:numId="15" w16cid:durableId="1580749025">
    <w:abstractNumId w:val="3"/>
  </w:num>
  <w:num w:numId="16" w16cid:durableId="199784214">
    <w:abstractNumId w:val="19"/>
  </w:num>
  <w:num w:numId="17" w16cid:durableId="955872364">
    <w:abstractNumId w:val="8"/>
  </w:num>
  <w:num w:numId="18" w16cid:durableId="967667874">
    <w:abstractNumId w:val="7"/>
  </w:num>
  <w:num w:numId="19" w16cid:durableId="614799802">
    <w:abstractNumId w:val="14"/>
  </w:num>
  <w:num w:numId="20" w16cid:durableId="1642416120">
    <w:abstractNumId w:val="24"/>
  </w:num>
  <w:num w:numId="21" w16cid:durableId="1759324072">
    <w:abstractNumId w:val="9"/>
  </w:num>
  <w:num w:numId="22" w16cid:durableId="25646602">
    <w:abstractNumId w:val="10"/>
  </w:num>
  <w:num w:numId="23" w16cid:durableId="1195656131">
    <w:abstractNumId w:val="25"/>
  </w:num>
  <w:num w:numId="24" w16cid:durableId="53047837">
    <w:abstractNumId w:val="0"/>
  </w:num>
  <w:num w:numId="25" w16cid:durableId="2045011129">
    <w:abstractNumId w:val="21"/>
  </w:num>
  <w:num w:numId="26" w16cid:durableId="177546009">
    <w:abstractNumId w:val="11"/>
  </w:num>
  <w:num w:numId="27" w16cid:durableId="1998262504">
    <w:abstractNumId w:val="15"/>
  </w:num>
  <w:num w:numId="28" w16cid:durableId="1424453698">
    <w:abstractNumId w:val="26"/>
  </w:num>
  <w:num w:numId="29" w16cid:durableId="1912235151">
    <w:abstractNumId w:val="29"/>
  </w:num>
  <w:num w:numId="30" w16cid:durableId="584530969">
    <w:abstractNumId w:val="1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0D0D"/>
    <w:rsid w:val="00001AA8"/>
    <w:rsid w:val="00001F80"/>
    <w:rsid w:val="00002C18"/>
    <w:rsid w:val="000030B4"/>
    <w:rsid w:val="00004E31"/>
    <w:rsid w:val="000068C1"/>
    <w:rsid w:val="00020586"/>
    <w:rsid w:val="00020CC2"/>
    <w:rsid w:val="00023688"/>
    <w:rsid w:val="00026E59"/>
    <w:rsid w:val="00030C66"/>
    <w:rsid w:val="00033777"/>
    <w:rsid w:val="000358F7"/>
    <w:rsid w:val="00036C95"/>
    <w:rsid w:val="000370F9"/>
    <w:rsid w:val="00040728"/>
    <w:rsid w:val="000440F9"/>
    <w:rsid w:val="00046786"/>
    <w:rsid w:val="00050C9A"/>
    <w:rsid w:val="00050D3A"/>
    <w:rsid w:val="00052656"/>
    <w:rsid w:val="00063F69"/>
    <w:rsid w:val="000648A9"/>
    <w:rsid w:val="00064A77"/>
    <w:rsid w:val="0006628B"/>
    <w:rsid w:val="00067C39"/>
    <w:rsid w:val="00082CFA"/>
    <w:rsid w:val="00083D8D"/>
    <w:rsid w:val="00084778"/>
    <w:rsid w:val="0009106B"/>
    <w:rsid w:val="00091E5D"/>
    <w:rsid w:val="00091FA6"/>
    <w:rsid w:val="00092152"/>
    <w:rsid w:val="00092FF2"/>
    <w:rsid w:val="00096B40"/>
    <w:rsid w:val="000A2C25"/>
    <w:rsid w:val="000A4A16"/>
    <w:rsid w:val="000A5595"/>
    <w:rsid w:val="000B16C8"/>
    <w:rsid w:val="000B4575"/>
    <w:rsid w:val="000B5F6C"/>
    <w:rsid w:val="000B7A6C"/>
    <w:rsid w:val="000C32D3"/>
    <w:rsid w:val="000C36A9"/>
    <w:rsid w:val="000C6D06"/>
    <w:rsid w:val="000C7BF7"/>
    <w:rsid w:val="000D229E"/>
    <w:rsid w:val="000E0919"/>
    <w:rsid w:val="000E1B97"/>
    <w:rsid w:val="000E288F"/>
    <w:rsid w:val="000E4719"/>
    <w:rsid w:val="000E4AB0"/>
    <w:rsid w:val="000E6067"/>
    <w:rsid w:val="000F0A91"/>
    <w:rsid w:val="0010066F"/>
    <w:rsid w:val="00103B7C"/>
    <w:rsid w:val="0010507D"/>
    <w:rsid w:val="001059FE"/>
    <w:rsid w:val="00113860"/>
    <w:rsid w:val="001157FA"/>
    <w:rsid w:val="001238C7"/>
    <w:rsid w:val="0012711B"/>
    <w:rsid w:val="00130C05"/>
    <w:rsid w:val="00132E3D"/>
    <w:rsid w:val="00133A4F"/>
    <w:rsid w:val="00133CC8"/>
    <w:rsid w:val="00140854"/>
    <w:rsid w:val="001419AD"/>
    <w:rsid w:val="00142527"/>
    <w:rsid w:val="001461D2"/>
    <w:rsid w:val="00146812"/>
    <w:rsid w:val="00150D21"/>
    <w:rsid w:val="001535F8"/>
    <w:rsid w:val="00153CA7"/>
    <w:rsid w:val="00154FB2"/>
    <w:rsid w:val="001601DA"/>
    <w:rsid w:val="00160BA6"/>
    <w:rsid w:val="00160ECF"/>
    <w:rsid w:val="0016115B"/>
    <w:rsid w:val="0016122A"/>
    <w:rsid w:val="001652AF"/>
    <w:rsid w:val="00166559"/>
    <w:rsid w:val="001674E5"/>
    <w:rsid w:val="00171C63"/>
    <w:rsid w:val="00176800"/>
    <w:rsid w:val="00180AC9"/>
    <w:rsid w:val="00183603"/>
    <w:rsid w:val="00184CC5"/>
    <w:rsid w:val="001865A6"/>
    <w:rsid w:val="00187BD0"/>
    <w:rsid w:val="00190069"/>
    <w:rsid w:val="00196E45"/>
    <w:rsid w:val="00197594"/>
    <w:rsid w:val="001A0213"/>
    <w:rsid w:val="001A0670"/>
    <w:rsid w:val="001A1692"/>
    <w:rsid w:val="001B158A"/>
    <w:rsid w:val="001B19D6"/>
    <w:rsid w:val="001B5BE7"/>
    <w:rsid w:val="001B6A91"/>
    <w:rsid w:val="001B771C"/>
    <w:rsid w:val="001C0EB1"/>
    <w:rsid w:val="001C1A32"/>
    <w:rsid w:val="001C486D"/>
    <w:rsid w:val="001C794D"/>
    <w:rsid w:val="001D0C3B"/>
    <w:rsid w:val="001D0FAA"/>
    <w:rsid w:val="001D34FB"/>
    <w:rsid w:val="001D3CDE"/>
    <w:rsid w:val="001D58A5"/>
    <w:rsid w:val="001E16CA"/>
    <w:rsid w:val="001E2AE1"/>
    <w:rsid w:val="001E60BE"/>
    <w:rsid w:val="001F35DC"/>
    <w:rsid w:val="001F4212"/>
    <w:rsid w:val="001F700A"/>
    <w:rsid w:val="00200181"/>
    <w:rsid w:val="002008F5"/>
    <w:rsid w:val="00202159"/>
    <w:rsid w:val="002021CF"/>
    <w:rsid w:val="00203E17"/>
    <w:rsid w:val="00206529"/>
    <w:rsid w:val="00207AC7"/>
    <w:rsid w:val="00210498"/>
    <w:rsid w:val="002109B6"/>
    <w:rsid w:val="00210DC9"/>
    <w:rsid w:val="00214016"/>
    <w:rsid w:val="00216E1B"/>
    <w:rsid w:val="00227B69"/>
    <w:rsid w:val="002319F5"/>
    <w:rsid w:val="00235D00"/>
    <w:rsid w:val="00241443"/>
    <w:rsid w:val="00247FD7"/>
    <w:rsid w:val="00252A93"/>
    <w:rsid w:val="0026078F"/>
    <w:rsid w:val="00261EDE"/>
    <w:rsid w:val="00267FD6"/>
    <w:rsid w:val="002713A6"/>
    <w:rsid w:val="00271C5C"/>
    <w:rsid w:val="00272BD7"/>
    <w:rsid w:val="00275A97"/>
    <w:rsid w:val="002765AF"/>
    <w:rsid w:val="00276EFF"/>
    <w:rsid w:val="00280CB0"/>
    <w:rsid w:val="00284999"/>
    <w:rsid w:val="00285767"/>
    <w:rsid w:val="0029205C"/>
    <w:rsid w:val="002940A9"/>
    <w:rsid w:val="002946CB"/>
    <w:rsid w:val="00297411"/>
    <w:rsid w:val="002A105B"/>
    <w:rsid w:val="002A15A7"/>
    <w:rsid w:val="002B0B7B"/>
    <w:rsid w:val="002B3084"/>
    <w:rsid w:val="002B684A"/>
    <w:rsid w:val="002C1F8D"/>
    <w:rsid w:val="002C288B"/>
    <w:rsid w:val="002C61C6"/>
    <w:rsid w:val="002C6B6D"/>
    <w:rsid w:val="002D21AA"/>
    <w:rsid w:val="002D40B9"/>
    <w:rsid w:val="002D4B5B"/>
    <w:rsid w:val="002D6EEF"/>
    <w:rsid w:val="002E327E"/>
    <w:rsid w:val="002E7FB3"/>
    <w:rsid w:val="002F2C8F"/>
    <w:rsid w:val="002F3771"/>
    <w:rsid w:val="002F762B"/>
    <w:rsid w:val="00301386"/>
    <w:rsid w:val="0030201A"/>
    <w:rsid w:val="003021E3"/>
    <w:rsid w:val="00305371"/>
    <w:rsid w:val="0030640D"/>
    <w:rsid w:val="003064DD"/>
    <w:rsid w:val="0030745C"/>
    <w:rsid w:val="00312EFA"/>
    <w:rsid w:val="00313854"/>
    <w:rsid w:val="003152FE"/>
    <w:rsid w:val="003210C1"/>
    <w:rsid w:val="0032444B"/>
    <w:rsid w:val="003246B0"/>
    <w:rsid w:val="00327E1B"/>
    <w:rsid w:val="00330086"/>
    <w:rsid w:val="00332BF5"/>
    <w:rsid w:val="00337704"/>
    <w:rsid w:val="00340257"/>
    <w:rsid w:val="003414DC"/>
    <w:rsid w:val="003431C4"/>
    <w:rsid w:val="00347B24"/>
    <w:rsid w:val="00350665"/>
    <w:rsid w:val="00351C88"/>
    <w:rsid w:val="003523F2"/>
    <w:rsid w:val="00355418"/>
    <w:rsid w:val="00355937"/>
    <w:rsid w:val="0036124B"/>
    <w:rsid w:val="003721D3"/>
    <w:rsid w:val="003779A9"/>
    <w:rsid w:val="0038003E"/>
    <w:rsid w:val="00383BD9"/>
    <w:rsid w:val="00385493"/>
    <w:rsid w:val="0038551B"/>
    <w:rsid w:val="003870B4"/>
    <w:rsid w:val="00390074"/>
    <w:rsid w:val="003928E9"/>
    <w:rsid w:val="00394D96"/>
    <w:rsid w:val="003A1331"/>
    <w:rsid w:val="003A13C0"/>
    <w:rsid w:val="003A23C2"/>
    <w:rsid w:val="003A5423"/>
    <w:rsid w:val="003A6D6B"/>
    <w:rsid w:val="003A7275"/>
    <w:rsid w:val="003B411E"/>
    <w:rsid w:val="003B44FD"/>
    <w:rsid w:val="003B5765"/>
    <w:rsid w:val="003C4422"/>
    <w:rsid w:val="003C4B86"/>
    <w:rsid w:val="003C4CBC"/>
    <w:rsid w:val="003C6328"/>
    <w:rsid w:val="003C7D17"/>
    <w:rsid w:val="003D1A1A"/>
    <w:rsid w:val="003D1A6A"/>
    <w:rsid w:val="003D259C"/>
    <w:rsid w:val="003D2AC6"/>
    <w:rsid w:val="003D3317"/>
    <w:rsid w:val="003D3D0C"/>
    <w:rsid w:val="003D44AE"/>
    <w:rsid w:val="003E0584"/>
    <w:rsid w:val="003E11BE"/>
    <w:rsid w:val="003E2283"/>
    <w:rsid w:val="003E2922"/>
    <w:rsid w:val="003E3D0B"/>
    <w:rsid w:val="003E42CE"/>
    <w:rsid w:val="003E5029"/>
    <w:rsid w:val="003E5B18"/>
    <w:rsid w:val="003E634C"/>
    <w:rsid w:val="003F0974"/>
    <w:rsid w:val="003F303F"/>
    <w:rsid w:val="003F6461"/>
    <w:rsid w:val="0040009C"/>
    <w:rsid w:val="00400727"/>
    <w:rsid w:val="004010AE"/>
    <w:rsid w:val="00401C15"/>
    <w:rsid w:val="004030F8"/>
    <w:rsid w:val="004038DA"/>
    <w:rsid w:val="004052F0"/>
    <w:rsid w:val="0040672C"/>
    <w:rsid w:val="00417658"/>
    <w:rsid w:val="00422CE4"/>
    <w:rsid w:val="00427E36"/>
    <w:rsid w:val="00430DF2"/>
    <w:rsid w:val="004332B3"/>
    <w:rsid w:val="004340FD"/>
    <w:rsid w:val="004376CA"/>
    <w:rsid w:val="0044045A"/>
    <w:rsid w:val="00442BD4"/>
    <w:rsid w:val="00443E31"/>
    <w:rsid w:val="00444489"/>
    <w:rsid w:val="00445F21"/>
    <w:rsid w:val="004503F4"/>
    <w:rsid w:val="00463D96"/>
    <w:rsid w:val="004642D6"/>
    <w:rsid w:val="00472AF8"/>
    <w:rsid w:val="00480396"/>
    <w:rsid w:val="00484921"/>
    <w:rsid w:val="00487ABA"/>
    <w:rsid w:val="00490FB1"/>
    <w:rsid w:val="00491630"/>
    <w:rsid w:val="00491AEC"/>
    <w:rsid w:val="0049317C"/>
    <w:rsid w:val="00495C6B"/>
    <w:rsid w:val="004A5929"/>
    <w:rsid w:val="004A660E"/>
    <w:rsid w:val="004A7EEE"/>
    <w:rsid w:val="004B1027"/>
    <w:rsid w:val="004B1677"/>
    <w:rsid w:val="004B2515"/>
    <w:rsid w:val="004B2B3C"/>
    <w:rsid w:val="004B4D88"/>
    <w:rsid w:val="004C1540"/>
    <w:rsid w:val="004C42FD"/>
    <w:rsid w:val="004C4A13"/>
    <w:rsid w:val="004C5989"/>
    <w:rsid w:val="004C5ED5"/>
    <w:rsid w:val="004C7CDD"/>
    <w:rsid w:val="004D051D"/>
    <w:rsid w:val="004D4432"/>
    <w:rsid w:val="004D763D"/>
    <w:rsid w:val="004E20DC"/>
    <w:rsid w:val="004E36E0"/>
    <w:rsid w:val="004E3EF6"/>
    <w:rsid w:val="004E70AD"/>
    <w:rsid w:val="004F1A6B"/>
    <w:rsid w:val="004F6B2F"/>
    <w:rsid w:val="0050272D"/>
    <w:rsid w:val="0050493E"/>
    <w:rsid w:val="0050632E"/>
    <w:rsid w:val="00507030"/>
    <w:rsid w:val="00510E8F"/>
    <w:rsid w:val="005149E2"/>
    <w:rsid w:val="00517D0E"/>
    <w:rsid w:val="00522F64"/>
    <w:rsid w:val="005255BC"/>
    <w:rsid w:val="00530E02"/>
    <w:rsid w:val="00535482"/>
    <w:rsid w:val="005376AA"/>
    <w:rsid w:val="00542090"/>
    <w:rsid w:val="005464CE"/>
    <w:rsid w:val="00552C37"/>
    <w:rsid w:val="00555EA9"/>
    <w:rsid w:val="00556D0C"/>
    <w:rsid w:val="005607A3"/>
    <w:rsid w:val="00560890"/>
    <w:rsid w:val="0057103F"/>
    <w:rsid w:val="005712F7"/>
    <w:rsid w:val="00573CB2"/>
    <w:rsid w:val="00577FD7"/>
    <w:rsid w:val="00580D53"/>
    <w:rsid w:val="005868D0"/>
    <w:rsid w:val="00586E99"/>
    <w:rsid w:val="00590DED"/>
    <w:rsid w:val="00595098"/>
    <w:rsid w:val="005968C0"/>
    <w:rsid w:val="00596CDB"/>
    <w:rsid w:val="00597392"/>
    <w:rsid w:val="005A1513"/>
    <w:rsid w:val="005A4ADA"/>
    <w:rsid w:val="005B0BD0"/>
    <w:rsid w:val="005B0CA1"/>
    <w:rsid w:val="005B0DD3"/>
    <w:rsid w:val="005B21CE"/>
    <w:rsid w:val="005B3203"/>
    <w:rsid w:val="005B3440"/>
    <w:rsid w:val="005C0055"/>
    <w:rsid w:val="005C23CC"/>
    <w:rsid w:val="005D1354"/>
    <w:rsid w:val="005D2D4A"/>
    <w:rsid w:val="005D3C6E"/>
    <w:rsid w:val="005D4B89"/>
    <w:rsid w:val="005E1025"/>
    <w:rsid w:val="005E1173"/>
    <w:rsid w:val="005E1FED"/>
    <w:rsid w:val="005E267F"/>
    <w:rsid w:val="005E3EB5"/>
    <w:rsid w:val="005F2A44"/>
    <w:rsid w:val="005F4FE1"/>
    <w:rsid w:val="00600FDF"/>
    <w:rsid w:val="00610214"/>
    <w:rsid w:val="0061161E"/>
    <w:rsid w:val="00616D32"/>
    <w:rsid w:val="0062152E"/>
    <w:rsid w:val="006258A0"/>
    <w:rsid w:val="00635923"/>
    <w:rsid w:val="00641E9D"/>
    <w:rsid w:val="00643679"/>
    <w:rsid w:val="0064513E"/>
    <w:rsid w:val="00650C7F"/>
    <w:rsid w:val="00655E39"/>
    <w:rsid w:val="00657780"/>
    <w:rsid w:val="00662501"/>
    <w:rsid w:val="00662D3A"/>
    <w:rsid w:val="0066350A"/>
    <w:rsid w:val="00663C8C"/>
    <w:rsid w:val="00664D12"/>
    <w:rsid w:val="00664D4C"/>
    <w:rsid w:val="006678AE"/>
    <w:rsid w:val="00672170"/>
    <w:rsid w:val="0067380B"/>
    <w:rsid w:val="00673DDE"/>
    <w:rsid w:val="00675D57"/>
    <w:rsid w:val="00684749"/>
    <w:rsid w:val="0068669B"/>
    <w:rsid w:val="00697FB7"/>
    <w:rsid w:val="006A1A78"/>
    <w:rsid w:val="006A3C0E"/>
    <w:rsid w:val="006A5905"/>
    <w:rsid w:val="006B010D"/>
    <w:rsid w:val="006B4B70"/>
    <w:rsid w:val="006B5292"/>
    <w:rsid w:val="006C1D7F"/>
    <w:rsid w:val="006C4D95"/>
    <w:rsid w:val="006D0491"/>
    <w:rsid w:val="006D500B"/>
    <w:rsid w:val="006D6D0E"/>
    <w:rsid w:val="006E03AB"/>
    <w:rsid w:val="006E0F47"/>
    <w:rsid w:val="006E2CEB"/>
    <w:rsid w:val="006E32A4"/>
    <w:rsid w:val="006E4329"/>
    <w:rsid w:val="006E6328"/>
    <w:rsid w:val="006E677E"/>
    <w:rsid w:val="006E75D1"/>
    <w:rsid w:val="006E7F87"/>
    <w:rsid w:val="006F1558"/>
    <w:rsid w:val="006F21BA"/>
    <w:rsid w:val="006F2C1B"/>
    <w:rsid w:val="006F2D48"/>
    <w:rsid w:val="006F4FCA"/>
    <w:rsid w:val="006F6098"/>
    <w:rsid w:val="007000BF"/>
    <w:rsid w:val="007008E0"/>
    <w:rsid w:val="00701DFE"/>
    <w:rsid w:val="00702321"/>
    <w:rsid w:val="00703936"/>
    <w:rsid w:val="007054C5"/>
    <w:rsid w:val="00710704"/>
    <w:rsid w:val="00712EC8"/>
    <w:rsid w:val="00713195"/>
    <w:rsid w:val="0071376A"/>
    <w:rsid w:val="00717505"/>
    <w:rsid w:val="0072456B"/>
    <w:rsid w:val="00724CA8"/>
    <w:rsid w:val="007250EE"/>
    <w:rsid w:val="00727489"/>
    <w:rsid w:val="00732A94"/>
    <w:rsid w:val="007339CD"/>
    <w:rsid w:val="007368E2"/>
    <w:rsid w:val="00742161"/>
    <w:rsid w:val="00743D08"/>
    <w:rsid w:val="007441B1"/>
    <w:rsid w:val="00750A89"/>
    <w:rsid w:val="007516ED"/>
    <w:rsid w:val="007560D5"/>
    <w:rsid w:val="00756329"/>
    <w:rsid w:val="00756670"/>
    <w:rsid w:val="00756D39"/>
    <w:rsid w:val="00760756"/>
    <w:rsid w:val="007635FF"/>
    <w:rsid w:val="00765625"/>
    <w:rsid w:val="00771C1B"/>
    <w:rsid w:val="00773B69"/>
    <w:rsid w:val="00775A4D"/>
    <w:rsid w:val="0077669B"/>
    <w:rsid w:val="007770EF"/>
    <w:rsid w:val="0078126B"/>
    <w:rsid w:val="007825E5"/>
    <w:rsid w:val="0078424E"/>
    <w:rsid w:val="00786A26"/>
    <w:rsid w:val="00786D47"/>
    <w:rsid w:val="007927F0"/>
    <w:rsid w:val="007947CC"/>
    <w:rsid w:val="007970E1"/>
    <w:rsid w:val="007A454B"/>
    <w:rsid w:val="007A4850"/>
    <w:rsid w:val="007B08CF"/>
    <w:rsid w:val="007B4D3D"/>
    <w:rsid w:val="007B6608"/>
    <w:rsid w:val="007B7DA7"/>
    <w:rsid w:val="007C1C67"/>
    <w:rsid w:val="007C1CBE"/>
    <w:rsid w:val="007C1F62"/>
    <w:rsid w:val="007C3DE1"/>
    <w:rsid w:val="007C56C8"/>
    <w:rsid w:val="007C57BA"/>
    <w:rsid w:val="007C7EC1"/>
    <w:rsid w:val="007D082E"/>
    <w:rsid w:val="007D5F0D"/>
    <w:rsid w:val="007D71F1"/>
    <w:rsid w:val="007D79F1"/>
    <w:rsid w:val="007E1AEC"/>
    <w:rsid w:val="007E4530"/>
    <w:rsid w:val="007E6518"/>
    <w:rsid w:val="007E78C3"/>
    <w:rsid w:val="007E797F"/>
    <w:rsid w:val="007F0CFC"/>
    <w:rsid w:val="00807A33"/>
    <w:rsid w:val="00813C10"/>
    <w:rsid w:val="00821020"/>
    <w:rsid w:val="00825C6F"/>
    <w:rsid w:val="00826335"/>
    <w:rsid w:val="0082640C"/>
    <w:rsid w:val="0082765A"/>
    <w:rsid w:val="00830411"/>
    <w:rsid w:val="00831A19"/>
    <w:rsid w:val="008358BA"/>
    <w:rsid w:val="00844910"/>
    <w:rsid w:val="00845B3D"/>
    <w:rsid w:val="00846618"/>
    <w:rsid w:val="00846B09"/>
    <w:rsid w:val="00847D77"/>
    <w:rsid w:val="008525D2"/>
    <w:rsid w:val="00854A90"/>
    <w:rsid w:val="00856AF6"/>
    <w:rsid w:val="00862F89"/>
    <w:rsid w:val="0086331C"/>
    <w:rsid w:val="008667AD"/>
    <w:rsid w:val="00870375"/>
    <w:rsid w:val="00870A8E"/>
    <w:rsid w:val="0087189C"/>
    <w:rsid w:val="008719FB"/>
    <w:rsid w:val="00874AC3"/>
    <w:rsid w:val="00876C99"/>
    <w:rsid w:val="008829CA"/>
    <w:rsid w:val="00885551"/>
    <w:rsid w:val="00886D13"/>
    <w:rsid w:val="008919B9"/>
    <w:rsid w:val="0089361D"/>
    <w:rsid w:val="00894A83"/>
    <w:rsid w:val="008A34C8"/>
    <w:rsid w:val="008A376A"/>
    <w:rsid w:val="008A3E2A"/>
    <w:rsid w:val="008A43B8"/>
    <w:rsid w:val="008B21D2"/>
    <w:rsid w:val="008B2B97"/>
    <w:rsid w:val="008B4A2F"/>
    <w:rsid w:val="008B7D20"/>
    <w:rsid w:val="008C2B76"/>
    <w:rsid w:val="008C3638"/>
    <w:rsid w:val="008C523C"/>
    <w:rsid w:val="008D142D"/>
    <w:rsid w:val="008D15DF"/>
    <w:rsid w:val="008D3FF0"/>
    <w:rsid w:val="008D653A"/>
    <w:rsid w:val="008D7402"/>
    <w:rsid w:val="008D7D94"/>
    <w:rsid w:val="008E052D"/>
    <w:rsid w:val="008E0CBD"/>
    <w:rsid w:val="008E2269"/>
    <w:rsid w:val="008E32D3"/>
    <w:rsid w:val="008E662D"/>
    <w:rsid w:val="008F053F"/>
    <w:rsid w:val="008F0B43"/>
    <w:rsid w:val="008F3112"/>
    <w:rsid w:val="009003F7"/>
    <w:rsid w:val="00900BFD"/>
    <w:rsid w:val="0090390B"/>
    <w:rsid w:val="0090707B"/>
    <w:rsid w:val="009144B5"/>
    <w:rsid w:val="00914F0B"/>
    <w:rsid w:val="009153C9"/>
    <w:rsid w:val="009162B3"/>
    <w:rsid w:val="00916A7C"/>
    <w:rsid w:val="00916D36"/>
    <w:rsid w:val="00916FB1"/>
    <w:rsid w:val="009202F4"/>
    <w:rsid w:val="00921040"/>
    <w:rsid w:val="0092538B"/>
    <w:rsid w:val="00930CB4"/>
    <w:rsid w:val="00932347"/>
    <w:rsid w:val="00932F57"/>
    <w:rsid w:val="0093407F"/>
    <w:rsid w:val="0093430D"/>
    <w:rsid w:val="00936F40"/>
    <w:rsid w:val="00937633"/>
    <w:rsid w:val="00942108"/>
    <w:rsid w:val="00942547"/>
    <w:rsid w:val="009434AF"/>
    <w:rsid w:val="00944E03"/>
    <w:rsid w:val="009467A5"/>
    <w:rsid w:val="00946EC9"/>
    <w:rsid w:val="00951105"/>
    <w:rsid w:val="00953A72"/>
    <w:rsid w:val="0095418E"/>
    <w:rsid w:val="009561D8"/>
    <w:rsid w:val="009577C7"/>
    <w:rsid w:val="00961537"/>
    <w:rsid w:val="00962A42"/>
    <w:rsid w:val="0096621B"/>
    <w:rsid w:val="0097157B"/>
    <w:rsid w:val="0097276E"/>
    <w:rsid w:val="00972DEE"/>
    <w:rsid w:val="0097458F"/>
    <w:rsid w:val="009748AE"/>
    <w:rsid w:val="00976C51"/>
    <w:rsid w:val="00980393"/>
    <w:rsid w:val="00981888"/>
    <w:rsid w:val="0098659D"/>
    <w:rsid w:val="009905B4"/>
    <w:rsid w:val="00991EB6"/>
    <w:rsid w:val="00994B18"/>
    <w:rsid w:val="0099646F"/>
    <w:rsid w:val="009A06A7"/>
    <w:rsid w:val="009A13A2"/>
    <w:rsid w:val="009A35C9"/>
    <w:rsid w:val="009A53AB"/>
    <w:rsid w:val="009A654D"/>
    <w:rsid w:val="009A7816"/>
    <w:rsid w:val="009C1FE9"/>
    <w:rsid w:val="009C2312"/>
    <w:rsid w:val="009C2B2C"/>
    <w:rsid w:val="009C493D"/>
    <w:rsid w:val="009C4ACD"/>
    <w:rsid w:val="009C6FB6"/>
    <w:rsid w:val="009D1AD8"/>
    <w:rsid w:val="009D2E86"/>
    <w:rsid w:val="009E032C"/>
    <w:rsid w:val="009E264A"/>
    <w:rsid w:val="009F0E76"/>
    <w:rsid w:val="009F2EC3"/>
    <w:rsid w:val="00A0064E"/>
    <w:rsid w:val="00A0354D"/>
    <w:rsid w:val="00A103AB"/>
    <w:rsid w:val="00A10891"/>
    <w:rsid w:val="00A124B0"/>
    <w:rsid w:val="00A14B9E"/>
    <w:rsid w:val="00A16D7B"/>
    <w:rsid w:val="00A24D64"/>
    <w:rsid w:val="00A27795"/>
    <w:rsid w:val="00A301AA"/>
    <w:rsid w:val="00A313DD"/>
    <w:rsid w:val="00A37B69"/>
    <w:rsid w:val="00A401F1"/>
    <w:rsid w:val="00A43983"/>
    <w:rsid w:val="00A5200B"/>
    <w:rsid w:val="00A53E42"/>
    <w:rsid w:val="00A55A06"/>
    <w:rsid w:val="00A61992"/>
    <w:rsid w:val="00A62224"/>
    <w:rsid w:val="00A62538"/>
    <w:rsid w:val="00A6272F"/>
    <w:rsid w:val="00A63F78"/>
    <w:rsid w:val="00A66264"/>
    <w:rsid w:val="00A71581"/>
    <w:rsid w:val="00A71D56"/>
    <w:rsid w:val="00A71D8B"/>
    <w:rsid w:val="00A761E0"/>
    <w:rsid w:val="00A766ED"/>
    <w:rsid w:val="00A80B10"/>
    <w:rsid w:val="00A835EA"/>
    <w:rsid w:val="00A83EC9"/>
    <w:rsid w:val="00A84AC4"/>
    <w:rsid w:val="00A86A5E"/>
    <w:rsid w:val="00A958CC"/>
    <w:rsid w:val="00AA7F5E"/>
    <w:rsid w:val="00AB03E8"/>
    <w:rsid w:val="00AB0B7E"/>
    <w:rsid w:val="00AB1977"/>
    <w:rsid w:val="00AB28DE"/>
    <w:rsid w:val="00AB2E7D"/>
    <w:rsid w:val="00AC074F"/>
    <w:rsid w:val="00AC2BD8"/>
    <w:rsid w:val="00AC33DE"/>
    <w:rsid w:val="00AC3EE1"/>
    <w:rsid w:val="00AD2755"/>
    <w:rsid w:val="00AD4B39"/>
    <w:rsid w:val="00AD5ADB"/>
    <w:rsid w:val="00AD5EC1"/>
    <w:rsid w:val="00AE01F3"/>
    <w:rsid w:val="00AE2FE0"/>
    <w:rsid w:val="00AE367F"/>
    <w:rsid w:val="00AF00BB"/>
    <w:rsid w:val="00AF01A8"/>
    <w:rsid w:val="00AF2D2C"/>
    <w:rsid w:val="00AF461C"/>
    <w:rsid w:val="00AF6AD0"/>
    <w:rsid w:val="00AF701C"/>
    <w:rsid w:val="00AF749F"/>
    <w:rsid w:val="00B005C6"/>
    <w:rsid w:val="00B006BA"/>
    <w:rsid w:val="00B01FC7"/>
    <w:rsid w:val="00B04928"/>
    <w:rsid w:val="00B04FC1"/>
    <w:rsid w:val="00B065C3"/>
    <w:rsid w:val="00B0753E"/>
    <w:rsid w:val="00B13A4F"/>
    <w:rsid w:val="00B154B7"/>
    <w:rsid w:val="00B1711A"/>
    <w:rsid w:val="00B17CF7"/>
    <w:rsid w:val="00B17DEE"/>
    <w:rsid w:val="00B20117"/>
    <w:rsid w:val="00B20268"/>
    <w:rsid w:val="00B20942"/>
    <w:rsid w:val="00B23336"/>
    <w:rsid w:val="00B27D29"/>
    <w:rsid w:val="00B30BFB"/>
    <w:rsid w:val="00B30F06"/>
    <w:rsid w:val="00B41B45"/>
    <w:rsid w:val="00B47EB2"/>
    <w:rsid w:val="00B54FF9"/>
    <w:rsid w:val="00B561D8"/>
    <w:rsid w:val="00B57392"/>
    <w:rsid w:val="00B61D86"/>
    <w:rsid w:val="00B61E1C"/>
    <w:rsid w:val="00B62DB8"/>
    <w:rsid w:val="00B66C35"/>
    <w:rsid w:val="00B712FB"/>
    <w:rsid w:val="00B723B3"/>
    <w:rsid w:val="00B75C9F"/>
    <w:rsid w:val="00B75E59"/>
    <w:rsid w:val="00B765C7"/>
    <w:rsid w:val="00B77CE9"/>
    <w:rsid w:val="00B804E5"/>
    <w:rsid w:val="00B81BF9"/>
    <w:rsid w:val="00B8433F"/>
    <w:rsid w:val="00B85A8E"/>
    <w:rsid w:val="00B868E7"/>
    <w:rsid w:val="00B87FE7"/>
    <w:rsid w:val="00B91F84"/>
    <w:rsid w:val="00B93AF6"/>
    <w:rsid w:val="00B9660E"/>
    <w:rsid w:val="00BA1D7B"/>
    <w:rsid w:val="00BA28B2"/>
    <w:rsid w:val="00BA296D"/>
    <w:rsid w:val="00BB1766"/>
    <w:rsid w:val="00BB3E3C"/>
    <w:rsid w:val="00BB49DA"/>
    <w:rsid w:val="00BB5562"/>
    <w:rsid w:val="00BB6F32"/>
    <w:rsid w:val="00BC042B"/>
    <w:rsid w:val="00BC42E8"/>
    <w:rsid w:val="00BC44D2"/>
    <w:rsid w:val="00BD1BBF"/>
    <w:rsid w:val="00BD1C1E"/>
    <w:rsid w:val="00BD3425"/>
    <w:rsid w:val="00BD400E"/>
    <w:rsid w:val="00BD5918"/>
    <w:rsid w:val="00BD7635"/>
    <w:rsid w:val="00BE1218"/>
    <w:rsid w:val="00BE361E"/>
    <w:rsid w:val="00BE399F"/>
    <w:rsid w:val="00BF1DCD"/>
    <w:rsid w:val="00BF31ED"/>
    <w:rsid w:val="00BF5071"/>
    <w:rsid w:val="00BF5C70"/>
    <w:rsid w:val="00C023A8"/>
    <w:rsid w:val="00C0417F"/>
    <w:rsid w:val="00C047AD"/>
    <w:rsid w:val="00C06823"/>
    <w:rsid w:val="00C110C4"/>
    <w:rsid w:val="00C153E3"/>
    <w:rsid w:val="00C17718"/>
    <w:rsid w:val="00C2571F"/>
    <w:rsid w:val="00C26B21"/>
    <w:rsid w:val="00C27640"/>
    <w:rsid w:val="00C27BBC"/>
    <w:rsid w:val="00C34F51"/>
    <w:rsid w:val="00C42867"/>
    <w:rsid w:val="00C42D1E"/>
    <w:rsid w:val="00C50AD4"/>
    <w:rsid w:val="00C51122"/>
    <w:rsid w:val="00C514D4"/>
    <w:rsid w:val="00C52D4D"/>
    <w:rsid w:val="00C57208"/>
    <w:rsid w:val="00C57A13"/>
    <w:rsid w:val="00C61CB0"/>
    <w:rsid w:val="00C67400"/>
    <w:rsid w:val="00C67AA5"/>
    <w:rsid w:val="00C71932"/>
    <w:rsid w:val="00C73F97"/>
    <w:rsid w:val="00C74AD0"/>
    <w:rsid w:val="00C7720B"/>
    <w:rsid w:val="00C77475"/>
    <w:rsid w:val="00C77CA3"/>
    <w:rsid w:val="00C858E0"/>
    <w:rsid w:val="00C869BF"/>
    <w:rsid w:val="00C8701C"/>
    <w:rsid w:val="00C8721E"/>
    <w:rsid w:val="00C877E5"/>
    <w:rsid w:val="00C9001E"/>
    <w:rsid w:val="00C90389"/>
    <w:rsid w:val="00C90CE7"/>
    <w:rsid w:val="00C91503"/>
    <w:rsid w:val="00C94412"/>
    <w:rsid w:val="00C94814"/>
    <w:rsid w:val="00CA25B7"/>
    <w:rsid w:val="00CA5778"/>
    <w:rsid w:val="00CA5945"/>
    <w:rsid w:val="00CC0292"/>
    <w:rsid w:val="00CC0508"/>
    <w:rsid w:val="00CC6155"/>
    <w:rsid w:val="00CC6FC3"/>
    <w:rsid w:val="00CD11EA"/>
    <w:rsid w:val="00CD2C09"/>
    <w:rsid w:val="00CD604D"/>
    <w:rsid w:val="00CD7316"/>
    <w:rsid w:val="00CE0946"/>
    <w:rsid w:val="00CE1619"/>
    <w:rsid w:val="00CE1625"/>
    <w:rsid w:val="00CE32F8"/>
    <w:rsid w:val="00CE35FB"/>
    <w:rsid w:val="00CE3946"/>
    <w:rsid w:val="00CE7886"/>
    <w:rsid w:val="00CF00E8"/>
    <w:rsid w:val="00CF0B95"/>
    <w:rsid w:val="00CF3B0E"/>
    <w:rsid w:val="00CF470D"/>
    <w:rsid w:val="00D01F32"/>
    <w:rsid w:val="00D03A02"/>
    <w:rsid w:val="00D04AC6"/>
    <w:rsid w:val="00D05953"/>
    <w:rsid w:val="00D07E04"/>
    <w:rsid w:val="00D10CD2"/>
    <w:rsid w:val="00D131F8"/>
    <w:rsid w:val="00D14302"/>
    <w:rsid w:val="00D16FCB"/>
    <w:rsid w:val="00D218AD"/>
    <w:rsid w:val="00D21968"/>
    <w:rsid w:val="00D2254B"/>
    <w:rsid w:val="00D23B64"/>
    <w:rsid w:val="00D2537A"/>
    <w:rsid w:val="00D264FB"/>
    <w:rsid w:val="00D3500C"/>
    <w:rsid w:val="00D376C3"/>
    <w:rsid w:val="00D4192D"/>
    <w:rsid w:val="00D41AB5"/>
    <w:rsid w:val="00D500C9"/>
    <w:rsid w:val="00D523E8"/>
    <w:rsid w:val="00D565F2"/>
    <w:rsid w:val="00D56EC2"/>
    <w:rsid w:val="00D57CCB"/>
    <w:rsid w:val="00D602D6"/>
    <w:rsid w:val="00D621A9"/>
    <w:rsid w:val="00D66569"/>
    <w:rsid w:val="00D67E70"/>
    <w:rsid w:val="00D73A5F"/>
    <w:rsid w:val="00D77DFA"/>
    <w:rsid w:val="00D922F9"/>
    <w:rsid w:val="00D92332"/>
    <w:rsid w:val="00D94034"/>
    <w:rsid w:val="00D954F6"/>
    <w:rsid w:val="00DA4365"/>
    <w:rsid w:val="00DA536B"/>
    <w:rsid w:val="00DA63E7"/>
    <w:rsid w:val="00DB1281"/>
    <w:rsid w:val="00DB1F1B"/>
    <w:rsid w:val="00DB749B"/>
    <w:rsid w:val="00DC442F"/>
    <w:rsid w:val="00DC7573"/>
    <w:rsid w:val="00DD0730"/>
    <w:rsid w:val="00DD29CD"/>
    <w:rsid w:val="00DD3B8C"/>
    <w:rsid w:val="00DD3CFE"/>
    <w:rsid w:val="00DD5792"/>
    <w:rsid w:val="00DD6476"/>
    <w:rsid w:val="00DD72F4"/>
    <w:rsid w:val="00DE0F25"/>
    <w:rsid w:val="00DE20EC"/>
    <w:rsid w:val="00DE75B1"/>
    <w:rsid w:val="00DF2CC3"/>
    <w:rsid w:val="00DF3E3B"/>
    <w:rsid w:val="00DF4D4C"/>
    <w:rsid w:val="00DF541B"/>
    <w:rsid w:val="00E04CE7"/>
    <w:rsid w:val="00E06008"/>
    <w:rsid w:val="00E07D57"/>
    <w:rsid w:val="00E1152B"/>
    <w:rsid w:val="00E16562"/>
    <w:rsid w:val="00E21E69"/>
    <w:rsid w:val="00E22606"/>
    <w:rsid w:val="00E238AB"/>
    <w:rsid w:val="00E26EAB"/>
    <w:rsid w:val="00E30845"/>
    <w:rsid w:val="00E3550F"/>
    <w:rsid w:val="00E37C72"/>
    <w:rsid w:val="00E44986"/>
    <w:rsid w:val="00E47898"/>
    <w:rsid w:val="00E5304F"/>
    <w:rsid w:val="00E53BA6"/>
    <w:rsid w:val="00E56521"/>
    <w:rsid w:val="00E65EC5"/>
    <w:rsid w:val="00E660F2"/>
    <w:rsid w:val="00E66598"/>
    <w:rsid w:val="00E7248F"/>
    <w:rsid w:val="00E735C8"/>
    <w:rsid w:val="00E8095F"/>
    <w:rsid w:val="00E809CF"/>
    <w:rsid w:val="00E822E0"/>
    <w:rsid w:val="00E90248"/>
    <w:rsid w:val="00E91B2A"/>
    <w:rsid w:val="00E93827"/>
    <w:rsid w:val="00E94319"/>
    <w:rsid w:val="00E94A3B"/>
    <w:rsid w:val="00E963EB"/>
    <w:rsid w:val="00E965A2"/>
    <w:rsid w:val="00E97A4F"/>
    <w:rsid w:val="00EA24BE"/>
    <w:rsid w:val="00EA4361"/>
    <w:rsid w:val="00EA4AD8"/>
    <w:rsid w:val="00EA501A"/>
    <w:rsid w:val="00EB6E5A"/>
    <w:rsid w:val="00EB7226"/>
    <w:rsid w:val="00EC0357"/>
    <w:rsid w:val="00EC18F1"/>
    <w:rsid w:val="00EC2B42"/>
    <w:rsid w:val="00EC2D4D"/>
    <w:rsid w:val="00EC2E50"/>
    <w:rsid w:val="00EC39D2"/>
    <w:rsid w:val="00EC4675"/>
    <w:rsid w:val="00ED3717"/>
    <w:rsid w:val="00ED571D"/>
    <w:rsid w:val="00ED69E7"/>
    <w:rsid w:val="00EE4CF5"/>
    <w:rsid w:val="00EF5946"/>
    <w:rsid w:val="00EF6D0D"/>
    <w:rsid w:val="00EF7102"/>
    <w:rsid w:val="00EF7B19"/>
    <w:rsid w:val="00F01135"/>
    <w:rsid w:val="00F01321"/>
    <w:rsid w:val="00F01C53"/>
    <w:rsid w:val="00F01E04"/>
    <w:rsid w:val="00F035F8"/>
    <w:rsid w:val="00F04649"/>
    <w:rsid w:val="00F065BA"/>
    <w:rsid w:val="00F0758B"/>
    <w:rsid w:val="00F07BFE"/>
    <w:rsid w:val="00F10BAF"/>
    <w:rsid w:val="00F16741"/>
    <w:rsid w:val="00F1734B"/>
    <w:rsid w:val="00F17AD2"/>
    <w:rsid w:val="00F17DEF"/>
    <w:rsid w:val="00F20198"/>
    <w:rsid w:val="00F2128C"/>
    <w:rsid w:val="00F25813"/>
    <w:rsid w:val="00F31A0D"/>
    <w:rsid w:val="00F412CB"/>
    <w:rsid w:val="00F4231A"/>
    <w:rsid w:val="00F4242B"/>
    <w:rsid w:val="00F4345C"/>
    <w:rsid w:val="00F47121"/>
    <w:rsid w:val="00F54588"/>
    <w:rsid w:val="00F55315"/>
    <w:rsid w:val="00F56F86"/>
    <w:rsid w:val="00F62CF0"/>
    <w:rsid w:val="00F666DE"/>
    <w:rsid w:val="00F66811"/>
    <w:rsid w:val="00F6788C"/>
    <w:rsid w:val="00F71243"/>
    <w:rsid w:val="00F712E5"/>
    <w:rsid w:val="00F73F6E"/>
    <w:rsid w:val="00F74095"/>
    <w:rsid w:val="00F77A44"/>
    <w:rsid w:val="00F80C70"/>
    <w:rsid w:val="00F81F0D"/>
    <w:rsid w:val="00F8238A"/>
    <w:rsid w:val="00F83CFC"/>
    <w:rsid w:val="00F83D67"/>
    <w:rsid w:val="00F8541B"/>
    <w:rsid w:val="00F918BD"/>
    <w:rsid w:val="00F92597"/>
    <w:rsid w:val="00F927BF"/>
    <w:rsid w:val="00F9463C"/>
    <w:rsid w:val="00FA5E4A"/>
    <w:rsid w:val="00FA6F18"/>
    <w:rsid w:val="00FB41D6"/>
    <w:rsid w:val="00FB5B9A"/>
    <w:rsid w:val="00FB6F00"/>
    <w:rsid w:val="00FB71D0"/>
    <w:rsid w:val="00FC0455"/>
    <w:rsid w:val="00FC0E25"/>
    <w:rsid w:val="00FC37B0"/>
    <w:rsid w:val="00FC42BE"/>
    <w:rsid w:val="00FC4D2E"/>
    <w:rsid w:val="00FD1714"/>
    <w:rsid w:val="00FD1D42"/>
    <w:rsid w:val="00FE0556"/>
    <w:rsid w:val="00FE4605"/>
    <w:rsid w:val="00FE6449"/>
    <w:rsid w:val="00FE69DE"/>
    <w:rsid w:val="00FE7B90"/>
    <w:rsid w:val="00FE7EC6"/>
    <w:rsid w:val="00FF5AE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B9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 w:type="character" w:styleId="PlaceholderText">
    <w:name w:val="Placeholder Text"/>
    <w:basedOn w:val="DefaultParagraphFont"/>
    <w:uiPriority w:val="99"/>
    <w:semiHidden/>
    <w:rsid w:val="005B21CE"/>
    <w:rPr>
      <w:color w:val="666666"/>
    </w:rPr>
  </w:style>
  <w:style w:type="paragraph" w:styleId="NormalWeb">
    <w:name w:val="Normal (Web)"/>
    <w:basedOn w:val="Normal"/>
    <w:uiPriority w:val="99"/>
    <w:semiHidden/>
    <w:unhideWhenUsed/>
    <w:rsid w:val="00355418"/>
    <w:rPr>
      <w:rFonts w:cs="Times New Roman"/>
    </w:rPr>
  </w:style>
  <w:style w:type="paragraph" w:styleId="HTMLPreformatted">
    <w:name w:val="HTML Preformatted"/>
    <w:basedOn w:val="Normal"/>
    <w:link w:val="HTMLPreformattedChar"/>
    <w:uiPriority w:val="99"/>
    <w:semiHidden/>
    <w:unhideWhenUsed/>
    <w:rsid w:val="00DF4D4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F4D4C"/>
    <w:rPr>
      <w:rFonts w:ascii="Consolas" w:hAnsi="Consolas"/>
      <w:sz w:val="20"/>
      <w:szCs w:val="20"/>
    </w:rPr>
  </w:style>
  <w:style w:type="character" w:styleId="UnresolvedMention">
    <w:name w:val="Unresolved Mention"/>
    <w:basedOn w:val="DefaultParagraphFont"/>
    <w:uiPriority w:val="99"/>
    <w:semiHidden/>
    <w:unhideWhenUsed/>
    <w:rsid w:val="00AC3E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13407697">
      <w:bodyDiv w:val="1"/>
      <w:marLeft w:val="0"/>
      <w:marRight w:val="0"/>
      <w:marTop w:val="0"/>
      <w:marBottom w:val="0"/>
      <w:divBdr>
        <w:top w:val="none" w:sz="0" w:space="0" w:color="auto"/>
        <w:left w:val="none" w:sz="0" w:space="0" w:color="auto"/>
        <w:bottom w:val="none" w:sz="0" w:space="0" w:color="auto"/>
        <w:right w:val="none" w:sz="0" w:space="0" w:color="auto"/>
      </w:divBdr>
    </w:div>
    <w:div w:id="117992186">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38808911">
      <w:bodyDiv w:val="1"/>
      <w:marLeft w:val="0"/>
      <w:marRight w:val="0"/>
      <w:marTop w:val="0"/>
      <w:marBottom w:val="0"/>
      <w:divBdr>
        <w:top w:val="none" w:sz="0" w:space="0" w:color="auto"/>
        <w:left w:val="none" w:sz="0" w:space="0" w:color="auto"/>
        <w:bottom w:val="none" w:sz="0" w:space="0" w:color="auto"/>
        <w:right w:val="none" w:sz="0" w:space="0" w:color="auto"/>
      </w:divBdr>
    </w:div>
    <w:div w:id="150298060">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09803699">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216165946">
      <w:bodyDiv w:val="1"/>
      <w:marLeft w:val="0"/>
      <w:marRight w:val="0"/>
      <w:marTop w:val="0"/>
      <w:marBottom w:val="0"/>
      <w:divBdr>
        <w:top w:val="none" w:sz="0" w:space="0" w:color="auto"/>
        <w:left w:val="none" w:sz="0" w:space="0" w:color="auto"/>
        <w:bottom w:val="none" w:sz="0" w:space="0" w:color="auto"/>
        <w:right w:val="none" w:sz="0" w:space="0" w:color="auto"/>
      </w:divBdr>
    </w:div>
    <w:div w:id="229925141">
      <w:bodyDiv w:val="1"/>
      <w:marLeft w:val="0"/>
      <w:marRight w:val="0"/>
      <w:marTop w:val="0"/>
      <w:marBottom w:val="0"/>
      <w:divBdr>
        <w:top w:val="none" w:sz="0" w:space="0" w:color="auto"/>
        <w:left w:val="none" w:sz="0" w:space="0" w:color="auto"/>
        <w:bottom w:val="none" w:sz="0" w:space="0" w:color="auto"/>
        <w:right w:val="none" w:sz="0" w:space="0" w:color="auto"/>
      </w:divBdr>
    </w:div>
    <w:div w:id="238760566">
      <w:bodyDiv w:val="1"/>
      <w:marLeft w:val="0"/>
      <w:marRight w:val="0"/>
      <w:marTop w:val="0"/>
      <w:marBottom w:val="0"/>
      <w:divBdr>
        <w:top w:val="none" w:sz="0" w:space="0" w:color="auto"/>
        <w:left w:val="none" w:sz="0" w:space="0" w:color="auto"/>
        <w:bottom w:val="none" w:sz="0" w:space="0" w:color="auto"/>
        <w:right w:val="none" w:sz="0" w:space="0" w:color="auto"/>
      </w:divBdr>
    </w:div>
    <w:div w:id="258027730">
      <w:bodyDiv w:val="1"/>
      <w:marLeft w:val="0"/>
      <w:marRight w:val="0"/>
      <w:marTop w:val="0"/>
      <w:marBottom w:val="0"/>
      <w:divBdr>
        <w:top w:val="none" w:sz="0" w:space="0" w:color="auto"/>
        <w:left w:val="none" w:sz="0" w:space="0" w:color="auto"/>
        <w:bottom w:val="none" w:sz="0" w:space="0" w:color="auto"/>
        <w:right w:val="none" w:sz="0" w:space="0" w:color="auto"/>
      </w:divBdr>
    </w:div>
    <w:div w:id="267933735">
      <w:bodyDiv w:val="1"/>
      <w:marLeft w:val="0"/>
      <w:marRight w:val="0"/>
      <w:marTop w:val="0"/>
      <w:marBottom w:val="0"/>
      <w:divBdr>
        <w:top w:val="none" w:sz="0" w:space="0" w:color="auto"/>
        <w:left w:val="none" w:sz="0" w:space="0" w:color="auto"/>
        <w:bottom w:val="none" w:sz="0" w:space="0" w:color="auto"/>
        <w:right w:val="none" w:sz="0" w:space="0" w:color="auto"/>
      </w:divBdr>
    </w:div>
    <w:div w:id="268053702">
      <w:bodyDiv w:val="1"/>
      <w:marLeft w:val="0"/>
      <w:marRight w:val="0"/>
      <w:marTop w:val="0"/>
      <w:marBottom w:val="0"/>
      <w:divBdr>
        <w:top w:val="none" w:sz="0" w:space="0" w:color="auto"/>
        <w:left w:val="none" w:sz="0" w:space="0" w:color="auto"/>
        <w:bottom w:val="none" w:sz="0" w:space="0" w:color="auto"/>
        <w:right w:val="none" w:sz="0" w:space="0" w:color="auto"/>
      </w:divBdr>
    </w:div>
    <w:div w:id="283656116">
      <w:bodyDiv w:val="1"/>
      <w:marLeft w:val="0"/>
      <w:marRight w:val="0"/>
      <w:marTop w:val="0"/>
      <w:marBottom w:val="0"/>
      <w:divBdr>
        <w:top w:val="none" w:sz="0" w:space="0" w:color="auto"/>
        <w:left w:val="none" w:sz="0" w:space="0" w:color="auto"/>
        <w:bottom w:val="none" w:sz="0" w:space="0" w:color="auto"/>
        <w:right w:val="none" w:sz="0" w:space="0" w:color="auto"/>
      </w:divBdr>
    </w:div>
    <w:div w:id="402873264">
      <w:bodyDiv w:val="1"/>
      <w:marLeft w:val="0"/>
      <w:marRight w:val="0"/>
      <w:marTop w:val="0"/>
      <w:marBottom w:val="0"/>
      <w:divBdr>
        <w:top w:val="none" w:sz="0" w:space="0" w:color="auto"/>
        <w:left w:val="none" w:sz="0" w:space="0" w:color="auto"/>
        <w:bottom w:val="none" w:sz="0" w:space="0" w:color="auto"/>
        <w:right w:val="none" w:sz="0" w:space="0" w:color="auto"/>
      </w:divBdr>
    </w:div>
    <w:div w:id="423111408">
      <w:bodyDiv w:val="1"/>
      <w:marLeft w:val="0"/>
      <w:marRight w:val="0"/>
      <w:marTop w:val="0"/>
      <w:marBottom w:val="0"/>
      <w:divBdr>
        <w:top w:val="none" w:sz="0" w:space="0" w:color="auto"/>
        <w:left w:val="none" w:sz="0" w:space="0" w:color="auto"/>
        <w:bottom w:val="none" w:sz="0" w:space="0" w:color="auto"/>
        <w:right w:val="none" w:sz="0" w:space="0" w:color="auto"/>
      </w:divBdr>
    </w:div>
    <w:div w:id="473837326">
      <w:bodyDiv w:val="1"/>
      <w:marLeft w:val="0"/>
      <w:marRight w:val="0"/>
      <w:marTop w:val="0"/>
      <w:marBottom w:val="0"/>
      <w:divBdr>
        <w:top w:val="none" w:sz="0" w:space="0" w:color="auto"/>
        <w:left w:val="none" w:sz="0" w:space="0" w:color="auto"/>
        <w:bottom w:val="none" w:sz="0" w:space="0" w:color="auto"/>
        <w:right w:val="none" w:sz="0" w:space="0" w:color="auto"/>
      </w:divBdr>
    </w:div>
    <w:div w:id="482937020">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03399248">
      <w:bodyDiv w:val="1"/>
      <w:marLeft w:val="0"/>
      <w:marRight w:val="0"/>
      <w:marTop w:val="0"/>
      <w:marBottom w:val="0"/>
      <w:divBdr>
        <w:top w:val="none" w:sz="0" w:space="0" w:color="auto"/>
        <w:left w:val="none" w:sz="0" w:space="0" w:color="auto"/>
        <w:bottom w:val="none" w:sz="0" w:space="0" w:color="auto"/>
        <w:right w:val="none" w:sz="0" w:space="0" w:color="auto"/>
      </w:divBdr>
    </w:div>
    <w:div w:id="56105842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25232124">
      <w:bodyDiv w:val="1"/>
      <w:marLeft w:val="0"/>
      <w:marRight w:val="0"/>
      <w:marTop w:val="0"/>
      <w:marBottom w:val="0"/>
      <w:divBdr>
        <w:top w:val="none" w:sz="0" w:space="0" w:color="auto"/>
        <w:left w:val="none" w:sz="0" w:space="0" w:color="auto"/>
        <w:bottom w:val="none" w:sz="0" w:space="0" w:color="auto"/>
        <w:right w:val="none" w:sz="0" w:space="0" w:color="auto"/>
      </w:divBdr>
    </w:div>
    <w:div w:id="642781313">
      <w:bodyDiv w:val="1"/>
      <w:marLeft w:val="0"/>
      <w:marRight w:val="0"/>
      <w:marTop w:val="0"/>
      <w:marBottom w:val="0"/>
      <w:divBdr>
        <w:top w:val="none" w:sz="0" w:space="0" w:color="auto"/>
        <w:left w:val="none" w:sz="0" w:space="0" w:color="auto"/>
        <w:bottom w:val="none" w:sz="0" w:space="0" w:color="auto"/>
        <w:right w:val="none" w:sz="0" w:space="0" w:color="auto"/>
      </w:divBdr>
    </w:div>
    <w:div w:id="653222248">
      <w:bodyDiv w:val="1"/>
      <w:marLeft w:val="0"/>
      <w:marRight w:val="0"/>
      <w:marTop w:val="0"/>
      <w:marBottom w:val="0"/>
      <w:divBdr>
        <w:top w:val="none" w:sz="0" w:space="0" w:color="auto"/>
        <w:left w:val="none" w:sz="0" w:space="0" w:color="auto"/>
        <w:bottom w:val="none" w:sz="0" w:space="0" w:color="auto"/>
        <w:right w:val="none" w:sz="0" w:space="0" w:color="auto"/>
      </w:divBdr>
    </w:div>
    <w:div w:id="667562779">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692416471">
      <w:bodyDiv w:val="1"/>
      <w:marLeft w:val="0"/>
      <w:marRight w:val="0"/>
      <w:marTop w:val="0"/>
      <w:marBottom w:val="0"/>
      <w:divBdr>
        <w:top w:val="none" w:sz="0" w:space="0" w:color="auto"/>
        <w:left w:val="none" w:sz="0" w:space="0" w:color="auto"/>
        <w:bottom w:val="none" w:sz="0" w:space="0" w:color="auto"/>
        <w:right w:val="none" w:sz="0" w:space="0" w:color="auto"/>
      </w:divBdr>
    </w:div>
    <w:div w:id="717900249">
      <w:bodyDiv w:val="1"/>
      <w:marLeft w:val="0"/>
      <w:marRight w:val="0"/>
      <w:marTop w:val="0"/>
      <w:marBottom w:val="0"/>
      <w:divBdr>
        <w:top w:val="none" w:sz="0" w:space="0" w:color="auto"/>
        <w:left w:val="none" w:sz="0" w:space="0" w:color="auto"/>
        <w:bottom w:val="none" w:sz="0" w:space="0" w:color="auto"/>
        <w:right w:val="none" w:sz="0" w:space="0" w:color="auto"/>
      </w:divBdr>
    </w:div>
    <w:div w:id="771169552">
      <w:bodyDiv w:val="1"/>
      <w:marLeft w:val="0"/>
      <w:marRight w:val="0"/>
      <w:marTop w:val="0"/>
      <w:marBottom w:val="0"/>
      <w:divBdr>
        <w:top w:val="none" w:sz="0" w:space="0" w:color="auto"/>
        <w:left w:val="none" w:sz="0" w:space="0" w:color="auto"/>
        <w:bottom w:val="none" w:sz="0" w:space="0" w:color="auto"/>
        <w:right w:val="none" w:sz="0" w:space="0" w:color="auto"/>
      </w:divBdr>
    </w:div>
    <w:div w:id="818885169">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3580747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852259330">
      <w:bodyDiv w:val="1"/>
      <w:marLeft w:val="0"/>
      <w:marRight w:val="0"/>
      <w:marTop w:val="0"/>
      <w:marBottom w:val="0"/>
      <w:divBdr>
        <w:top w:val="none" w:sz="0" w:space="0" w:color="auto"/>
        <w:left w:val="none" w:sz="0" w:space="0" w:color="auto"/>
        <w:bottom w:val="none" w:sz="0" w:space="0" w:color="auto"/>
        <w:right w:val="none" w:sz="0" w:space="0" w:color="auto"/>
      </w:divBdr>
    </w:div>
    <w:div w:id="867452992">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13128686">
      <w:bodyDiv w:val="1"/>
      <w:marLeft w:val="0"/>
      <w:marRight w:val="0"/>
      <w:marTop w:val="0"/>
      <w:marBottom w:val="0"/>
      <w:divBdr>
        <w:top w:val="none" w:sz="0" w:space="0" w:color="auto"/>
        <w:left w:val="none" w:sz="0" w:space="0" w:color="auto"/>
        <w:bottom w:val="none" w:sz="0" w:space="0" w:color="auto"/>
        <w:right w:val="none" w:sz="0" w:space="0" w:color="auto"/>
      </w:divBdr>
    </w:div>
    <w:div w:id="915893227">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008364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46970198">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75803446">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185825958">
      <w:bodyDiv w:val="1"/>
      <w:marLeft w:val="0"/>
      <w:marRight w:val="0"/>
      <w:marTop w:val="0"/>
      <w:marBottom w:val="0"/>
      <w:divBdr>
        <w:top w:val="none" w:sz="0" w:space="0" w:color="auto"/>
        <w:left w:val="none" w:sz="0" w:space="0" w:color="auto"/>
        <w:bottom w:val="none" w:sz="0" w:space="0" w:color="auto"/>
        <w:right w:val="none" w:sz="0" w:space="0" w:color="auto"/>
      </w:divBdr>
    </w:div>
    <w:div w:id="1222133264">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36432038">
      <w:bodyDiv w:val="1"/>
      <w:marLeft w:val="0"/>
      <w:marRight w:val="0"/>
      <w:marTop w:val="0"/>
      <w:marBottom w:val="0"/>
      <w:divBdr>
        <w:top w:val="none" w:sz="0" w:space="0" w:color="auto"/>
        <w:left w:val="none" w:sz="0" w:space="0" w:color="auto"/>
        <w:bottom w:val="none" w:sz="0" w:space="0" w:color="auto"/>
        <w:right w:val="none" w:sz="0" w:space="0" w:color="auto"/>
      </w:divBdr>
    </w:div>
    <w:div w:id="1247305120">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69771053">
      <w:bodyDiv w:val="1"/>
      <w:marLeft w:val="0"/>
      <w:marRight w:val="0"/>
      <w:marTop w:val="0"/>
      <w:marBottom w:val="0"/>
      <w:divBdr>
        <w:top w:val="none" w:sz="0" w:space="0" w:color="auto"/>
        <w:left w:val="none" w:sz="0" w:space="0" w:color="auto"/>
        <w:bottom w:val="none" w:sz="0" w:space="0" w:color="auto"/>
        <w:right w:val="none" w:sz="0" w:space="0" w:color="auto"/>
      </w:divBdr>
    </w:div>
    <w:div w:id="1277523178">
      <w:bodyDiv w:val="1"/>
      <w:marLeft w:val="0"/>
      <w:marRight w:val="0"/>
      <w:marTop w:val="0"/>
      <w:marBottom w:val="0"/>
      <w:divBdr>
        <w:top w:val="none" w:sz="0" w:space="0" w:color="auto"/>
        <w:left w:val="none" w:sz="0" w:space="0" w:color="auto"/>
        <w:bottom w:val="none" w:sz="0" w:space="0" w:color="auto"/>
        <w:right w:val="none" w:sz="0" w:space="0" w:color="auto"/>
      </w:divBdr>
    </w:div>
    <w:div w:id="1283153177">
      <w:bodyDiv w:val="1"/>
      <w:marLeft w:val="0"/>
      <w:marRight w:val="0"/>
      <w:marTop w:val="0"/>
      <w:marBottom w:val="0"/>
      <w:divBdr>
        <w:top w:val="none" w:sz="0" w:space="0" w:color="auto"/>
        <w:left w:val="none" w:sz="0" w:space="0" w:color="auto"/>
        <w:bottom w:val="none" w:sz="0" w:space="0" w:color="auto"/>
        <w:right w:val="none" w:sz="0" w:space="0" w:color="auto"/>
      </w:divBdr>
    </w:div>
    <w:div w:id="1286815352">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296720444">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349067301">
      <w:bodyDiv w:val="1"/>
      <w:marLeft w:val="0"/>
      <w:marRight w:val="0"/>
      <w:marTop w:val="0"/>
      <w:marBottom w:val="0"/>
      <w:divBdr>
        <w:top w:val="none" w:sz="0" w:space="0" w:color="auto"/>
        <w:left w:val="none" w:sz="0" w:space="0" w:color="auto"/>
        <w:bottom w:val="none" w:sz="0" w:space="0" w:color="auto"/>
        <w:right w:val="none" w:sz="0" w:space="0" w:color="auto"/>
      </w:divBdr>
    </w:div>
    <w:div w:id="1359308489">
      <w:bodyDiv w:val="1"/>
      <w:marLeft w:val="0"/>
      <w:marRight w:val="0"/>
      <w:marTop w:val="0"/>
      <w:marBottom w:val="0"/>
      <w:divBdr>
        <w:top w:val="none" w:sz="0" w:space="0" w:color="auto"/>
        <w:left w:val="none" w:sz="0" w:space="0" w:color="auto"/>
        <w:bottom w:val="none" w:sz="0" w:space="0" w:color="auto"/>
        <w:right w:val="none" w:sz="0" w:space="0" w:color="auto"/>
      </w:divBdr>
    </w:div>
    <w:div w:id="1409384383">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37864112">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468358675">
      <w:bodyDiv w:val="1"/>
      <w:marLeft w:val="0"/>
      <w:marRight w:val="0"/>
      <w:marTop w:val="0"/>
      <w:marBottom w:val="0"/>
      <w:divBdr>
        <w:top w:val="none" w:sz="0" w:space="0" w:color="auto"/>
        <w:left w:val="none" w:sz="0" w:space="0" w:color="auto"/>
        <w:bottom w:val="none" w:sz="0" w:space="0" w:color="auto"/>
        <w:right w:val="none" w:sz="0" w:space="0" w:color="auto"/>
      </w:divBdr>
    </w:div>
    <w:div w:id="1468887649">
      <w:bodyDiv w:val="1"/>
      <w:marLeft w:val="0"/>
      <w:marRight w:val="0"/>
      <w:marTop w:val="0"/>
      <w:marBottom w:val="0"/>
      <w:divBdr>
        <w:top w:val="none" w:sz="0" w:space="0" w:color="auto"/>
        <w:left w:val="none" w:sz="0" w:space="0" w:color="auto"/>
        <w:bottom w:val="none" w:sz="0" w:space="0" w:color="auto"/>
        <w:right w:val="none" w:sz="0" w:space="0" w:color="auto"/>
      </w:divBdr>
    </w:div>
    <w:div w:id="1505825219">
      <w:bodyDiv w:val="1"/>
      <w:marLeft w:val="0"/>
      <w:marRight w:val="0"/>
      <w:marTop w:val="0"/>
      <w:marBottom w:val="0"/>
      <w:divBdr>
        <w:top w:val="none" w:sz="0" w:space="0" w:color="auto"/>
        <w:left w:val="none" w:sz="0" w:space="0" w:color="auto"/>
        <w:bottom w:val="none" w:sz="0" w:space="0" w:color="auto"/>
        <w:right w:val="none" w:sz="0" w:space="0" w:color="auto"/>
      </w:divBdr>
    </w:div>
    <w:div w:id="1564873993">
      <w:bodyDiv w:val="1"/>
      <w:marLeft w:val="0"/>
      <w:marRight w:val="0"/>
      <w:marTop w:val="0"/>
      <w:marBottom w:val="0"/>
      <w:divBdr>
        <w:top w:val="none" w:sz="0" w:space="0" w:color="auto"/>
        <w:left w:val="none" w:sz="0" w:space="0" w:color="auto"/>
        <w:bottom w:val="none" w:sz="0" w:space="0" w:color="auto"/>
        <w:right w:val="none" w:sz="0" w:space="0" w:color="auto"/>
      </w:divBdr>
    </w:div>
    <w:div w:id="1567107792">
      <w:bodyDiv w:val="1"/>
      <w:marLeft w:val="0"/>
      <w:marRight w:val="0"/>
      <w:marTop w:val="0"/>
      <w:marBottom w:val="0"/>
      <w:divBdr>
        <w:top w:val="none" w:sz="0" w:space="0" w:color="auto"/>
        <w:left w:val="none" w:sz="0" w:space="0" w:color="auto"/>
        <w:bottom w:val="none" w:sz="0" w:space="0" w:color="auto"/>
        <w:right w:val="none" w:sz="0" w:space="0" w:color="auto"/>
      </w:divBdr>
    </w:div>
    <w:div w:id="1578394844">
      <w:bodyDiv w:val="1"/>
      <w:marLeft w:val="0"/>
      <w:marRight w:val="0"/>
      <w:marTop w:val="0"/>
      <w:marBottom w:val="0"/>
      <w:divBdr>
        <w:top w:val="none" w:sz="0" w:space="0" w:color="auto"/>
        <w:left w:val="none" w:sz="0" w:space="0" w:color="auto"/>
        <w:bottom w:val="none" w:sz="0" w:space="0" w:color="auto"/>
        <w:right w:val="none" w:sz="0" w:space="0" w:color="auto"/>
      </w:divBdr>
    </w:div>
    <w:div w:id="1583024861">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685207598">
      <w:bodyDiv w:val="1"/>
      <w:marLeft w:val="0"/>
      <w:marRight w:val="0"/>
      <w:marTop w:val="0"/>
      <w:marBottom w:val="0"/>
      <w:divBdr>
        <w:top w:val="none" w:sz="0" w:space="0" w:color="auto"/>
        <w:left w:val="none" w:sz="0" w:space="0" w:color="auto"/>
        <w:bottom w:val="none" w:sz="0" w:space="0" w:color="auto"/>
        <w:right w:val="none" w:sz="0" w:space="0" w:color="auto"/>
      </w:divBdr>
    </w:div>
    <w:div w:id="1693533836">
      <w:bodyDiv w:val="1"/>
      <w:marLeft w:val="0"/>
      <w:marRight w:val="0"/>
      <w:marTop w:val="0"/>
      <w:marBottom w:val="0"/>
      <w:divBdr>
        <w:top w:val="none" w:sz="0" w:space="0" w:color="auto"/>
        <w:left w:val="none" w:sz="0" w:space="0" w:color="auto"/>
        <w:bottom w:val="none" w:sz="0" w:space="0" w:color="auto"/>
        <w:right w:val="none" w:sz="0" w:space="0" w:color="auto"/>
      </w:divBdr>
    </w:div>
    <w:div w:id="1703899134">
      <w:bodyDiv w:val="1"/>
      <w:marLeft w:val="0"/>
      <w:marRight w:val="0"/>
      <w:marTop w:val="0"/>
      <w:marBottom w:val="0"/>
      <w:divBdr>
        <w:top w:val="none" w:sz="0" w:space="0" w:color="auto"/>
        <w:left w:val="none" w:sz="0" w:space="0" w:color="auto"/>
        <w:bottom w:val="none" w:sz="0" w:space="0" w:color="auto"/>
        <w:right w:val="none" w:sz="0" w:space="0" w:color="auto"/>
      </w:divBdr>
    </w:div>
    <w:div w:id="1734311485">
      <w:bodyDiv w:val="1"/>
      <w:marLeft w:val="0"/>
      <w:marRight w:val="0"/>
      <w:marTop w:val="0"/>
      <w:marBottom w:val="0"/>
      <w:divBdr>
        <w:top w:val="none" w:sz="0" w:space="0" w:color="auto"/>
        <w:left w:val="none" w:sz="0" w:space="0" w:color="auto"/>
        <w:bottom w:val="none" w:sz="0" w:space="0" w:color="auto"/>
        <w:right w:val="none" w:sz="0" w:space="0" w:color="auto"/>
      </w:divBdr>
    </w:div>
    <w:div w:id="1741126510">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486191">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31213194">
      <w:bodyDiv w:val="1"/>
      <w:marLeft w:val="0"/>
      <w:marRight w:val="0"/>
      <w:marTop w:val="0"/>
      <w:marBottom w:val="0"/>
      <w:divBdr>
        <w:top w:val="none" w:sz="0" w:space="0" w:color="auto"/>
        <w:left w:val="none" w:sz="0" w:space="0" w:color="auto"/>
        <w:bottom w:val="none" w:sz="0" w:space="0" w:color="auto"/>
        <w:right w:val="none" w:sz="0" w:space="0" w:color="auto"/>
      </w:divBdr>
    </w:div>
    <w:div w:id="1845851141">
      <w:bodyDiv w:val="1"/>
      <w:marLeft w:val="0"/>
      <w:marRight w:val="0"/>
      <w:marTop w:val="0"/>
      <w:marBottom w:val="0"/>
      <w:divBdr>
        <w:top w:val="none" w:sz="0" w:space="0" w:color="auto"/>
        <w:left w:val="none" w:sz="0" w:space="0" w:color="auto"/>
        <w:bottom w:val="none" w:sz="0" w:space="0" w:color="auto"/>
        <w:right w:val="none" w:sz="0" w:space="0" w:color="auto"/>
      </w:divBdr>
    </w:div>
    <w:div w:id="1854568980">
      <w:bodyDiv w:val="1"/>
      <w:marLeft w:val="0"/>
      <w:marRight w:val="0"/>
      <w:marTop w:val="0"/>
      <w:marBottom w:val="0"/>
      <w:divBdr>
        <w:top w:val="none" w:sz="0" w:space="0" w:color="auto"/>
        <w:left w:val="none" w:sz="0" w:space="0" w:color="auto"/>
        <w:bottom w:val="none" w:sz="0" w:space="0" w:color="auto"/>
        <w:right w:val="none" w:sz="0" w:space="0" w:color="auto"/>
      </w:divBdr>
    </w:div>
    <w:div w:id="1854682169">
      <w:bodyDiv w:val="1"/>
      <w:marLeft w:val="0"/>
      <w:marRight w:val="0"/>
      <w:marTop w:val="0"/>
      <w:marBottom w:val="0"/>
      <w:divBdr>
        <w:top w:val="none" w:sz="0" w:space="0" w:color="auto"/>
        <w:left w:val="none" w:sz="0" w:space="0" w:color="auto"/>
        <w:bottom w:val="none" w:sz="0" w:space="0" w:color="auto"/>
        <w:right w:val="none" w:sz="0" w:space="0" w:color="auto"/>
      </w:divBdr>
    </w:div>
    <w:div w:id="1866288484">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0602332">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10461769">
      <w:bodyDiv w:val="1"/>
      <w:marLeft w:val="0"/>
      <w:marRight w:val="0"/>
      <w:marTop w:val="0"/>
      <w:marBottom w:val="0"/>
      <w:divBdr>
        <w:top w:val="none" w:sz="0" w:space="0" w:color="auto"/>
        <w:left w:val="none" w:sz="0" w:space="0" w:color="auto"/>
        <w:bottom w:val="none" w:sz="0" w:space="0" w:color="auto"/>
        <w:right w:val="none" w:sz="0" w:space="0" w:color="auto"/>
      </w:divBdr>
    </w:div>
    <w:div w:id="1915697073">
      <w:bodyDiv w:val="1"/>
      <w:marLeft w:val="0"/>
      <w:marRight w:val="0"/>
      <w:marTop w:val="0"/>
      <w:marBottom w:val="0"/>
      <w:divBdr>
        <w:top w:val="none" w:sz="0" w:space="0" w:color="auto"/>
        <w:left w:val="none" w:sz="0" w:space="0" w:color="auto"/>
        <w:bottom w:val="none" w:sz="0" w:space="0" w:color="auto"/>
        <w:right w:val="none" w:sz="0" w:space="0" w:color="auto"/>
      </w:divBdr>
    </w:div>
    <w:div w:id="1923643409">
      <w:bodyDiv w:val="1"/>
      <w:marLeft w:val="0"/>
      <w:marRight w:val="0"/>
      <w:marTop w:val="0"/>
      <w:marBottom w:val="0"/>
      <w:divBdr>
        <w:top w:val="none" w:sz="0" w:space="0" w:color="auto"/>
        <w:left w:val="none" w:sz="0" w:space="0" w:color="auto"/>
        <w:bottom w:val="none" w:sz="0" w:space="0" w:color="auto"/>
        <w:right w:val="none" w:sz="0" w:space="0" w:color="auto"/>
      </w:divBdr>
    </w:div>
    <w:div w:id="1936282052">
      <w:bodyDiv w:val="1"/>
      <w:marLeft w:val="0"/>
      <w:marRight w:val="0"/>
      <w:marTop w:val="0"/>
      <w:marBottom w:val="0"/>
      <w:divBdr>
        <w:top w:val="none" w:sz="0" w:space="0" w:color="auto"/>
        <w:left w:val="none" w:sz="0" w:space="0" w:color="auto"/>
        <w:bottom w:val="none" w:sz="0" w:space="0" w:color="auto"/>
        <w:right w:val="none" w:sz="0" w:space="0" w:color="auto"/>
      </w:divBdr>
    </w:div>
    <w:div w:id="1938974656">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1973095768">
      <w:bodyDiv w:val="1"/>
      <w:marLeft w:val="0"/>
      <w:marRight w:val="0"/>
      <w:marTop w:val="0"/>
      <w:marBottom w:val="0"/>
      <w:divBdr>
        <w:top w:val="none" w:sz="0" w:space="0" w:color="auto"/>
        <w:left w:val="none" w:sz="0" w:space="0" w:color="auto"/>
        <w:bottom w:val="none" w:sz="0" w:space="0" w:color="auto"/>
        <w:right w:val="none" w:sz="0" w:space="0" w:color="auto"/>
      </w:divBdr>
    </w:div>
    <w:div w:id="1995916785">
      <w:bodyDiv w:val="1"/>
      <w:marLeft w:val="0"/>
      <w:marRight w:val="0"/>
      <w:marTop w:val="0"/>
      <w:marBottom w:val="0"/>
      <w:divBdr>
        <w:top w:val="none" w:sz="0" w:space="0" w:color="auto"/>
        <w:left w:val="none" w:sz="0" w:space="0" w:color="auto"/>
        <w:bottom w:val="none" w:sz="0" w:space="0" w:color="auto"/>
        <w:right w:val="none" w:sz="0" w:space="0" w:color="auto"/>
      </w:divBdr>
    </w:div>
    <w:div w:id="2006856266">
      <w:bodyDiv w:val="1"/>
      <w:marLeft w:val="0"/>
      <w:marRight w:val="0"/>
      <w:marTop w:val="0"/>
      <w:marBottom w:val="0"/>
      <w:divBdr>
        <w:top w:val="none" w:sz="0" w:space="0" w:color="auto"/>
        <w:left w:val="none" w:sz="0" w:space="0" w:color="auto"/>
        <w:bottom w:val="none" w:sz="0" w:space="0" w:color="auto"/>
        <w:right w:val="none" w:sz="0" w:space="0" w:color="auto"/>
      </w:divBdr>
    </w:div>
    <w:div w:id="2007397989">
      <w:bodyDiv w:val="1"/>
      <w:marLeft w:val="0"/>
      <w:marRight w:val="0"/>
      <w:marTop w:val="0"/>
      <w:marBottom w:val="0"/>
      <w:divBdr>
        <w:top w:val="none" w:sz="0" w:space="0" w:color="auto"/>
        <w:left w:val="none" w:sz="0" w:space="0" w:color="auto"/>
        <w:bottom w:val="none" w:sz="0" w:space="0" w:color="auto"/>
        <w:right w:val="none" w:sz="0" w:space="0" w:color="auto"/>
      </w:divBdr>
    </w:div>
    <w:div w:id="2024893808">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09422267">
      <w:bodyDiv w:val="1"/>
      <w:marLeft w:val="0"/>
      <w:marRight w:val="0"/>
      <w:marTop w:val="0"/>
      <w:marBottom w:val="0"/>
      <w:divBdr>
        <w:top w:val="none" w:sz="0" w:space="0" w:color="auto"/>
        <w:left w:val="none" w:sz="0" w:space="0" w:color="auto"/>
        <w:bottom w:val="none" w:sz="0" w:space="0" w:color="auto"/>
        <w:right w:val="none" w:sz="0" w:space="0" w:color="auto"/>
      </w:divBdr>
    </w:div>
    <w:div w:id="2109424263">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16</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17</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18</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19</b:RefOrder>
  </b:Source>
  <b:Source>
    <b:Tag>Liy25</b:Tag>
    <b:SourceType>JournalArticle</b:SourceType>
    <b:Guid>{E7B270DE-D9FF-4DCB-A41A-3243FF6A3FC8}</b:Guid>
    <b:Title>Harmful data enhanced anomaly detection for quasi-periodic multivariate time series</b:Title>
    <b:JournalName>Applied Intelligence</b:JournalName>
    <b:Year>2025</b:Year>
    <b:Pages>1 - 21</b:Pages>
    <b:Author>
      <b:Author>
        <b:NameList>
          <b:Person>
            <b:Last>Wang</b:Last>
            <b:First>Liyuan</b:First>
          </b:Person>
          <b:Person>
            <b:Last>Zhou</b:Last>
            <b:First>Yong</b:First>
          </b:Person>
          <b:Person>
            <b:Last>Ke</b:Last>
            <b:First>Wuping</b:First>
          </b:Person>
        </b:NameList>
      </b:Author>
    </b:Author>
    <b:Month>March</b:Month>
    <b:Publisher>Springer Nature Link</b:Publisher>
    <b:Volume>55</b:Volume>
    <b:Issue>7</b:Issue>
    <b:DOI>10.1007/s10489-025-06461-x</b:DOI>
    <b:RefOrder>20</b:RefOrder>
  </b:Source>
  <b:Source>
    <b:Tag>Poo23</b:Tag>
    <b:SourceType>JournalArticle</b:SourceType>
    <b:Guid>{152293D6-37BF-45A3-96D8-437068DB55D0}</b:Guid>
    <b:Title>Anomaly Detection and Short-Term Prediction of Traffic Flow by using Ensemble Deep Learning Approach</b:Title>
    <b:JournalName>International Journal of Research Publication and Reviews</b:JournalName>
    <b:Year>2023</b:Year>
    <b:Pages>1951 - 1959</b:Pages>
    <b:Author>
      <b:Author>
        <b:NameList>
          <b:Person>
            <b:Last>Bhartiya</b:Last>
            <b:First>Poonam</b:First>
          </b:Person>
          <b:Person>
            <b:Last>Bhatele</b:Last>
            <b:First>Mukta</b:First>
          </b:Person>
          <b:Person>
            <b:Last>Gour</b:Last>
            <b:First>Lokendra</b:First>
          </b:Person>
        </b:NameList>
      </b:Author>
    </b:Author>
    <b:Month>July</b:Month>
    <b:Volume>4</b:Volume>
    <b:Issue>7</b:Issue>
    <b:RefOrder>21</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22</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23</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24</b:RefOrder>
  </b:Source>
  <b:Source>
    <b:Tag>Xue24</b:Tag>
    <b:SourceType>JournalArticle</b:SourceType>
    <b:Guid>{F570632B-1A38-4305-B48C-9C2FF1BD7020}</b:Guid>
    <b:Title>Large-Scale Origin–Destination Prediction for Urban Rail Transit Network Based on Graph Convolutional Neural Network</b:Title>
    <b:JournalName>Sustainability</b:JournalName>
    <b:Year>2024</b:Year>
    <b:Pages>10190</b:Pages>
    <b:Author>
      <b:Author>
        <b:NameList>
          <b:Person>
            <b:Last>Wang</b:Last>
            <b:First>Xuemei</b:First>
          </b:Person>
          <b:Person>
            <b:Last>Zhang</b:Last>
            <b:First>Yunlong</b:First>
          </b:Person>
          <b:Person>
            <b:Last>Zhang</b:Last>
            <b:First>Jinlei</b:First>
          </b:Person>
        </b:NameList>
      </b:Author>
    </b:Author>
    <b:Month>November</b:Month>
    <b:Day>21</b:Day>
    <b:Publisher>MDPI</b:Publisher>
    <b:Volume>16</b:Volume>
    <b:Issue>23</b:Issue>
    <b:DOI>10.3390/su162310190</b:DOI>
    <b:RefOrder>25</b:RefOrder>
  </b:Source>
  <b:Source>
    <b:Tag>Ash17</b:Tag>
    <b:SourceType>JournalArticle</b:SourceType>
    <b:Guid>{88D596D2-0170-42E4-B591-551E08C9AE8F}</b:Guid>
    <b:Title>Attention is All You Need</b:Title>
    <b:JournalName>Computation and Language</b:JournalName>
    <b:Year>2017</b:Year>
    <b:Pages>1 - 15</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Lukasz</b:First>
          </b:Person>
          <b:Person>
            <b:Last>Polosukhin</b:Last>
            <b:First>Illia</b:First>
          </b:Person>
        </b:NameList>
      </b:Author>
    </b:Author>
    <b:Month>June</b:Month>
    <b:Day>12</b:Day>
    <b:DOI>10.48550/arXiv.1706.03762</b:DOI>
    <b:RefOrder>26</b:RefOrder>
  </b:Source>
  <b:Source>
    <b:Tag>Wen24</b:Tag>
    <b:SourceType>JournalArticle</b:SourceType>
    <b:Guid>{DE63C29D-7740-430F-8197-7EBBFFA34E69}</b:Guid>
    <b:Title>Spatio-Temporal Self-Attention Network for Origin–Destination Matrix Prediction in Urban Rail Transit</b:Title>
    <b:JournalName>Sustainability</b:JournalName>
    <b:Year>2024</b:Year>
    <b:Pages>2555</b:Pages>
    <b:Author>
      <b:Author>
        <b:NameList>
          <b:Person>
            <b:Last>Zhou</b:Last>
            <b:First>Wenzhong</b:First>
          </b:Person>
          <b:Person>
            <b:Last>Tang</b:Last>
            <b:First>Tao</b:First>
          </b:Person>
          <b:Person>
            <b:Last>Gao</b:Last>
            <b:First>Chunhai</b:First>
          </b:Person>
        </b:NameList>
      </b:Author>
    </b:Author>
    <b:Month>March</b:Month>
    <b:Day>20</b:Day>
    <b:Publisher>MDPI</b:Publisher>
    <b:Volume>16</b:Volume>
    <b:Issue>6</b:Issue>
    <b:DOI>10.3390/su16062555</b:DOI>
    <b:RefOrder>27</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28</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29</b:RefOrder>
  </b:Source>
  <b:Source>
    <b:Tag>Car25</b:Tag>
    <b:SourceType>JournalArticle</b:SourceType>
    <b:Guid>{B12EF24E-9555-4182-A841-F3FF9CB36AD8}</b:Guid>
    <b:Title>Revolutionizing Urban Mobility: A Systematic Review of AI, IoT, and Predictive Analytics in Adaptive Traffic Control Systems for Road Networks</b:Title>
    <b:JournalName>Electronics</b:JournalName>
    <b:Year>2025</b:Year>
    <b:Pages>719</b:Pages>
    <b:Author>
      <b:Author>
        <b:NameList>
          <b:Person>
            <b:Last>Gheorghe</b:Last>
            <b:First>Carmen</b:First>
          </b:Person>
          <b:Person>
            <b:Last>Soica</b:Last>
            <b:First>Adrian</b:First>
          </b:Person>
        </b:NameList>
      </b:Author>
    </b:Author>
    <b:Month>February</b:Month>
    <b:Day>12</b:Day>
    <b:Publisher>MDPI</b:Publisher>
    <b:Volume>14</b:Volume>
    <b:Issue>4</b:Issue>
    <b:DOI>10.3390/electronics14040719</b:DOI>
    <b:RefOrder>30</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31</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32</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33</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34</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35</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36</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37</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38</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39</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40</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41</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42</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43</b:RefOrder>
  </b:Source>
  <b:Source>
    <b:Tag>Lia24</b:Tag>
    <b:SourceType>JournalArticle</b:SourceType>
    <b:Guid>{AC861198-61F2-40A5-844C-9708D91BA9F9}</b:Guid>
    <b:Title>An Efficient Approach for Identifying Potential Bus Passenger Demand Based on Multisource Data</b:Title>
    <b:JournalName>Journal of Advanced Transportation</b:JournalName>
    <b:Year>2024</b:Year>
    <b:Pages>5368577</b:Pages>
    <b:Author>
      <b:Author>
        <b:NameList>
          <b:Person>
            <b:Last>Li</b:Last>
            <b:First>Lianghua</b:First>
          </b:Person>
          <b:Person>
            <b:Last>Xue</b:Last>
            <b:First>Shouqiang</b:First>
          </b:Person>
          <b:Person>
            <b:Last>Xiao</b:Last>
            <b:First>Yun</b:First>
          </b:Person>
        </b:NameList>
      </b:Author>
    </b:Author>
    <b:Month>August</b:Month>
    <b:Day>9</b:Day>
    <b:Publisher>Wiley Online Library</b:Publisher>
    <b:Volume>2024</b:Volume>
    <b:Issue>1</b:Issue>
    <b:DOI>10.1155/2024/5368577</b:DOI>
    <b:RefOrder>44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45</b:RefOrder>
  </b:Source>
  <b:Source>
    <b:Tag>Aya23</b:Tag>
    <b:SourceType>JournalArticle</b:SourceType>
    <b:Guid>{64A4EF73-D79F-4587-BBBB-E57B102079D9}</b:Guid>
    <b:Title>Predictive Machine Learning Algorithms for Metro Ridership Based on Urban Land Use Policies in Support of Transit-Oriented Development</b:Title>
    <b:JournalName>Sustainability</b:JournalName>
    <b:Year>2023</b:Year>
    <b:Pages>1718</b:Pages>
    <b:Author>
      <b:Author>
        <b:NameList>
          <b:Person>
            <b:Last>AlKhereibi</b:Last>
            <b:First>Aya</b:First>
            <b:Middle>Hasan</b:Middle>
          </b:Person>
          <b:Person>
            <b:Last>Wakjira</b:Last>
            <b:First>Tadesse</b:First>
            <b:Middle>G.</b:Middle>
          </b:Person>
          <b:Person>
            <b:Last>Kucukvar</b:Last>
            <b:First>Murat</b:First>
          </b:Person>
          <b:Person>
            <b:Last>Onat</b:Last>
            <b:First>Nuri</b:First>
            <b:Middle>C.</b:Middle>
          </b:Person>
        </b:NameList>
      </b:Author>
    </b:Author>
    <b:Month>January</b:Month>
    <b:Day>16</b:Day>
    <b:Publisher>MDPI</b:Publisher>
    <b:Volume>15</b:Volume>
    <b:Issue>2</b:Issue>
    <b:DOI>10.3390/su15021718</b:DOI>
    <b:RefOrder>46</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47</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48</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49</b:RefOrder>
  </b:Source>
  <b:Source>
    <b:Tag>Saj24</b:Tag>
    <b:SourceType>JournalArticle</b:SourceType>
    <b:Guid>{630E5953-10A9-4FDF-9B89-3DC1E3DA3C88}</b:Guid>
    <b:Title>Unveiling the consequence of unprecedented fuel price hike in Bangladesh on consumer travel behavior</b:Title>
    <b:JournalName>Sustainable Transport and Livability</b:JournalName>
    <b:Year>2024 </b:Year>
    <b:Pages>1 - 23</b:Pages>
    <b:Author>
      <b:Author>
        <b:NameList>
          <b:Person>
            <b:Last>Mily</b:Last>
            <b:First>Sajmin</b:First>
            <b:Middle>Nahar</b:Middle>
          </b:Person>
          <b:Person>
            <b:Last>Haque</b:Last>
            <b:First>Md</b:First>
            <b:Middle>Bashirul</b:Middle>
          </b:Person>
          <b:Person>
            <b:Last>Islam</b:Last>
            <b:First>Md</b:First>
            <b:Middle>Aminul</b:Middle>
          </b:Person>
        </b:NameList>
      </b:Author>
    </b:Author>
    <b:Month>October</b:Month>
    <b:Day>22</b:Day>
    <b:Publisher>Taylor &amp; Francis Online</b:Publisher>
    <b:Volume>1</b:Volume>
    <b:Issue>1</b:Issue>
    <b:DOI>10.1080/29941849.2024.2409081</b:DOI>
    <b:RefOrder>50</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51</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52</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54</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55</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56</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57</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58</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59</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60</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61</b:RefOrder>
  </b:Source>
  <b:Source>
    <b:Tag>Zhe23</b:Tag>
    <b:SourceType>JournalArticle</b:SourceType>
    <b:Guid>{D7C0AFC2-09FC-4C6B-B542-5CB8A8C44582}</b:Guid>
    <b:Title>ADSTGCN: A Dynamic Adaptive Deeper Spatio-Temporal Graph Convolutional Network for Multi-Step Traffic Forecasting</b:Title>
    <b:JournalName>Sensors</b:JournalName>
    <b:Year>2023</b:Year>
    <b:Pages>6950</b:Pages>
    <b:Author>
      <b:Author>
        <b:NameList>
          <b:Person>
            <b:Last>Cui</b:Last>
            <b:First>Zhengyan</b:First>
          </b:Person>
          <b:Person>
            <b:Last>Zhang</b:Last>
            <b:First>Junjun</b:First>
          </b:Person>
          <b:Person>
            <b:Last>Noh</b:Last>
            <b:First>Giseop</b:First>
          </b:Person>
          <b:Person>
            <b:Last>Park</b:Last>
            <b:First>Hyun</b:First>
            <b:Middle>Jun</b:Middle>
          </b:Person>
        </b:NameList>
      </b:Author>
    </b:Author>
    <b:Month>August</b:Month>
    <b:Day>23</b:Day>
    <b:Publisher>MDPI</b:Publisher>
    <b:Volume>23</b:Volume>
    <b:Issue>15</b:Issue>
    <b:DOI>10.3390/s23156950</b:DOI>
    <b:RefOrder>62</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63</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64</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65</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66</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67</b:RefOrder>
  </b:Source>
</b:Sources>
</file>

<file path=customXml/itemProps1.xml><?xml version="1.0" encoding="utf-8"?>
<ds:datastoreItem xmlns:ds="http://schemas.openxmlformats.org/officeDocument/2006/customXml" ds:itemID="{D05E1600-1761-4ED0-8484-309AC29C7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5128</TotalTime>
  <Pages>69</Pages>
  <Words>19239</Words>
  <Characters>109666</Characters>
  <Application>Microsoft Office Word</Application>
  <DocSecurity>0</DocSecurity>
  <Lines>913</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776</cp:revision>
  <dcterms:created xsi:type="dcterms:W3CDTF">2026-03-19T04:55:00Z</dcterms:created>
  <dcterms:modified xsi:type="dcterms:W3CDTF">2026-06-14T08:33:00Z</dcterms:modified>
</cp:coreProperties>
</file>