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7ADC" w14:textId="348B73FF" w:rsidR="007D5F0D" w:rsidRPr="001D34FB" w:rsidRDefault="007D5F0D">
      <w:pPr>
        <w:pStyle w:val="Heading1"/>
        <w:numPr>
          <w:ilvl w:val="0"/>
          <w:numId w:val="3"/>
        </w:numPr>
        <w:jc w:val="left"/>
        <w:rPr>
          <w:b/>
          <w:bCs/>
          <w:sz w:val="24"/>
          <w:szCs w:val="24"/>
          <w:u w:val="single"/>
        </w:rPr>
      </w:pPr>
      <w:bookmarkStart w:id="0" w:name="_Toc230901599"/>
      <w:r w:rsidRPr="001D34FB">
        <w:rPr>
          <w:b/>
          <w:bCs/>
          <w:sz w:val="24"/>
          <w:szCs w:val="24"/>
          <w:u w:val="single"/>
        </w:rPr>
        <w:t>Introduction</w:t>
      </w:r>
      <w:bookmarkEnd w:id="0"/>
    </w:p>
    <w:p w14:paraId="22CD032D" w14:textId="266D1F32" w:rsidR="004C7CDD" w:rsidRPr="00C7720B" w:rsidRDefault="00A66264">
      <w:pPr>
        <w:pStyle w:val="Heading2"/>
        <w:numPr>
          <w:ilvl w:val="1"/>
          <w:numId w:val="3"/>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EFDA0D5" w:rsidR="001B6A91" w:rsidRDefault="00813C10" w:rsidP="00E16562">
      <w:pPr>
        <w:ind w:firstLine="720"/>
        <w:rPr>
          <w:noProof/>
        </w:rPr>
      </w:pPr>
      <w:r>
        <w:t>B</w:t>
      </w:r>
      <w:r w:rsidR="00991EB6">
        <w:t xml:space="preserve">y enhancing </w:t>
      </w:r>
      <w:r w:rsidR="00662501">
        <w:t xml:space="preserve">urban mobility where citizens </w:t>
      </w:r>
      <w:r w:rsidR="007000BF">
        <w:t xml:space="preserve">prioritize </w:t>
      </w:r>
      <w:r>
        <w:t>public transports over privat</w:t>
      </w:r>
      <w:r w:rsidR="007441B1">
        <w:t xml:space="preserve">e </w:t>
      </w:r>
      <w:r>
        <w:t xml:space="preserve">vehicles, </w:t>
      </w:r>
      <w:r w:rsidR="007441B1">
        <w:t>countries can improve their economies while</w:t>
      </w:r>
      <w:r w:rsidR="00BD3425">
        <w:t xml:space="preserve"> promot</w:t>
      </w:r>
      <w:r w:rsidR="00BB1766">
        <w:t>ing</w:t>
      </w:r>
      <w:r w:rsidR="00BD3425">
        <w:t xml:space="preserve"> </w:t>
      </w:r>
      <w:r w:rsidR="00BB1766" w:rsidRPr="000E6067">
        <w:t>environmental sustainability</w:t>
      </w:r>
      <w:r w:rsidR="00786A26" w:rsidRPr="000E6067">
        <w:t xml:space="preserve"> (Lu et al., 2020)</w:t>
      </w:r>
      <w:r w:rsidR="001F4212">
        <w:t>,</w:t>
      </w:r>
      <w:r w:rsidR="00BB1766" w:rsidRPr="000E6067">
        <w:t xml:space="preserve"> </w:t>
      </w:r>
      <w:r w:rsidR="001F4212">
        <w:t>aligning with</w:t>
      </w:r>
      <w:r w:rsidR="00050D3A" w:rsidRPr="000E6067">
        <w:t xml:space="preserve"> Sustainable Development Goals (SDG)</w:t>
      </w:r>
      <w:r w:rsidR="00786A26" w:rsidRPr="000E6067">
        <w:t xml:space="preserve"> adopted by the</w:t>
      </w:r>
      <w:r w:rsidR="00BB1766" w:rsidRPr="000E6067">
        <w:t xml:space="preserve"> </w:t>
      </w:r>
      <w:r w:rsidR="00050D3A" w:rsidRPr="000E6067">
        <w:t>United Nations</w:t>
      </w:r>
      <w:r w:rsidR="00BB1766" w:rsidRPr="000E6067">
        <w:t>.</w:t>
      </w:r>
      <w:r w:rsidR="00577FD7" w:rsidRPr="000E6067">
        <w:t xml:space="preserve"> </w:t>
      </w:r>
      <w:r w:rsidR="00196E45">
        <w:t>Malaysia</w:t>
      </w:r>
      <w:r w:rsidR="00980393">
        <w:t>,</w:t>
      </w:r>
      <w:r w:rsidR="00196E45">
        <w:t xml:space="preserve"> as a developing nation undergoing urbanisation</w:t>
      </w:r>
      <w:r w:rsidR="008B4A2F" w:rsidRPr="000E6067">
        <w:t xml:space="preserve">, </w:t>
      </w:r>
      <w:r w:rsidR="007B08CF">
        <w:t>establishing</w:t>
      </w:r>
      <w:r w:rsidR="008B4A2F" w:rsidRPr="000E6067">
        <w:t xml:space="preserve"> a</w:t>
      </w:r>
      <w:r w:rsidR="007B08CF">
        <w:t>n</w:t>
      </w:r>
      <w:r w:rsidR="008B4A2F" w:rsidRPr="000E6067">
        <w:t xml:space="preserve"> efficient public transit system is </w:t>
      </w:r>
      <w:r w:rsidR="007B08CF">
        <w:t xml:space="preserve">essential to </w:t>
      </w:r>
      <w:r w:rsidR="007368E2">
        <w:t>achieve</w:t>
      </w:r>
      <w:r w:rsidR="00F31A0D" w:rsidRPr="000E6067">
        <w:t xml:space="preserve"> developed</w:t>
      </w:r>
      <w:r w:rsidR="007368E2">
        <w:t>-</w:t>
      </w:r>
      <w:r w:rsidR="00F31A0D" w:rsidRPr="000E6067">
        <w:t>country</w:t>
      </w:r>
      <w:r w:rsidR="007368E2">
        <w:t xml:space="preserve"> status</w:t>
      </w:r>
      <w:r w:rsidR="008F3112" w:rsidRPr="000E6067">
        <w:t xml:space="preserve"> </w:t>
      </w:r>
      <w:r w:rsidR="00675D57" w:rsidRPr="000E6067">
        <w:rPr>
          <w:noProof/>
        </w:rPr>
        <w:t>(Wang et al., 2025)</w:t>
      </w:r>
      <w:r w:rsidR="0086331C" w:rsidRPr="000E6067">
        <w:t xml:space="preserve">. </w:t>
      </w:r>
      <w:r w:rsidR="001652AF" w:rsidRPr="000E6067">
        <w:t xml:space="preserve">However, </w:t>
      </w:r>
      <w:r w:rsidR="00886D13" w:rsidRPr="000E6067">
        <w:rPr>
          <w:noProof/>
        </w:rPr>
        <w:t>Amir et al.</w:t>
      </w:r>
      <w:r w:rsidR="009905B4" w:rsidRPr="000E6067">
        <w:rPr>
          <w:noProof/>
        </w:rPr>
        <w:t xml:space="preserve"> (</w:t>
      </w:r>
      <w:r w:rsidR="00886D13" w:rsidRPr="000E6067">
        <w:rPr>
          <w:noProof/>
        </w:rPr>
        <w:t>2025)</w:t>
      </w:r>
      <w:r w:rsidR="001652AF" w:rsidRPr="000E6067">
        <w:rPr>
          <w:noProof/>
        </w:rPr>
        <w:t xml:space="preserve"> suggested that</w:t>
      </w:r>
      <w:r w:rsidR="009905B4" w:rsidRPr="000E6067">
        <w:rPr>
          <w:noProof/>
        </w:rPr>
        <w:t xml:space="preserve"> </w:t>
      </w:r>
      <w:r w:rsidR="002D4B5B" w:rsidRPr="000E6067">
        <w:rPr>
          <w:noProof/>
        </w:rPr>
        <w:t xml:space="preserve">citizens </w:t>
      </w:r>
      <w:r w:rsidR="00036C95">
        <w:rPr>
          <w:noProof/>
        </w:rPr>
        <w:t>revert to</w:t>
      </w:r>
      <w:r w:rsidR="00210DC9" w:rsidRPr="000E6067">
        <w:rPr>
          <w:noProof/>
        </w:rPr>
        <w:t xml:space="preserve"> private vehicles </w:t>
      </w:r>
      <w:r w:rsidR="002D4B5B" w:rsidRPr="000E6067">
        <w:rPr>
          <w:noProof/>
        </w:rPr>
        <w:t>due to</w:t>
      </w:r>
      <w:r w:rsidR="005B0CA1" w:rsidRPr="000E6067">
        <w:rPr>
          <w:noProof/>
        </w:rPr>
        <w:t xml:space="preserve"> </w:t>
      </w:r>
      <w:r w:rsidR="00036C95">
        <w:rPr>
          <w:noProof/>
        </w:rPr>
        <w:t>unreliable public transit predictions</w:t>
      </w:r>
      <w:r w:rsidR="00B87FE7" w:rsidRPr="000E6067">
        <w:rPr>
          <w:noProof/>
        </w:rPr>
        <w:t xml:space="preserve"> in public transit systems</w:t>
      </w:r>
      <w:r w:rsidR="00E21E69" w:rsidRPr="000E6067">
        <w:rPr>
          <w:noProof/>
        </w:rPr>
        <w:t xml:space="preserve"> caused by </w:t>
      </w:r>
      <w:r w:rsidR="004F1A6B" w:rsidRPr="000E6067">
        <w:rPr>
          <w:noProof/>
        </w:rPr>
        <w:t>uncerta</w:t>
      </w:r>
      <w:r w:rsidR="005968C0" w:rsidRPr="000E6067">
        <w:rPr>
          <w:noProof/>
        </w:rPr>
        <w:t>inties</w:t>
      </w:r>
      <w:r w:rsidR="00E21E69" w:rsidRPr="000E6067">
        <w:rPr>
          <w:noProof/>
        </w:rPr>
        <w:t xml:space="preserve"> </w:t>
      </w:r>
      <w:r w:rsidR="001F4212">
        <w:rPr>
          <w:noProof/>
        </w:rPr>
        <w:t xml:space="preserve">– </w:t>
      </w:r>
      <w:r w:rsidR="00E21E69" w:rsidRPr="000E6067">
        <w:rPr>
          <w:noProof/>
        </w:rPr>
        <w:t>weather conditions</w:t>
      </w:r>
      <w:r w:rsidR="005968C0" w:rsidRPr="000E6067">
        <w:rPr>
          <w:noProof/>
        </w:rPr>
        <w:t xml:space="preserve">, </w:t>
      </w:r>
      <w:r w:rsidR="002D21AA" w:rsidRPr="000E6067">
        <w:rPr>
          <w:noProof/>
        </w:rPr>
        <w:t>socio-economic activities</w:t>
      </w:r>
      <w:r w:rsidR="005968C0" w:rsidRPr="000E6067">
        <w:rPr>
          <w:noProof/>
        </w:rPr>
        <w:t>, and</w:t>
      </w:r>
      <w:r w:rsidR="00036C95">
        <w:rPr>
          <w:noProof/>
        </w:rPr>
        <w:t xml:space="preserve"> geopolitical events</w:t>
      </w:r>
      <w:r w:rsidR="001F4212">
        <w:rPr>
          <w:noProof/>
        </w:rPr>
        <w:t xml:space="preserve"> –</w:t>
      </w:r>
      <w:r w:rsidR="00130C05">
        <w:rPr>
          <w:noProof/>
        </w:rPr>
        <w:t xml:space="preserve"> </w:t>
      </w:r>
      <w:r w:rsidR="004340FD">
        <w:rPr>
          <w:noProof/>
        </w:rPr>
        <w:t>thereby</w:t>
      </w:r>
      <w:r w:rsidR="0038551B">
        <w:rPr>
          <w:noProof/>
        </w:rPr>
        <w:t xml:space="preserve"> accelerates </w:t>
      </w:r>
      <w:r w:rsidR="002D4B5B">
        <w:rPr>
          <w:noProof/>
        </w:rPr>
        <w:t xml:space="preserve">traffic congestion </w:t>
      </w:r>
      <w:r w:rsidR="00D16FCB">
        <w:rPr>
          <w:noProof/>
        </w:rPr>
        <w:t>and air/sound pollution</w:t>
      </w:r>
      <w:r w:rsidR="002D4B5B">
        <w:rPr>
          <w:noProof/>
        </w:rPr>
        <w:t xml:space="preserve">. </w:t>
      </w:r>
      <w:r w:rsidR="00E16562">
        <w:rPr>
          <w:noProof/>
        </w:rPr>
        <w:t>R</w:t>
      </w:r>
      <w:r w:rsidR="00D16FCB">
        <w:rPr>
          <w:noProof/>
        </w:rPr>
        <w:t>eliable public transit systems directly address the environmental and social challenges</w:t>
      </w:r>
      <w:r w:rsidR="00E16562">
        <w:rPr>
          <w:noProof/>
        </w:rPr>
        <w:t>, enhancing residents’ quality of life and mobility across metropolitan and rural areas</w:t>
      </w:r>
      <w:r w:rsidR="0049317C" w:rsidRPr="0049317C">
        <w:rPr>
          <w:noProof/>
        </w:rPr>
        <w:t xml:space="preserve"> </w:t>
      </w:r>
      <w:r w:rsidR="00675D57">
        <w:rPr>
          <w:noProof/>
        </w:rPr>
        <w:t>(Wang et al., 2025)</w:t>
      </w:r>
      <w:r w:rsidR="00D16FCB">
        <w:rPr>
          <w:noProof/>
        </w:rPr>
        <w:t>.</w:t>
      </w:r>
    </w:p>
    <w:p w14:paraId="24A62646" w14:textId="2C714164" w:rsidR="00023688" w:rsidRDefault="007250EE" w:rsidP="00E238AB">
      <w:pPr>
        <w:ind w:firstLine="720"/>
      </w:pPr>
      <w:r>
        <w:t>Despite</w:t>
      </w:r>
      <w:r w:rsidR="0006628B">
        <w:t xml:space="preserve"> Malaysian government </w:t>
      </w:r>
      <w:r>
        <w:t>investments in</w:t>
      </w:r>
      <w:r w:rsidR="0006628B">
        <w:t xml:space="preserve"> major </w:t>
      </w:r>
      <w:r>
        <w:t xml:space="preserve">transit infrastructure </w:t>
      </w:r>
      <w:r w:rsidR="00786D47">
        <w:t xml:space="preserve">such as </w:t>
      </w:r>
      <w:r w:rsidR="00430DF2">
        <w:t>mass rapid transit (MRT) Putrajaya</w:t>
      </w:r>
      <w:r w:rsidR="00B61E1C">
        <w:t xml:space="preserve">, </w:t>
      </w:r>
      <w:r w:rsidR="00430DF2">
        <w:t>Shah Alam</w:t>
      </w:r>
      <w:r w:rsidR="009A654D">
        <w:t xml:space="preserve">, </w:t>
      </w:r>
      <w:r w:rsidR="00B61E1C">
        <w:t xml:space="preserve">and </w:t>
      </w:r>
      <w:r w:rsidR="0010507D">
        <w:t>planned</w:t>
      </w:r>
      <w:r w:rsidR="009A654D">
        <w:t xml:space="preserve"> MRT Circle Line</w:t>
      </w:r>
      <w:r w:rsidR="00B61E1C">
        <w:t xml:space="preserve">, </w:t>
      </w:r>
      <w:r w:rsidR="00422CE4">
        <w:t xml:space="preserve">ridership </w:t>
      </w:r>
      <w:r w:rsidR="007927F0">
        <w:t>remains</w:t>
      </w:r>
      <w:r w:rsidR="00422CE4">
        <w:t xml:space="preserve"> below average </w:t>
      </w:r>
      <w:r w:rsidR="003A7275">
        <w:t>due to</w:t>
      </w:r>
      <w:r w:rsidR="00E56521">
        <w:t xml:space="preserve"> the </w:t>
      </w:r>
      <w:r w:rsidR="00D03A02">
        <w:t xml:space="preserve">uncertainties and </w:t>
      </w:r>
      <w:r w:rsidR="00E56521">
        <w:t>service quality</w:t>
      </w:r>
      <w:r w:rsidR="003A7275">
        <w:t xml:space="preserve"> flaws</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w:t>
      </w:r>
      <w:r w:rsidR="003A7275">
        <w:t>identified</w:t>
      </w:r>
      <w:r w:rsidR="00760756">
        <w:t xml:space="preserve"> that prolonged travel times, untimely delays, and limited accessibility</w:t>
      </w:r>
      <w:r w:rsidR="00092FF2">
        <w:t xml:space="preserve"> </w:t>
      </w:r>
      <w:r w:rsidR="003A7275">
        <w:t>are</w:t>
      </w:r>
      <w:r w:rsidR="00F01135">
        <w:t xml:space="preserve"> </w:t>
      </w:r>
      <w:r w:rsidR="003A7275">
        <w:t>primary causes</w:t>
      </w:r>
      <w:r w:rsidR="00F01135">
        <w:t xml:space="preserve"> </w:t>
      </w:r>
      <w:r w:rsidR="003A7275">
        <w:t>of</w:t>
      </w:r>
      <w:r w:rsidR="00F01135">
        <w:t xml:space="preserve"> passenger dissatisfaction</w:t>
      </w:r>
      <w:r w:rsidR="006F6098">
        <w:t>.</w:t>
      </w:r>
      <w:r w:rsidR="001C486D">
        <w:t xml:space="preserve"> </w:t>
      </w:r>
      <w:r w:rsidR="003A7275">
        <w:t>These service deficiencies increase</w:t>
      </w:r>
      <w:r w:rsidR="00210498">
        <w:t xml:space="preserve"> </w:t>
      </w:r>
      <w:r w:rsidR="003A7275">
        <w:t>spatiotemporal complexity</w:t>
      </w:r>
      <w:r w:rsidR="00D621A9">
        <w:t xml:space="preserve"> –</w:t>
      </w:r>
      <w:r w:rsidR="009153C9">
        <w:t xml:space="preserve"> </w:t>
      </w:r>
      <w:r w:rsidR="004503F4">
        <w:t xml:space="preserve">traffic, weathers, how people move </w:t>
      </w:r>
      <w:r w:rsidR="001D58A5">
        <w:t>around</w:t>
      </w:r>
      <w:r w:rsidR="00D621A9">
        <w:t xml:space="preserve"> – </w:t>
      </w:r>
      <w:r w:rsidR="001D58A5">
        <w:t>which conventional statistical models</w:t>
      </w:r>
      <w:r w:rsidR="003A7275">
        <w:t xml:space="preserve"> like </w:t>
      </w:r>
      <w:proofErr w:type="spellStart"/>
      <w:r w:rsidR="003A7275">
        <w:t>AutoRegressive</w:t>
      </w:r>
      <w:proofErr w:type="spellEnd"/>
      <w:r w:rsidR="003A7275">
        <w:t xml:space="preserve"> Integrated Moving Average (ARIMA) fails</w:t>
      </w:r>
      <w:r w:rsidR="001D58A5">
        <w:t xml:space="preserve"> to </w:t>
      </w:r>
      <w:r w:rsidR="003A7275">
        <w:t>predict accurately</w:t>
      </w:r>
      <w:r w:rsidR="00FE7B90">
        <w:t xml:space="preserve">. This </w:t>
      </w:r>
      <w:r w:rsidR="0012711B">
        <w:t>emphasizes the</w:t>
      </w:r>
      <w:r w:rsidR="00C8721E">
        <w:t xml:space="preserve"> important need</w:t>
      </w:r>
      <w:r w:rsidR="0012711B">
        <w:t xml:space="preserve"> for advanced predictive model to accurately</w:t>
      </w:r>
      <w:r w:rsidR="00C8721E">
        <w:t xml:space="preserve">, </w:t>
      </w:r>
      <w:r w:rsidR="00CE0946">
        <w:t>consistently</w:t>
      </w:r>
      <w:r w:rsidR="00C8721E">
        <w:t>, and reliably</w:t>
      </w:r>
      <w:r w:rsidR="0012711B">
        <w:t xml:space="preserve"> forecast public transit ridership</w:t>
      </w:r>
      <w:r w:rsidR="00727489">
        <w:t>.</w:t>
      </w:r>
    </w:p>
    <w:p w14:paraId="396E399B" w14:textId="6E0757AC"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w:t>
      </w:r>
      <w:r w:rsidR="001C0EB1">
        <w:t>for modelling</w:t>
      </w:r>
      <w:r w:rsidR="00F83D67">
        <w:t xml:space="preserve"> intricate</w:t>
      </w:r>
      <w:r w:rsidR="00103B7C">
        <w:t xml:space="preserve"> spatiotemporal </w:t>
      </w:r>
      <w:r w:rsidR="001C0EB1">
        <w:t>relationships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ARIMA, </w:t>
      </w:r>
      <w:r w:rsidR="006E03AB">
        <w:t>DL</w:t>
      </w:r>
      <w:r w:rsidR="0038003E">
        <w:t xml:space="preserve"> approaches such as Long Short-Term Memory (LSTM) and Graph Convolutional Networks (GCN)</w:t>
      </w:r>
      <w:r w:rsidR="008C3638">
        <w:t xml:space="preserve"> </w:t>
      </w:r>
      <w:r w:rsidR="002C1F8D">
        <w:t>integrate</w:t>
      </w:r>
      <w:r w:rsidR="00A761E0">
        <w:t xml:space="preserve"> </w:t>
      </w:r>
      <w:r w:rsidR="006E2CEB">
        <w:t>multiple</w:t>
      </w:r>
      <w:r w:rsidR="00A761E0">
        <w:t xml:space="preserve"> data sources</w:t>
      </w:r>
      <w:r w:rsidR="00A16D7B">
        <w:t xml:space="preserve"> – </w:t>
      </w:r>
      <w:r w:rsidR="002C1F8D">
        <w:t xml:space="preserve">General Transit Feed Specification (GTFS) data, </w:t>
      </w:r>
      <w:r w:rsidR="006A3C0E">
        <w:t>historical weather patterns, Points of Interest (POIs)</w:t>
      </w:r>
      <w:r w:rsidR="00A16D7B">
        <w:t xml:space="preserve"> –</w:t>
      </w:r>
      <w:r w:rsidR="000030B4">
        <w:t xml:space="preserve"> </w:t>
      </w:r>
      <w:r w:rsidR="006A3C0E">
        <w:t xml:space="preserve">to </w:t>
      </w:r>
      <w:r w:rsidR="00FC4D2E">
        <w:t xml:space="preserve">fully capture </w:t>
      </w:r>
      <w:r w:rsidR="001A1692">
        <w:t>multidimensional</w:t>
      </w:r>
      <w:r w:rsidR="00FC4D2E">
        <w:t xml:space="preserve"> relationships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FB5B9A">
        <w:t xml:space="preserve">Implementing state-of-the-art (SOTA) DL architectures addresses </w:t>
      </w:r>
      <w:r w:rsidR="00FB5B9A">
        <w:lastRenderedPageBreak/>
        <w:t>Malaysia’s current reliance on conventional models, enabling accurate ridership predictions for complex spatiotemporal data</w:t>
      </w:r>
      <w:r w:rsidR="00921040">
        <w:t>.</w:t>
      </w:r>
    </w:p>
    <w:p w14:paraId="35FB1A29" w14:textId="5EB58FBF" w:rsidR="004C7CDD" w:rsidRPr="00C7720B" w:rsidRDefault="004C7CDD">
      <w:pPr>
        <w:pStyle w:val="Heading2"/>
        <w:numPr>
          <w:ilvl w:val="1"/>
          <w:numId w:val="3"/>
        </w:numPr>
        <w:rPr>
          <w:b/>
          <w:bCs/>
          <w:sz w:val="24"/>
          <w:szCs w:val="24"/>
          <w:u w:val="single"/>
        </w:rPr>
      </w:pPr>
      <w:bookmarkStart w:id="2" w:name="_Toc230901601"/>
      <w:r w:rsidRPr="00C7720B">
        <w:rPr>
          <w:b/>
          <w:bCs/>
          <w:sz w:val="24"/>
          <w:szCs w:val="24"/>
          <w:u w:val="single"/>
        </w:rPr>
        <w:t>Problem Statement</w:t>
      </w:r>
      <w:bookmarkEnd w:id="2"/>
    </w:p>
    <w:p w14:paraId="35E20DC8" w14:textId="55D42F63" w:rsidR="007C1F62" w:rsidRDefault="00351C88" w:rsidP="00B23336">
      <w:pPr>
        <w:ind w:firstLine="720"/>
        <w:rPr>
          <w:lang w:val="en-US"/>
        </w:rPr>
      </w:pPr>
      <w:r>
        <w:rPr>
          <w:lang w:val="en-US"/>
        </w:rPr>
        <w:t>One of the major issues</w:t>
      </w:r>
      <w:r w:rsidR="00E238AB">
        <w:rPr>
          <w:lang w:val="en-US"/>
        </w:rPr>
        <w:t xml:space="preserve"> </w:t>
      </w:r>
      <w:r>
        <w:rPr>
          <w:lang w:val="en-US"/>
        </w:rPr>
        <w:t>with</w:t>
      </w:r>
      <w:r w:rsidR="00E238AB">
        <w:rPr>
          <w:lang w:val="en-US"/>
        </w:rPr>
        <w:t xml:space="preserve"> Malaysia’s transit management system is </w:t>
      </w:r>
      <w:r>
        <w:rPr>
          <w:lang w:val="en-US"/>
        </w:rPr>
        <w:t>predicting daily ridership accurately due to the complex</w:t>
      </w:r>
      <w:r w:rsidR="00E238AB">
        <w:rPr>
          <w:lang w:val="en-US"/>
        </w:rPr>
        <w:t xml:space="preserve"> relationship</w:t>
      </w:r>
      <w:r>
        <w:rPr>
          <w:lang w:val="en-US"/>
        </w:rPr>
        <w:t>s existing</w:t>
      </w:r>
      <w:r w:rsidR="00E238AB">
        <w:rPr>
          <w:lang w:val="en-US"/>
        </w:rPr>
        <w:t xml:space="preserve"> between spati</w:t>
      </w:r>
      <w:r w:rsidR="000B5F6C">
        <w:rPr>
          <w:lang w:val="en-US"/>
        </w:rPr>
        <w:t>o</w:t>
      </w:r>
      <w:r w:rsidR="00E238AB">
        <w:rPr>
          <w:lang w:val="en-US"/>
        </w:rPr>
        <w:t>temporal factors affect</w:t>
      </w:r>
      <w:r>
        <w:rPr>
          <w:lang w:val="en-US"/>
        </w:rPr>
        <w:t>ing</w:t>
      </w:r>
      <w:r w:rsidR="00E238AB">
        <w:rPr>
          <w:lang w:val="en-US"/>
        </w:rPr>
        <w:t xml:space="preserve"> public transport</w:t>
      </w:r>
      <w:r w:rsidR="00133CC8">
        <w:rPr>
          <w:lang w:val="en-US"/>
        </w:rPr>
        <w:t xml:space="preserve"> services</w:t>
      </w:r>
      <w:r>
        <w:rPr>
          <w:lang w:val="en-US"/>
        </w:rPr>
        <w:t xml:space="preserve"> </w:t>
      </w:r>
      <w:r w:rsidR="00350665">
        <w:rPr>
          <w:lang w:val="en-US"/>
        </w:rPr>
        <w:t>– including</w:t>
      </w:r>
      <w:r w:rsidR="001652AF">
        <w:rPr>
          <w:lang w:val="en-US"/>
        </w:rPr>
        <w:t xml:space="preserve"> population density, weather, </w:t>
      </w:r>
      <w:r w:rsidR="00350665">
        <w:rPr>
          <w:lang w:val="en-US"/>
        </w:rPr>
        <w:t>station/stop accessibility and socio-economic activities</w:t>
      </w:r>
      <w:r>
        <w:rPr>
          <w:lang w:val="en-US"/>
        </w:rPr>
        <w:t xml:space="preserve"> </w:t>
      </w:r>
      <w:r>
        <w:rPr>
          <w:noProof/>
        </w:rPr>
        <w:t>(Amir et al., 2025)</w:t>
      </w:r>
      <w:r w:rsidR="001652AF">
        <w:rPr>
          <w:lang w:val="en-US"/>
        </w:rPr>
        <w:t>.</w:t>
      </w:r>
      <w:r w:rsidR="00E238AB">
        <w:rPr>
          <w:lang w:val="en-US"/>
        </w:rPr>
        <w:t xml:space="preserve"> </w:t>
      </w:r>
      <w:r w:rsidR="00B23336">
        <w:rPr>
          <w:lang w:val="en-US"/>
        </w:rPr>
        <w:t>Consequently, transit authorities face critical bottleneck</w:t>
      </w:r>
      <w:r w:rsidR="00350665">
        <w:rPr>
          <w:lang w:val="en-US"/>
        </w:rPr>
        <w:t>s</w:t>
      </w:r>
      <w:r w:rsidR="00B23336">
        <w:rPr>
          <w:lang w:val="en-US"/>
        </w:rPr>
        <w:t xml:space="preserve"> in </w:t>
      </w:r>
      <w:r w:rsidR="00E22606">
        <w:rPr>
          <w:lang w:val="en-US"/>
        </w:rPr>
        <w:t xml:space="preserve">terms of </w:t>
      </w:r>
      <w:r w:rsidR="00B23336">
        <w:rPr>
          <w:lang w:val="en-US"/>
        </w:rPr>
        <w:t>schedul</w:t>
      </w:r>
      <w:r w:rsidR="00E22606">
        <w:rPr>
          <w:lang w:val="en-US"/>
        </w:rPr>
        <w:t>ing</w:t>
      </w:r>
      <w:r w:rsidR="00B23336">
        <w:rPr>
          <w:lang w:val="en-US"/>
        </w:rPr>
        <w:t>, rout</w:t>
      </w:r>
      <w:r w:rsidR="00E22606">
        <w:rPr>
          <w:lang w:val="en-US"/>
        </w:rPr>
        <w:t>ing</w:t>
      </w:r>
      <w:r w:rsidR="00B23336">
        <w:rPr>
          <w:lang w:val="en-US"/>
        </w:rPr>
        <w:t xml:space="preserve">, and </w:t>
      </w:r>
      <w:r w:rsidR="00350665">
        <w:rPr>
          <w:lang w:val="en-US"/>
        </w:rPr>
        <w:t xml:space="preserve">service </w:t>
      </w:r>
      <w:r w:rsidR="00B23336">
        <w:rPr>
          <w:lang w:val="en-US"/>
        </w:rPr>
        <w:t xml:space="preserve">intervals </w:t>
      </w:r>
      <w:r>
        <w:rPr>
          <w:lang w:val="en-US"/>
        </w:rPr>
        <w:t>during</w:t>
      </w:r>
      <w:r w:rsidR="00B23336">
        <w:rPr>
          <w:lang w:val="en-US"/>
        </w:rPr>
        <w:t xml:space="preserve"> peak hours and holidays, </w:t>
      </w:r>
      <w:r w:rsidR="00350665">
        <w:rPr>
          <w:lang w:val="en-US"/>
        </w:rPr>
        <w:t>undermining system reliability and passenger satisfaction</w:t>
      </w:r>
      <w:r w:rsidR="00B23336">
        <w:rPr>
          <w:lang w:val="en-US"/>
        </w:rPr>
        <w:t xml:space="preserve">. </w:t>
      </w:r>
      <w:r w:rsidR="00350665">
        <w:rPr>
          <w:lang w:val="en-US"/>
        </w:rPr>
        <w:t>Addressing this requires a</w:t>
      </w:r>
      <w:r w:rsidR="00B23336">
        <w:rPr>
          <w:lang w:val="en-US"/>
        </w:rPr>
        <w:t xml:space="preserve"> dual approach: (1) identify </w:t>
      </w:r>
      <w:r w:rsidR="003D44AE">
        <w:rPr>
          <w:lang w:val="en-US"/>
        </w:rPr>
        <w:t>spatio</w:t>
      </w:r>
      <w:r w:rsidR="00B23336">
        <w:rPr>
          <w:lang w:val="en-US"/>
        </w:rPr>
        <w:t>temporal factors influenc</w:t>
      </w:r>
      <w:r w:rsidR="00E22606">
        <w:rPr>
          <w:lang w:val="en-US"/>
        </w:rPr>
        <w:t>ing</w:t>
      </w:r>
      <w:r w:rsidR="00B23336">
        <w:rPr>
          <w:lang w:val="en-US"/>
        </w:rPr>
        <w:t xml:space="preserve"> </w:t>
      </w:r>
      <w:r w:rsidR="0082765A">
        <w:rPr>
          <w:lang w:val="en-US"/>
        </w:rPr>
        <w:t>Malaysia’s ridership trends</w:t>
      </w:r>
      <w:r w:rsidR="00B23336">
        <w:rPr>
          <w:lang w:val="en-US"/>
        </w:rPr>
        <w:t>; (2) develop a robust predictive model capable of forecasting daily ridership based on these identified features.</w:t>
      </w:r>
    </w:p>
    <w:p w14:paraId="5F9F169F" w14:textId="0F7409A7" w:rsidR="00B23336" w:rsidRPr="00E238AB" w:rsidRDefault="001652AF" w:rsidP="00B23336">
      <w:pPr>
        <w:ind w:firstLine="720"/>
        <w:rPr>
          <w:lang w:val="en-US"/>
        </w:rPr>
      </w:pPr>
      <w:r>
        <w:rPr>
          <w:lang w:val="en-US"/>
        </w:rPr>
        <w:t>Traditional</w:t>
      </w:r>
      <w:r w:rsidR="0082765A">
        <w:rPr>
          <w:lang w:val="en-US"/>
        </w:rPr>
        <w:t xml:space="preserve"> statistical</w:t>
      </w:r>
      <w:r>
        <w:rPr>
          <w:lang w:val="en-US"/>
        </w:rPr>
        <w:t xml:space="preserve"> models </w:t>
      </w:r>
      <w:r w:rsidR="00D218AD">
        <w:rPr>
          <w:lang w:val="en-US"/>
        </w:rPr>
        <w:t>struggle</w:t>
      </w:r>
      <w:r>
        <w:rPr>
          <w:lang w:val="en-US"/>
        </w:rPr>
        <w:t xml:space="preserve"> </w:t>
      </w:r>
      <w:r w:rsidR="00D218AD">
        <w:rPr>
          <w:lang w:val="en-US"/>
        </w:rPr>
        <w:t>with</w:t>
      </w:r>
      <w:r>
        <w:rPr>
          <w:lang w:val="en-US"/>
        </w:rPr>
        <w:t xml:space="preserve"> highly fluctuating data compared to DL</w:t>
      </w:r>
      <w:r w:rsidR="00D218AD">
        <w:rPr>
          <w:lang w:val="en-US"/>
        </w:rPr>
        <w:t xml:space="preserve"> approaches</w:t>
      </w:r>
      <w:r>
        <w:rPr>
          <w:lang w:val="en-US"/>
        </w:rPr>
        <w:t xml:space="preserve">. </w:t>
      </w:r>
      <w:r w:rsidR="00D218AD">
        <w:rPr>
          <w:lang w:val="en-US"/>
        </w:rPr>
        <w:t>A critical barrier exists</w:t>
      </w:r>
      <w:r w:rsidR="00A86A5E">
        <w:rPr>
          <w:lang w:val="en-US"/>
        </w:rPr>
        <w:t xml:space="preserve"> in historical ridership data</w:t>
      </w:r>
      <w:r w:rsidR="008F0B43">
        <w:rPr>
          <w:lang w:val="en-US"/>
        </w:rPr>
        <w:t>: extreme anomalies</w:t>
      </w:r>
      <w:r w:rsidR="00A86A5E">
        <w:rPr>
          <w:lang w:val="en-US"/>
        </w:rPr>
        <w:t xml:space="preserve"> </w:t>
      </w:r>
      <w:r w:rsidR="008F0B43">
        <w:rPr>
          <w:lang w:val="en-US"/>
        </w:rPr>
        <w:t xml:space="preserve">from Malaysia’s </w:t>
      </w:r>
      <w:r w:rsidR="00A86A5E">
        <w:rPr>
          <w:lang w:val="en-US"/>
        </w:rPr>
        <w:t xml:space="preserve">Movement Control Order (MCO) </w:t>
      </w:r>
      <w:r w:rsidR="008F0B43">
        <w:rPr>
          <w:lang w:val="en-US"/>
        </w:rPr>
        <w:t>enforcement</w:t>
      </w:r>
      <w:r w:rsidR="00A86A5E">
        <w:rPr>
          <w:lang w:val="en-US"/>
        </w:rPr>
        <w:t xml:space="preserve"> </w:t>
      </w:r>
      <w:r w:rsidR="008F0B43">
        <w:rPr>
          <w:lang w:val="en-US"/>
        </w:rPr>
        <w:t>(</w:t>
      </w:r>
      <w:r w:rsidR="00A86A5E">
        <w:rPr>
          <w:lang w:val="en-US"/>
        </w:rPr>
        <w:t>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w:t>
      </w:r>
      <w:r w:rsidR="008F0B43">
        <w:rPr>
          <w:lang w:val="en-US"/>
        </w:rPr>
        <w:t>) produced an</w:t>
      </w:r>
      <w:r w:rsidR="00A86A5E">
        <w:rPr>
          <w:lang w:val="en-US"/>
        </w:rPr>
        <w:t xml:space="preserve"> 85-90%</w:t>
      </w:r>
      <w:r w:rsidR="008F0B43">
        <w:rPr>
          <w:lang w:val="en-US"/>
        </w:rPr>
        <w:t xml:space="preserve"> passenger</w:t>
      </w:r>
      <w:r w:rsidR="00A86A5E">
        <w:rPr>
          <w:lang w:val="en-US"/>
        </w:rPr>
        <w:t xml:space="preserve"> drop, </w:t>
      </w:r>
      <w:r w:rsidR="008F0B43">
        <w:rPr>
          <w:lang w:val="en-US"/>
        </w:rPr>
        <w:t>creating</w:t>
      </w:r>
      <w:r w:rsidR="00A86A5E">
        <w:rPr>
          <w:lang w:val="en-US"/>
        </w:rPr>
        <w:t xml:space="preserve"> highly noisy </w:t>
      </w:r>
      <w:r w:rsidR="008F0B43">
        <w:rPr>
          <w:lang w:val="en-US"/>
        </w:rPr>
        <w:t>patterns unrepresentative of normal operations</w:t>
      </w:r>
      <w:r w:rsidR="00A86A5E">
        <w:rPr>
          <w:noProof/>
        </w:rPr>
        <w:t xml:space="preserve"> (Amir et al., 2025)</w:t>
      </w:r>
      <w:r w:rsidR="00A86A5E">
        <w:rPr>
          <w:lang w:val="en-US"/>
        </w:rPr>
        <w:t xml:space="preserve">. According to </w:t>
      </w:r>
      <w:r w:rsidR="00A86A5E">
        <w:rPr>
          <w:noProof/>
        </w:rPr>
        <w:t xml:space="preserve">Zhao &amp; Lan (2025), training AI models on such extreme outlier data </w:t>
      </w:r>
      <w:r w:rsidR="00D41AB5">
        <w:rPr>
          <w:noProof/>
        </w:rPr>
        <w:t>introduces</w:t>
      </w:r>
      <w:r w:rsidR="00A86A5E">
        <w:rPr>
          <w:noProof/>
        </w:rPr>
        <w:t xml:space="preserve"> significant predictive bias, as pandemic</w:t>
      </w:r>
      <w:r w:rsidR="00D41AB5">
        <w:rPr>
          <w:noProof/>
        </w:rPr>
        <w:t xml:space="preserve">-driven behaviour differs fundamentally from </w:t>
      </w:r>
      <w:r w:rsidR="00A86A5E">
        <w:rPr>
          <w:noProof/>
        </w:rPr>
        <w:t xml:space="preserve"> </w:t>
      </w:r>
      <w:r w:rsidR="00D41AB5">
        <w:rPr>
          <w:noProof/>
        </w:rPr>
        <w:t>typical</w:t>
      </w:r>
      <w:r w:rsidR="00A86A5E">
        <w:rPr>
          <w:noProof/>
        </w:rPr>
        <w:t xml:space="preserve"> urban mobility </w:t>
      </w:r>
      <w:r w:rsidR="00953A72">
        <w:rPr>
          <w:noProof/>
        </w:rPr>
        <w:t>patterns</w:t>
      </w:r>
      <w:r w:rsidR="00A86A5E">
        <w:rPr>
          <w:noProof/>
        </w:rPr>
        <w:t>.</w:t>
      </w:r>
      <w:r w:rsidR="003152FE">
        <w:rPr>
          <w:noProof/>
        </w:rPr>
        <w:t xml:space="preserve"> </w:t>
      </w:r>
      <w:r w:rsidR="00932F57">
        <w:rPr>
          <w:noProof/>
        </w:rPr>
        <w:t>Models trained on contaminated datasets</w:t>
      </w:r>
      <w:r w:rsidR="003152FE">
        <w:rPr>
          <w:noProof/>
        </w:rPr>
        <w:t xml:space="preserve"> </w:t>
      </w:r>
      <w:r w:rsidR="00932F57">
        <w:rPr>
          <w:noProof/>
        </w:rPr>
        <w:t xml:space="preserve">often struggle </w:t>
      </w:r>
      <w:r w:rsidR="003152FE">
        <w:rPr>
          <w:noProof/>
        </w:rPr>
        <w:t xml:space="preserve">to </w:t>
      </w:r>
      <w:r w:rsidR="00932F57">
        <w:rPr>
          <w:noProof/>
        </w:rPr>
        <w:t>recognize</w:t>
      </w:r>
      <w:r w:rsidR="003152FE">
        <w:rPr>
          <w:noProof/>
        </w:rPr>
        <w:t xml:space="preserve"> true</w:t>
      </w:r>
      <w:r w:rsidR="00932F57">
        <w:rPr>
          <w:noProof/>
        </w:rPr>
        <w:t xml:space="preserve"> ridership peaks once</w:t>
      </w:r>
      <w:r w:rsidR="003152FE">
        <w:rPr>
          <w:noProof/>
        </w:rPr>
        <w:t xml:space="preserve"> daily li</w:t>
      </w:r>
      <w:r w:rsidR="00932F57">
        <w:rPr>
          <w:noProof/>
        </w:rPr>
        <w:t xml:space="preserve">fe normalizes </w:t>
      </w:r>
      <w:r w:rsidR="003152FE">
        <w:rPr>
          <w:noProof/>
        </w:rPr>
        <w:t xml:space="preserve">(Lv et al., 2021). Therefore, </w:t>
      </w:r>
      <w:r w:rsidR="006E4329">
        <w:rPr>
          <w:noProof/>
        </w:rPr>
        <w:t>th</w:t>
      </w:r>
      <w:r w:rsidR="00932F57">
        <w:rPr>
          <w:noProof/>
        </w:rPr>
        <w:t>is</w:t>
      </w:r>
      <w:r w:rsidR="006E4329">
        <w:rPr>
          <w:noProof/>
        </w:rPr>
        <w:t xml:space="preserve"> researcher</w:t>
      </w:r>
      <w:r w:rsidR="003152FE">
        <w:rPr>
          <w:noProof/>
        </w:rPr>
        <w:t xml:space="preserve"> strategically </w:t>
      </w:r>
      <w:r w:rsidR="006E4329">
        <w:rPr>
          <w:noProof/>
        </w:rPr>
        <w:t>compare two datasets</w:t>
      </w:r>
      <w:r w:rsidR="00932F57">
        <w:rPr>
          <w:noProof/>
        </w:rPr>
        <w:t xml:space="preserve"> –</w:t>
      </w:r>
      <w:r w:rsidR="006E4329">
        <w:rPr>
          <w:noProof/>
        </w:rPr>
        <w:t xml:space="preserve"> on</w:t>
      </w:r>
      <w:r w:rsidR="00932F57">
        <w:rPr>
          <w:noProof/>
        </w:rPr>
        <w:t>e including and one excluding</w:t>
      </w:r>
      <w:r w:rsidR="006E4329">
        <w:rPr>
          <w:noProof/>
        </w:rPr>
        <w:t xml:space="preserve"> </w:t>
      </w:r>
      <w:r w:rsidR="00932F57">
        <w:rPr>
          <w:noProof/>
        </w:rPr>
        <w:t>the</w:t>
      </w:r>
      <w:r w:rsidR="006E4329">
        <w:rPr>
          <w:noProof/>
        </w:rPr>
        <w:t xml:space="preserve"> MCO period</w:t>
      </w:r>
      <w:r w:rsidR="00932F57">
        <w:rPr>
          <w:noProof/>
        </w:rPr>
        <w:t xml:space="preserve"> –</w:t>
      </w:r>
      <w:r w:rsidR="006E4329">
        <w:rPr>
          <w:noProof/>
        </w:rPr>
        <w:t xml:space="preserve"> </w:t>
      </w:r>
      <w:r w:rsidR="003152FE">
        <w:rPr>
          <w:noProof/>
        </w:rPr>
        <w:t>to</w:t>
      </w:r>
      <w:r w:rsidR="006E4329">
        <w:rPr>
          <w:noProof/>
        </w:rPr>
        <w:t xml:space="preserve"> </w:t>
      </w:r>
      <w:r w:rsidR="00932F57">
        <w:rPr>
          <w:noProof/>
        </w:rPr>
        <w:t>determine</w:t>
      </w:r>
      <w:r w:rsidR="006E4329">
        <w:rPr>
          <w:noProof/>
        </w:rPr>
        <w:t xml:space="preserve"> whether this </w:t>
      </w:r>
      <w:r w:rsidR="00932F57">
        <w:rPr>
          <w:noProof/>
        </w:rPr>
        <w:t>anomaly</w:t>
      </w:r>
      <w:r w:rsidR="006E4329">
        <w:rPr>
          <w:noProof/>
        </w:rPr>
        <w:t xml:space="preserve"> </w:t>
      </w:r>
      <w:r w:rsidR="00932F57">
        <w:rPr>
          <w:noProof/>
        </w:rPr>
        <w:t>should be treated</w:t>
      </w:r>
      <w:r w:rsidR="006E4329">
        <w:rPr>
          <w:noProof/>
        </w:rPr>
        <w:t xml:space="preserve"> as noise</w:t>
      </w:r>
      <w:r w:rsidR="003152FE">
        <w:rPr>
          <w:noProof/>
        </w:rPr>
        <w:t xml:space="preserve"> </w:t>
      </w:r>
      <w:r w:rsidR="00932F57">
        <w:rPr>
          <w:noProof/>
        </w:rPr>
        <w:t>before model traini</w:t>
      </w:r>
      <w:r w:rsidR="006E0F47">
        <w:rPr>
          <w:noProof/>
        </w:rPr>
        <w:t>ng.</w:t>
      </w:r>
    </w:p>
    <w:p w14:paraId="54F36F04" w14:textId="44CADF37" w:rsidR="00EA4AD8" w:rsidRPr="00C7720B" w:rsidRDefault="003E5B18">
      <w:pPr>
        <w:pStyle w:val="Heading2"/>
        <w:numPr>
          <w:ilvl w:val="1"/>
          <w:numId w:val="3"/>
        </w:numPr>
        <w:rPr>
          <w:b/>
          <w:bCs/>
          <w:sz w:val="24"/>
          <w:szCs w:val="24"/>
          <w:u w:val="single"/>
        </w:rPr>
      </w:pPr>
      <w:bookmarkStart w:id="3" w:name="_Toc230901602"/>
      <w:r w:rsidRPr="00C7720B">
        <w:rPr>
          <w:b/>
          <w:bCs/>
          <w:sz w:val="24"/>
          <w:szCs w:val="24"/>
          <w:u w:val="single"/>
        </w:rPr>
        <w:t>Research Questions</w:t>
      </w:r>
      <w:bookmarkEnd w:id="3"/>
    </w:p>
    <w:p w14:paraId="1969512C" w14:textId="08B52743" w:rsidR="003E5B18" w:rsidRDefault="008525D2" w:rsidP="008525D2">
      <w:pPr>
        <w:pStyle w:val="ListParagraph"/>
        <w:numPr>
          <w:ilvl w:val="0"/>
          <w:numId w:val="1"/>
        </w:numPr>
      </w:pPr>
      <w:r>
        <w:t xml:space="preserve">What are the primary </w:t>
      </w:r>
      <w:r w:rsidR="00597392">
        <w:t>spatiotemporal</w:t>
      </w:r>
      <w:r>
        <w:t xml:space="preserve">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pPr>
        <w:pStyle w:val="Heading2"/>
        <w:numPr>
          <w:ilvl w:val="1"/>
          <w:numId w:val="3"/>
        </w:numPr>
        <w:rPr>
          <w:b/>
          <w:bCs/>
          <w:sz w:val="24"/>
          <w:szCs w:val="24"/>
          <w:u w:val="single"/>
        </w:rPr>
      </w:pPr>
      <w:bookmarkStart w:id="4" w:name="_Toc230901603"/>
      <w:r w:rsidRPr="00C7720B">
        <w:rPr>
          <w:b/>
          <w:bCs/>
          <w:sz w:val="24"/>
          <w:szCs w:val="24"/>
          <w:u w:val="single"/>
        </w:rPr>
        <w:lastRenderedPageBreak/>
        <w:t>Research Objectives</w:t>
      </w:r>
      <w:bookmarkEnd w:id="4"/>
    </w:p>
    <w:p w14:paraId="6AA79002" w14:textId="1280262C" w:rsidR="00EC2B42" w:rsidRDefault="00EC2B42" w:rsidP="00EC2B42">
      <w:pPr>
        <w:pStyle w:val="ListParagraph"/>
        <w:numPr>
          <w:ilvl w:val="0"/>
          <w:numId w:val="2"/>
        </w:numPr>
      </w:pPr>
      <w:r>
        <w:t xml:space="preserve">To identify and categorize the primary </w:t>
      </w:r>
      <w:r w:rsidR="00597392">
        <w:t>spatiotemporal</w:t>
      </w:r>
      <w:r>
        <w:t xml:space="preserve"> factors </w:t>
      </w:r>
      <w:r w:rsidR="000D229E">
        <w:t>affecting</w:t>
      </w:r>
      <w:r>
        <w:t xml:space="preserve"> </w:t>
      </w:r>
      <w:r w:rsidR="000D229E">
        <w:t>Malaysian public transit ridership</w:t>
      </w:r>
      <w:r>
        <w:t xml:space="preserve"> through a systematic analysis of historical performance data.</w:t>
      </w:r>
    </w:p>
    <w:p w14:paraId="55133DB4" w14:textId="136F863C"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 xml:space="preserve">Malaysia’s </w:t>
      </w:r>
      <w:r w:rsidR="00597392">
        <w:t>spatiotemporal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pPr>
        <w:pStyle w:val="Heading2"/>
        <w:numPr>
          <w:ilvl w:val="1"/>
          <w:numId w:val="3"/>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03D01888" w:rsidR="00B1711A" w:rsidRPr="00B1711A" w:rsidRDefault="003D44AE" w:rsidP="007E78C3">
            <w:pPr>
              <w:jc w:val="left"/>
              <w:rPr>
                <w:b/>
                <w:bCs/>
              </w:rPr>
            </w:pPr>
            <w:r>
              <w:rPr>
                <w:b/>
                <w:bCs/>
              </w:rPr>
              <w:t>Spatio</w:t>
            </w:r>
            <w:r w:rsidR="00E22606">
              <w:rPr>
                <w:b/>
                <w:bCs/>
              </w:rPr>
              <w:t>-</w:t>
            </w:r>
            <w:r w:rsidR="00B1711A" w:rsidRPr="00B1711A">
              <w:rPr>
                <w:b/>
                <w:bCs/>
              </w:rPr>
              <w:t>temporal</w:t>
            </w:r>
          </w:p>
        </w:tc>
        <w:tc>
          <w:tcPr>
            <w:tcW w:w="6044" w:type="dxa"/>
          </w:tcPr>
          <w:p w14:paraId="0FA3A405" w14:textId="77777777" w:rsidR="00E22606" w:rsidRDefault="00B1711A">
            <w:pPr>
              <w:pStyle w:val="ListParagraph"/>
              <w:numPr>
                <w:ilvl w:val="0"/>
                <w:numId w:val="16"/>
              </w:numPr>
              <w:ind w:left="539"/>
              <w:jc w:val="left"/>
            </w:pPr>
            <w:r>
              <w:t>Bidirectional LSTM (</w:t>
            </w:r>
            <w:r w:rsidRPr="00E22606">
              <w:rPr>
                <w:b/>
                <w:bCs/>
              </w:rPr>
              <w:t>BiLSTM</w:t>
            </w:r>
            <w:r>
              <w:t>)</w:t>
            </w:r>
          </w:p>
          <w:p w14:paraId="40062BE6" w14:textId="77777777" w:rsidR="00E22606" w:rsidRDefault="003D44AE">
            <w:pPr>
              <w:pStyle w:val="ListParagraph"/>
              <w:numPr>
                <w:ilvl w:val="0"/>
                <w:numId w:val="16"/>
              </w:numPr>
              <w:ind w:left="539"/>
              <w:jc w:val="left"/>
            </w:pPr>
            <w:r>
              <w:t>Spatiotemporal</w:t>
            </w:r>
            <w:r w:rsidR="00B1711A">
              <w:t xml:space="preserve"> LSTM (</w:t>
            </w:r>
            <w:r w:rsidR="00B1711A" w:rsidRPr="00E22606">
              <w:rPr>
                <w:b/>
                <w:bCs/>
              </w:rPr>
              <w:t>ST-LSTM</w:t>
            </w:r>
            <w:r w:rsidR="00B1711A">
              <w:t>)</w:t>
            </w:r>
          </w:p>
          <w:p w14:paraId="56F2A54D" w14:textId="77777777" w:rsidR="00E22606" w:rsidRDefault="00B1711A">
            <w:pPr>
              <w:pStyle w:val="ListParagraph"/>
              <w:numPr>
                <w:ilvl w:val="0"/>
                <w:numId w:val="16"/>
              </w:numPr>
              <w:ind w:left="539"/>
              <w:jc w:val="left"/>
            </w:pPr>
            <w:r w:rsidRPr="00B1711A">
              <w:t>Convolutional Neural Networ</w:t>
            </w:r>
            <w:r>
              <w:t>k LSTM (</w:t>
            </w:r>
            <w:r w:rsidRPr="00E22606">
              <w:rPr>
                <w:b/>
                <w:bCs/>
              </w:rPr>
              <w:t>CNN-LSTM</w:t>
            </w:r>
            <w:r>
              <w:t>) - Sequential/Parallel/Augmented</w:t>
            </w:r>
          </w:p>
          <w:p w14:paraId="1601B328" w14:textId="77777777" w:rsidR="00E22606" w:rsidRPr="00E22606" w:rsidRDefault="00B1711A">
            <w:pPr>
              <w:pStyle w:val="ListParagraph"/>
              <w:numPr>
                <w:ilvl w:val="0"/>
                <w:numId w:val="16"/>
              </w:numPr>
              <w:ind w:left="539"/>
              <w:jc w:val="left"/>
            </w:pPr>
            <w:r w:rsidRPr="00E22606">
              <w:rPr>
                <w:b/>
                <w:bCs/>
              </w:rPr>
              <w:t>CNN-BiLSTM</w:t>
            </w:r>
          </w:p>
          <w:p w14:paraId="45F9A992" w14:textId="50A99D3B" w:rsidR="00B1711A" w:rsidRDefault="00FE6449">
            <w:pPr>
              <w:pStyle w:val="ListParagraph"/>
              <w:numPr>
                <w:ilvl w:val="0"/>
                <w:numId w:val="16"/>
              </w:numPr>
              <w:ind w:left="539"/>
              <w:jc w:val="left"/>
            </w:pPr>
            <w:r w:rsidRPr="00AF6AD0">
              <w:t>Temporal Pattern Attention</w:t>
            </w:r>
            <w:r>
              <w:t xml:space="preserve"> (</w:t>
            </w:r>
            <w:r w:rsidRPr="00E22606">
              <w:rPr>
                <w:b/>
                <w:bCs/>
              </w:rPr>
              <w:t>TPA</w:t>
            </w:r>
            <w:r>
              <w:t>)</w:t>
            </w:r>
            <w:r w:rsidRPr="00E22606">
              <w:rPr>
                <w:b/>
                <w:bCs/>
              </w:rPr>
              <w:t>-LSTM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2825064F" w14:textId="77777777" w:rsidR="00E22606" w:rsidRDefault="003D44AE">
            <w:pPr>
              <w:pStyle w:val="ListParagraph"/>
              <w:numPr>
                <w:ilvl w:val="0"/>
                <w:numId w:val="17"/>
              </w:numPr>
              <w:ind w:left="539"/>
              <w:jc w:val="left"/>
            </w:pPr>
            <w:r>
              <w:t>Spatiotemporal</w:t>
            </w:r>
            <w:r w:rsidR="00B1711A" w:rsidRPr="00B1711A">
              <w:t xml:space="preserve"> Graph Convolutional Network</w:t>
            </w:r>
            <w:r w:rsidR="00B1711A">
              <w:t xml:space="preserve"> (</w:t>
            </w:r>
            <w:r w:rsidR="00B1711A" w:rsidRPr="00E22606">
              <w:rPr>
                <w:b/>
                <w:bCs/>
              </w:rPr>
              <w:t>STGCN</w:t>
            </w:r>
            <w:r w:rsidR="00B1711A">
              <w:t>)</w:t>
            </w:r>
          </w:p>
          <w:p w14:paraId="5DE0030A" w14:textId="77777777" w:rsidR="00E22606" w:rsidRDefault="00B1711A">
            <w:pPr>
              <w:pStyle w:val="ListParagraph"/>
              <w:numPr>
                <w:ilvl w:val="0"/>
                <w:numId w:val="17"/>
              </w:numPr>
              <w:ind w:left="539"/>
              <w:jc w:val="left"/>
            </w:pPr>
            <w:r w:rsidRPr="00B1711A">
              <w:t>Spatial-Temporal Synchronous Graph Convolutional Network</w:t>
            </w:r>
            <w:r>
              <w:t xml:space="preserve"> (</w:t>
            </w:r>
            <w:r w:rsidRPr="00E22606">
              <w:rPr>
                <w:b/>
                <w:bCs/>
              </w:rPr>
              <w:t>STSGCN</w:t>
            </w:r>
            <w:r>
              <w:t>)</w:t>
            </w:r>
          </w:p>
          <w:p w14:paraId="6C0980E0" w14:textId="77777777" w:rsidR="00E22606" w:rsidRDefault="00B1711A">
            <w:pPr>
              <w:pStyle w:val="ListParagraph"/>
              <w:numPr>
                <w:ilvl w:val="0"/>
                <w:numId w:val="17"/>
              </w:numPr>
              <w:ind w:left="539"/>
              <w:jc w:val="left"/>
            </w:pPr>
            <w:r w:rsidRPr="00B1711A">
              <w:t>Spatial-Temporal Fusion Graph Neural Network</w:t>
            </w:r>
            <w:r>
              <w:t xml:space="preserve"> (</w:t>
            </w:r>
            <w:r w:rsidRPr="00E22606">
              <w:rPr>
                <w:b/>
                <w:bCs/>
              </w:rPr>
              <w:t>STFGNN</w:t>
            </w:r>
            <w:r>
              <w:t>)</w:t>
            </w:r>
          </w:p>
          <w:p w14:paraId="11CEB59B" w14:textId="77777777" w:rsidR="00E22606" w:rsidRDefault="00B1711A">
            <w:pPr>
              <w:pStyle w:val="ListParagraph"/>
              <w:numPr>
                <w:ilvl w:val="0"/>
                <w:numId w:val="17"/>
              </w:numPr>
              <w:ind w:left="539"/>
              <w:jc w:val="left"/>
            </w:pPr>
            <w:r w:rsidRPr="00B1711A">
              <w:t>Multi-Scale Temporal Graph Neural Network</w:t>
            </w:r>
            <w:r>
              <w:t xml:space="preserve"> (</w:t>
            </w:r>
            <w:r w:rsidRPr="00E22606">
              <w:rPr>
                <w:b/>
                <w:bCs/>
              </w:rPr>
              <w:t>MTGNN</w:t>
            </w:r>
            <w:r>
              <w:t>)</w:t>
            </w:r>
          </w:p>
          <w:p w14:paraId="170FEBED" w14:textId="77777777" w:rsidR="00E22606" w:rsidRPr="00E22606" w:rsidRDefault="00B1711A">
            <w:pPr>
              <w:pStyle w:val="ListParagraph"/>
              <w:numPr>
                <w:ilvl w:val="0"/>
                <w:numId w:val="17"/>
              </w:numPr>
              <w:ind w:left="539"/>
              <w:jc w:val="left"/>
              <w:rPr>
                <w:b/>
                <w:bCs/>
              </w:rPr>
            </w:pPr>
            <w:r w:rsidRPr="00B1711A">
              <w:lastRenderedPageBreak/>
              <w:t>Periodicity-Aware Dynamic Relational</w:t>
            </w:r>
            <w:r>
              <w:t xml:space="preserve"> (</w:t>
            </w:r>
            <w:r w:rsidRPr="00E22606">
              <w:rPr>
                <w:b/>
                <w:bCs/>
              </w:rPr>
              <w:t>PDR</w:t>
            </w:r>
            <w:r>
              <w:t>)</w:t>
            </w:r>
            <w:r w:rsidRPr="00B1711A">
              <w:t>-</w:t>
            </w:r>
            <w:r w:rsidRPr="00E22606">
              <w:rPr>
                <w:b/>
                <w:bCs/>
              </w:rPr>
              <w:t>STGCN</w:t>
            </w:r>
          </w:p>
          <w:p w14:paraId="71C13A95" w14:textId="1C878BEE" w:rsidR="00B1711A" w:rsidRDefault="00FE6449">
            <w:pPr>
              <w:pStyle w:val="ListParagraph"/>
              <w:numPr>
                <w:ilvl w:val="0"/>
                <w:numId w:val="17"/>
              </w:numPr>
              <w:ind w:left="539"/>
              <w:jc w:val="left"/>
            </w:pPr>
            <w:r>
              <w:t>Attention-based STGCN (</w:t>
            </w:r>
            <w:r w:rsidRPr="00E22606">
              <w:rPr>
                <w:b/>
                <w:bCs/>
              </w:rPr>
              <w:t>ASTGCN</w:t>
            </w:r>
            <w:r>
              <w:t>)</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35940014" w14:textId="77777777" w:rsidR="00E22606" w:rsidRPr="00E22606" w:rsidRDefault="00B1711A">
            <w:pPr>
              <w:pStyle w:val="ListParagraph"/>
              <w:numPr>
                <w:ilvl w:val="0"/>
                <w:numId w:val="18"/>
              </w:numPr>
              <w:ind w:left="539"/>
              <w:jc w:val="left"/>
              <w:rPr>
                <w:b/>
                <w:bCs/>
              </w:rPr>
            </w:pPr>
            <w:proofErr w:type="spellStart"/>
            <w:r w:rsidRPr="00E22606">
              <w:rPr>
                <w:b/>
                <w:bCs/>
              </w:rPr>
              <w:t>Autoformer</w:t>
            </w:r>
            <w:proofErr w:type="spellEnd"/>
          </w:p>
          <w:p w14:paraId="5CB0BF31" w14:textId="15674378" w:rsidR="00B1711A" w:rsidRDefault="00B1711A">
            <w:pPr>
              <w:pStyle w:val="ListParagraph"/>
              <w:numPr>
                <w:ilvl w:val="0"/>
                <w:numId w:val="18"/>
              </w:numPr>
              <w:ind w:left="539"/>
              <w:jc w:val="left"/>
            </w:pPr>
            <w:r w:rsidRPr="00E22606">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21AA6723"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50272D">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pPr>
        <w:pStyle w:val="Heading2"/>
        <w:numPr>
          <w:ilvl w:val="1"/>
          <w:numId w:val="3"/>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pPr>
        <w:pStyle w:val="ListParagraph"/>
        <w:numPr>
          <w:ilvl w:val="0"/>
          <w:numId w:val="4"/>
        </w:numPr>
      </w:pPr>
      <w:r>
        <w:t>Provide a detailed comparative analysis evaluating multiple deep learning models across distinct lookback windows, explicitly segmented by MCO periods.</w:t>
      </w:r>
    </w:p>
    <w:p w14:paraId="7AA17205" w14:textId="46A742FF" w:rsidR="00EC4675" w:rsidRDefault="00EC4675">
      <w:pPr>
        <w:pStyle w:val="ListParagraph"/>
        <w:numPr>
          <w:ilvl w:val="0"/>
          <w:numId w:val="4"/>
        </w:numPr>
      </w:pPr>
      <w:r>
        <w:t xml:space="preserve">Introduce a </w:t>
      </w:r>
      <w:r w:rsidR="001601DA">
        <w:t>predictive</w:t>
      </w:r>
      <w:r>
        <w:t xml:space="preserve"> model that outperforms baseline</w:t>
      </w:r>
      <w:r w:rsidR="001601DA">
        <w:t xml:space="preserve"> SOTAs</w:t>
      </w:r>
      <w:r>
        <w:t xml:space="preserve"> across all lookback windows and MCO </w:t>
      </w:r>
      <w:r w:rsidR="001601DA">
        <w:t>inclusion</w:t>
      </w:r>
      <w:r w:rsidR="004B2515">
        <w:t>/exclusion</w:t>
      </w:r>
      <w:r>
        <w:t>, accompanied by a reduced</w:t>
      </w:r>
      <w:r w:rsidR="00775A4D">
        <w:t>-</w:t>
      </w:r>
      <w:r>
        <w:t xml:space="preserve">feature variant </w:t>
      </w:r>
      <w:r w:rsidR="00775A4D">
        <w:t>based on</w:t>
      </w:r>
      <w:r>
        <w:t xml:space="preserve"> SHAP-based feature importance ranking, to </w:t>
      </w:r>
      <w:r w:rsidR="003C4B86">
        <w:t>evaluate</w:t>
      </w:r>
      <w:r>
        <w:t xml:space="preserve"> </w:t>
      </w:r>
      <w:r w:rsidR="00DD5792">
        <w:t>the removal of near-zero important</w:t>
      </w:r>
      <w:r>
        <w:t xml:space="preserve"> </w:t>
      </w:r>
      <w:r w:rsidR="003C4B86">
        <w:t>spatiotemporal</w:t>
      </w:r>
      <w:r>
        <w:t xml:space="preserve"> feature</w:t>
      </w:r>
      <w:r w:rsidR="00DD5792">
        <w:t>s</w:t>
      </w:r>
      <w:r>
        <w:t xml:space="preserve"> toward ridership</w:t>
      </w:r>
      <w:r w:rsidR="00DD5792">
        <w:t xml:space="preserve"> prediction</w:t>
      </w:r>
      <w:r>
        <w:t>.</w:t>
      </w:r>
    </w:p>
    <w:p w14:paraId="7FFE377B" w14:textId="08F10C74" w:rsidR="00DD5792" w:rsidRDefault="00DD5792">
      <w:pPr>
        <w:pStyle w:val="ListParagraph"/>
        <w:numPr>
          <w:ilvl w:val="0"/>
          <w:numId w:val="4"/>
        </w:numPr>
      </w:pPr>
      <w:r>
        <w:t xml:space="preserve">Develop a command-line interface (CLI) inference </w:t>
      </w:r>
      <w:r w:rsidR="00ED571D">
        <w:t>to</w:t>
      </w:r>
      <w:r>
        <w:t xml:space="preserve"> predict 7-day ridership </w:t>
      </w:r>
      <w:r w:rsidR="00272BD7">
        <w:t>for</w:t>
      </w:r>
      <w:r>
        <w:t xml:space="preserve"> 12 distinct transit networks </w:t>
      </w:r>
      <w:r w:rsidR="00272BD7">
        <w:t>based on</w:t>
      </w:r>
      <w:r>
        <w:t xml:space="preserve"> historical distribution percentages </w:t>
      </w:r>
      <w:r w:rsidR="002946CB">
        <w:t>with</w:t>
      </w:r>
      <w:r>
        <w:t xml:space="preserve"> the proposed model.</w:t>
      </w:r>
    </w:p>
    <w:p w14:paraId="7AB27CD8" w14:textId="2257E77A" w:rsidR="00A66264" w:rsidRPr="001D34FB" w:rsidRDefault="00030C66">
      <w:pPr>
        <w:pStyle w:val="Heading1"/>
        <w:numPr>
          <w:ilvl w:val="0"/>
          <w:numId w:val="3"/>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pPr>
        <w:pStyle w:val="Heading2"/>
        <w:numPr>
          <w:ilvl w:val="1"/>
          <w:numId w:val="3"/>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66906AE5" w14:textId="43A74686" w:rsidR="00F0758B" w:rsidRDefault="00946EC9">
      <w:pPr>
        <w:pStyle w:val="Heading3"/>
        <w:numPr>
          <w:ilvl w:val="2"/>
          <w:numId w:val="3"/>
        </w:numPr>
        <w:rPr>
          <w:b/>
          <w:bCs/>
          <w:sz w:val="24"/>
          <w:szCs w:val="24"/>
          <w:u w:val="single"/>
        </w:rPr>
      </w:pPr>
      <w:bookmarkStart w:id="9" w:name="_Toc230901607"/>
      <w:r w:rsidRPr="00C7720B">
        <w:rPr>
          <w:b/>
          <w:bCs/>
          <w:sz w:val="24"/>
          <w:szCs w:val="24"/>
          <w:u w:val="single"/>
        </w:rPr>
        <w:t>Defining Reliability: Metrics and User Perception</w:t>
      </w:r>
      <w:bookmarkEnd w:id="9"/>
    </w:p>
    <w:p w14:paraId="46E850D6" w14:textId="16F36292" w:rsidR="00876C99" w:rsidRDefault="00CB00FE" w:rsidP="00876C99">
      <w:pPr>
        <w:ind w:firstLine="720"/>
      </w:pPr>
      <w:r>
        <w:t xml:space="preserve">Public transport reliability is a multi-dimensional construct that integrates objective operational performance indicators with subjective passenger experience. Mohamed et al. (2021) define travel time reliability as the calculated time gap between expected and actual </w:t>
      </w:r>
      <w:r>
        <w:lastRenderedPageBreak/>
        <w:t>travel times, citing route length, signalized intersections, and departure delays as primary structural causes of network unreliability. Conversely, Ibrahim et al. (2022) demonstrate that user satisfaction within the Klang Valley Light Rail Transit (LRT) system is heavily mediated by “soft” reliability factors – the provision of accurate real-time information and the quality of station amenities.</w:t>
      </w:r>
    </w:p>
    <w:p w14:paraId="7C3B0C29" w14:textId="59D74069" w:rsidR="00F31DDC" w:rsidRDefault="00F31DDC" w:rsidP="00876C99">
      <w:pPr>
        <w:ind w:firstLine="720"/>
        <w:rPr>
          <w:noProof/>
        </w:rPr>
      </w:pPr>
      <w:r>
        <w:rPr>
          <w:noProof/>
        </w:rPr>
        <w:t>This divergence indicates that while transit agencies like RapidKL traditionally prioritize “hard” technical metrics such as headway adherence and on-time performance, the passenger’s psychological perception of reliability is shaped by the immediate physical environment and the mitigating effect of transparent communication. For instance, structural breakdowns and delays on the LRT Kelana Jaya line, alongside extreme disruptions like the derailment near Chan Sow Lin station on LRT Ampang-Sri Petaling line, highlight that operational unpredictable execution converts directly into acute user stress and anxiety.</w:t>
      </w:r>
    </w:p>
    <w:p w14:paraId="67D42C21" w14:textId="05A37330" w:rsidR="00F31DDC" w:rsidRDefault="00F31DDC" w:rsidP="00876C99">
      <w:pPr>
        <w:ind w:firstLine="720"/>
        <w:rPr>
          <w:noProof/>
        </w:rPr>
      </w:pPr>
      <w:r>
        <w:rPr>
          <w:noProof/>
        </w:rPr>
        <w:t>Consequently, understanding the intersection of technical metrics and subjective factors is vital for establishing standardized evaluation criteria, as mapped in the comprehensive breakdown of operational, informational, and service quality parameters detailed in Table 2.</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063FF949"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50272D">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pPr>
        <w:pStyle w:val="Heading3"/>
        <w:numPr>
          <w:ilvl w:val="2"/>
          <w:numId w:val="3"/>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66CB16E2" w14:textId="2F78B7F7" w:rsidR="00BF5C70" w:rsidRDefault="00664082" w:rsidP="00BF5C70">
      <w:pPr>
        <w:ind w:firstLine="720"/>
      </w:pPr>
      <w:r>
        <w:t>Chronic service unreliability generates a sever demand-erosion cycle that</w:t>
      </w:r>
      <w:r w:rsidR="008C1726">
        <w:t xml:space="preserve"> fundamentally undermines public transit ridership. Amir et al. (2025) note that the absence of reliable predictions regarding traffic and weather variations causes citizens to abandon public transit in favour of private vehicles, a finding supported by Mee et al. (2022), who identify </w:t>
      </w:r>
      <w:r w:rsidR="008C1726">
        <w:lastRenderedPageBreak/>
        <w:t>prolonged travel times and untimely delays as the leading causes of passenger dissatisfaction in metropolitan areas like Kuala Lumpur and Manila.</w:t>
      </w:r>
    </w:p>
    <w:p w14:paraId="4F69BC4C" w14:textId="3185362A" w:rsidR="008C1726" w:rsidRDefault="008C1726" w:rsidP="00BF5C70">
      <w:pPr>
        <w:ind w:firstLine="720"/>
        <w:rPr>
          <w:noProof/>
          <w:lang w:val="en-US"/>
        </w:rPr>
      </w:pPr>
      <w:r>
        <w:t xml:space="preserve">When operational variance grows, passengers are forced to allocate substantial “buffer time” into their personal schedules to insure against systemic delays. For </w:t>
      </w:r>
      <w:r w:rsidR="007351B0">
        <w:t>most</w:t>
      </w:r>
      <w:r>
        <w:t xml:space="preserve"> commuters, this continuous temporal penalty quickly outweighs the financial savings of public transport, causing stagnant or declining model shares even during periods of rising fuel costs or high private vehicle ownership penalties, as observed in decentralized urban sectors such as Kota </w:t>
      </w:r>
      <w:proofErr w:type="spellStart"/>
      <w:r>
        <w:t>Samarahan</w:t>
      </w:r>
      <w:proofErr w:type="spellEnd"/>
      <w:r>
        <w:t>. This behavioural shift establishes a self-reinforcing loop where transit unreliability drives private vehicular growth, thereby intensifying the road congestion that further degrades transit schedule adherence, as visually conceptualized in the behavioural cycle shown in Figure 1.</w:t>
      </w:r>
    </w:p>
    <w:p w14:paraId="4BE3E7A8" w14:textId="00B158AA" w:rsidR="00CD7316" w:rsidRDefault="00916A7C" w:rsidP="00916A7C">
      <w:pPr>
        <w:spacing w:after="0"/>
        <w:jc w:val="center"/>
      </w:pPr>
      <w:r>
        <w:rPr>
          <w:noProof/>
          <w:lang w:val="en-US"/>
        </w:rPr>
        <w:drawing>
          <wp:inline distT="0" distB="0" distL="0" distR="0" wp14:anchorId="125BB2D3" wp14:editId="029FCD6D">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505B6E64" w:rsidR="00916A7C" w:rsidRPr="00916A7C" w:rsidRDefault="00916A7C" w:rsidP="00916A7C">
      <w:pPr>
        <w:pStyle w:val="Caption"/>
        <w:jc w:val="center"/>
        <w:rPr>
          <w:color w:val="auto"/>
          <w:sz w:val="24"/>
          <w:szCs w:val="24"/>
        </w:rPr>
      </w:pPr>
      <w:bookmarkStart w:id="12" w:name="_Toc230901632"/>
      <w:r w:rsidRPr="00916A7C">
        <w:rPr>
          <w:color w:val="auto"/>
          <w:sz w:val="24"/>
          <w:szCs w:val="24"/>
        </w:rPr>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9C2312">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pPr>
        <w:pStyle w:val="Heading3"/>
        <w:numPr>
          <w:ilvl w:val="2"/>
          <w:numId w:val="3"/>
        </w:numPr>
        <w:rPr>
          <w:b/>
          <w:bCs/>
          <w:sz w:val="24"/>
          <w:szCs w:val="24"/>
          <w:u w:val="single"/>
        </w:rPr>
      </w:pPr>
      <w:bookmarkStart w:id="13" w:name="_Toc230901609"/>
      <w:r>
        <w:rPr>
          <w:b/>
          <w:bCs/>
          <w:sz w:val="24"/>
          <w:szCs w:val="24"/>
          <w:u w:val="single"/>
        </w:rPr>
        <w:t>The Landscape of Public Transit in Malaysia</w:t>
      </w:r>
      <w:bookmarkEnd w:id="13"/>
    </w:p>
    <w:p w14:paraId="76F20CEC" w14:textId="59790DA7" w:rsidR="00224FA2" w:rsidRDefault="00224FA2" w:rsidP="00224FA2">
      <w:pPr>
        <w:ind w:firstLine="720"/>
      </w:pPr>
      <w:r>
        <w:t xml:space="preserve">The Malaysian public transportation sector is currently defined by a sharp mismatch between extensive capital infrastructure investments and persistently low commuter modal </w:t>
      </w:r>
      <w:r>
        <w:lastRenderedPageBreak/>
        <w:t xml:space="preserve">shares. Despite massive government-funded transit expansions – including the Mass Rapid Transit (MRT) Putrajaya line, Shah Alam line, and the upcoming MRT3 Circle line – national public transport usage remains stagnant at approximately 20%, falling significantly short of the 40% target established by the National Transport Policy (NTP) 2019 – 2030. </w:t>
      </w:r>
      <w:proofErr w:type="spellStart"/>
      <w:r>
        <w:t>Ubaidillah</w:t>
      </w:r>
      <w:proofErr w:type="spellEnd"/>
      <w:r>
        <w:t xml:space="preserve"> et al. (2022) highlight that in regions like Sarawak, private vehicle ownership remains exceptionally high due to the perceived inadequacy of bus service quality regarding tangibility and operational responsiveness.</w:t>
      </w:r>
    </w:p>
    <w:p w14:paraId="686AE609" w14:textId="15BFF373" w:rsidR="00224FA2" w:rsidRPr="00224FA2" w:rsidRDefault="00224FA2" w:rsidP="00224FA2">
      <w:pPr>
        <w:ind w:firstLine="720"/>
      </w:pPr>
      <w:r>
        <w:t xml:space="preserve">This disparity proves that physical network expansion is sufficient on its own to shift commuter habits; infrastructure must be supported by localized reliability and data-driven operational optimizations to resolve localized service gaps. While programs like the </w:t>
      </w:r>
      <w:proofErr w:type="spellStart"/>
      <w:r>
        <w:t>myBas</w:t>
      </w:r>
      <w:proofErr w:type="spellEnd"/>
      <w:r>
        <w:t xml:space="preserve"> initiative in Johor Bahru and Penang have successfully leveraged </w:t>
      </w:r>
      <w:r w:rsidR="00E07783">
        <w:t>GTFS data to optimize networks and capture over 14.5 million trips, systemic barriers like the “first-mile-last-mile” (FMLM) connectivity gap continue to limit the efficacy of the broader national network. Resolving these localized structural inefficiencies requires transit management to pivot away from purely physical expansion toward DL methodologies capable of accurately forecasting spatiotemporal ridership to mitigate daily unreliability.</w:t>
      </w:r>
    </w:p>
    <w:p w14:paraId="715DE5CF" w14:textId="50EDB017" w:rsidR="00946EC9" w:rsidRDefault="007C57BA">
      <w:pPr>
        <w:pStyle w:val="Heading2"/>
        <w:numPr>
          <w:ilvl w:val="1"/>
          <w:numId w:val="3"/>
        </w:numPr>
        <w:rPr>
          <w:b/>
          <w:bCs/>
          <w:sz w:val="24"/>
          <w:szCs w:val="24"/>
          <w:u w:val="single"/>
        </w:rPr>
      </w:pPr>
      <w:bookmarkStart w:id="14" w:name="_Toc230901610"/>
      <w:r>
        <w:rPr>
          <w:b/>
          <w:bCs/>
          <w:sz w:val="24"/>
          <w:szCs w:val="24"/>
          <w:u w:val="single"/>
        </w:rPr>
        <w:t>Transit Data Ecosystems and Anomalies</w:t>
      </w:r>
      <w:bookmarkEnd w:id="14"/>
    </w:p>
    <w:p w14:paraId="738B24D9" w14:textId="112DA962" w:rsidR="007C57BA" w:rsidRDefault="007C57BA">
      <w:pPr>
        <w:pStyle w:val="Heading3"/>
        <w:numPr>
          <w:ilvl w:val="2"/>
          <w:numId w:val="3"/>
        </w:numPr>
        <w:rPr>
          <w:b/>
          <w:bCs/>
          <w:sz w:val="24"/>
          <w:szCs w:val="24"/>
          <w:u w:val="single"/>
        </w:rPr>
      </w:pPr>
      <w:bookmarkStart w:id="15" w:name="_Toc230901611"/>
      <w:r>
        <w:rPr>
          <w:b/>
          <w:bCs/>
          <w:sz w:val="24"/>
          <w:szCs w:val="24"/>
          <w:u w:val="single"/>
        </w:rPr>
        <w:t>Sources of Transit Data</w:t>
      </w:r>
      <w:bookmarkEnd w:id="15"/>
    </w:p>
    <w:p w14:paraId="61AC0972" w14:textId="7990EB0D" w:rsidR="00530E02" w:rsidRDefault="001F2B29" w:rsidP="00AF00BB">
      <w:pPr>
        <w:ind w:firstLine="720"/>
      </w:pPr>
      <w:r>
        <w:t>Mo</w:t>
      </w:r>
      <w:r w:rsidR="00123A98">
        <w:t>dern transit data ecosystems combine diverse endogenous operational streams and exogenous environmental inputs to form a comprehensive foundation for urban mobility analysis. Ge et al. (2021) and Liu et al. (2025) classify core endogenous sources as Automated Fare Collection (AFC) systems for ridership tracking, Automated Vehicle Location (AVL) systems for real-time GPS tracking, Automated Passenger Counting (APC) sensors, and static GTFS schedules. Concurrently, Amir et al. (2025) define critical exogenous variables as real-time weather metrics, road network traffic data, POIs extracted via land-use profiles, and regional socio-economic demographics.</w:t>
      </w:r>
    </w:p>
    <w:p w14:paraId="12A7582A" w14:textId="6E99D65E" w:rsidR="004A2A64" w:rsidRDefault="004A2A64" w:rsidP="00AF00BB">
      <w:pPr>
        <w:ind w:firstLine="720"/>
        <w:rPr>
          <w:lang w:val="en-US"/>
        </w:rPr>
      </w:pPr>
      <w:r>
        <w:rPr>
          <w:lang w:val="en-US"/>
        </w:rPr>
        <w:t>Endogenous data provides a direct, high-volume reflection of internal transit supply and passenger throughput, but it lacks the contextual capacity to explain sudden demand fluctuations on its own. By integrating exogenous streams like gridded population distributions or localized weather anomalies, analytical models can successfully map the external drivers that directly govern passenger mode selection and spatial destination choices.</w:t>
      </w:r>
      <w:r w:rsidR="00D86B9E">
        <w:rPr>
          <w:lang w:val="en-US"/>
        </w:rPr>
        <w:t xml:space="preserve"> Synthesizing these multi-source streams into an integrated matrix – as categorized by the operational features, </w:t>
      </w:r>
      <w:r w:rsidR="00D86B9E">
        <w:rPr>
          <w:lang w:val="en-US"/>
        </w:rPr>
        <w:lastRenderedPageBreak/>
        <w:t>collection frequencies, and specific analytical applications outlined in Table 3 – is a vital prerequisite for advanced predictive modeling.</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3E2C8DBE"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50272D">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pPr>
        <w:pStyle w:val="Heading3"/>
        <w:numPr>
          <w:ilvl w:val="2"/>
          <w:numId w:val="3"/>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34303C59" w14:textId="739EDCB6" w:rsidR="00D2537A" w:rsidRDefault="00EF50B0" w:rsidP="00D2537A">
      <w:pPr>
        <w:ind w:firstLine="720"/>
      </w:pPr>
      <w:r>
        <w:t>Raw transit data ecosystems are highly vulnerable to fragmented quality issues and severe noise, demanding extensive preprocessing before deployment in DL models. Keller et al. (2022) point out that public transport agencies</w:t>
      </w:r>
      <w:r w:rsidR="00430B04">
        <w:t xml:space="preserve"> frequently collect disjointed and fragmented data streams that impede comprehensive system interpretation, while S.K.B et al. (2024) </w:t>
      </w:r>
      <w:r w:rsidR="00430B04">
        <w:lastRenderedPageBreak/>
        <w:t>identify pervasive data quality threats such as sensor omissions, localized GPS telemetry errors, formatting inconsistencies across legacy systems, and extreme outliers.</w:t>
      </w:r>
    </w:p>
    <w:p w14:paraId="26A44CC8" w14:textId="06ACDC5F" w:rsidR="00430B04" w:rsidRPr="00214016" w:rsidRDefault="00430B04" w:rsidP="00D2537A">
      <w:pPr>
        <w:ind w:firstLine="720"/>
      </w:pPr>
      <w:r>
        <w:t xml:space="preserve">These imperfections introduce major challenges during data cleaning, multimodal integration, feature transformation, and data reduction stages. For example, a missing data gap caused by an IoT network outage </w:t>
      </w:r>
      <w:r w:rsidR="00CC3350">
        <w:t>could</w:t>
      </w:r>
      <w:r>
        <w:t xml:space="preserve"> generate</w:t>
      </w:r>
      <w:r w:rsidR="00B105E9">
        <w:t xml:space="preserve"> significant downstream predictive bias if it left unaddressed, while the lack of alignment across spatial resolutions creates high noise that obscures actual demand signals.</w:t>
      </w:r>
      <w:r w:rsidR="00CC3350">
        <w:t xml:space="preserve"> Because raw transit data is rarely usable in its initial state, implementing rigorous, automated preprocessing and feature engineering pipelines is essential to ensure data integrity and unleash the full potential of advanced analytics.</w:t>
      </w:r>
    </w:p>
    <w:p w14:paraId="615D674B" w14:textId="708BF38A" w:rsidR="00946EC9" w:rsidRDefault="007C57BA">
      <w:pPr>
        <w:pStyle w:val="Heading3"/>
        <w:numPr>
          <w:ilvl w:val="2"/>
          <w:numId w:val="3"/>
        </w:numPr>
        <w:rPr>
          <w:b/>
          <w:bCs/>
          <w:sz w:val="24"/>
          <w:szCs w:val="24"/>
          <w:u w:val="single"/>
        </w:rPr>
      </w:pPr>
      <w:bookmarkStart w:id="17" w:name="_Toc230901613"/>
      <w:r>
        <w:rPr>
          <w:b/>
          <w:bCs/>
          <w:sz w:val="24"/>
          <w:szCs w:val="24"/>
          <w:u w:val="single"/>
        </w:rPr>
        <w:t>Extreme Anomalies in Spatiotemporal Data</w:t>
      </w:r>
      <w:bookmarkEnd w:id="17"/>
    </w:p>
    <w:p w14:paraId="34763CE3" w14:textId="2E9438B2" w:rsidR="001B771C" w:rsidRDefault="009D7464" w:rsidP="001B771C">
      <w:pPr>
        <w:ind w:firstLine="720"/>
      </w:pPr>
      <w:r>
        <w:t>Spatiotemporal</w:t>
      </w:r>
      <w:r w:rsidR="00FE4A10">
        <w:t xml:space="preserve"> transit profiles are highly sensitive to extreme, non-typical anomalies that degrade the reliability and generalization capabilities of predictive models. Maria-Arribas et al. (2026) note that extreme anomalies deviate drastically from standard mobility baselines, exemplified by Malaysia’s MCO during the COVID-19 pandemic, which caused an abrupt 85-90% ridership drop across all transit networks. According to Zhao &amp; Lan (2025), training predictive models directly on these contaminated datasets introduces severe predictive bias because pandemic-era containment behaviours differ fundamentally from normal urban mobility patterns.</w:t>
      </w:r>
    </w:p>
    <w:p w14:paraId="1D545555" w14:textId="251E00A4" w:rsidR="00FE4A10" w:rsidRPr="00214016" w:rsidRDefault="00FE4A10" w:rsidP="001B771C">
      <w:pPr>
        <w:ind w:firstLine="720"/>
      </w:pPr>
      <w:r>
        <w:t>When neural network architectures ingest uncorrected outlier sequences, they risk overfitting to anomalous troughs, confusing regular seasonal patterns, and failing to recognize normal ridership peaks once standard daily operations resume. Traditional anomaly detection methods relying on basic statistical thresholds often fail when applied to high-dimensional spatiotemporal data, driving the need for advanced techniques like ensemble DL or strategic dataset segmentation. This structural vulnerability underlines the necessity of this study’s approach: splitting the time-series data into distinct MCO-inclusive and MCO-exclusive segments to empirically evaluate and isolate the impact of extreme noise on DL architectures.</w:t>
      </w:r>
    </w:p>
    <w:p w14:paraId="66C3E835" w14:textId="033EA580" w:rsidR="00946EC9" w:rsidRDefault="00946EC9">
      <w:pPr>
        <w:pStyle w:val="Heading2"/>
        <w:numPr>
          <w:ilvl w:val="1"/>
          <w:numId w:val="3"/>
        </w:numPr>
        <w:rPr>
          <w:b/>
          <w:bCs/>
          <w:sz w:val="24"/>
          <w:szCs w:val="24"/>
          <w:u w:val="single"/>
        </w:rPr>
      </w:pPr>
      <w:bookmarkStart w:id="18" w:name="_Toc230901614"/>
      <w:r w:rsidRPr="00C7720B">
        <w:rPr>
          <w:b/>
          <w:bCs/>
          <w:sz w:val="24"/>
          <w:szCs w:val="24"/>
          <w:u w:val="single"/>
        </w:rPr>
        <w:t>Evolution from Traditional to DL Models</w:t>
      </w:r>
      <w:bookmarkEnd w:id="18"/>
    </w:p>
    <w:p w14:paraId="176FDB08" w14:textId="75F71C8A" w:rsidR="00946EC9" w:rsidRDefault="009F0E76">
      <w:pPr>
        <w:pStyle w:val="Heading3"/>
        <w:numPr>
          <w:ilvl w:val="2"/>
          <w:numId w:val="3"/>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3676800F" w:rsidR="007E797F" w:rsidRDefault="008A2E62" w:rsidP="00B712FB">
      <w:pPr>
        <w:ind w:firstLine="720"/>
      </w:pPr>
      <w:r>
        <w:t xml:space="preserve">Traditional statistical and machine learning architectures offer strong model interpretability but are fundamentally limited by their inability to capture the non-linear, multi-dimensional complexities of modern transit data. Historically, forecasting models have relied </w:t>
      </w:r>
      <w:r>
        <w:lastRenderedPageBreak/>
        <w:t xml:space="preserve">on classical frameworks like ARIMA, Historical Average (HA), Vector </w:t>
      </w:r>
      <w:proofErr w:type="spellStart"/>
      <w:r>
        <w:t>AutoRegressive</w:t>
      </w:r>
      <w:proofErr w:type="spellEnd"/>
      <w:r>
        <w:t xml:space="preserve"> (VAR) models, Support Vector Regression (SVR), and Random Forest Regression (RFR). Yin et al. (2022) observe that these traditional statistical architectures demand strict data stationary and rigid distribution assumptions, which directly conflict with highly fluctuating, time-varying traffic data.</w:t>
      </w:r>
    </w:p>
    <w:p w14:paraId="6967C4FF" w14:textId="73B04FB4" w:rsidR="008A2E62" w:rsidRDefault="008A2E62" w:rsidP="00B712FB">
      <w:pPr>
        <w:ind w:firstLine="720"/>
      </w:pPr>
      <w:r>
        <w:t xml:space="preserve">Traditional models assume fixed functional forms and linear mathematical relationships, rendering them ineffective when tasked with modelling the intricate space-time interactions that define urban transit networks. As supported by </w:t>
      </w:r>
      <w:proofErr w:type="spellStart"/>
      <w:r>
        <w:t>Sobrie</w:t>
      </w:r>
      <w:proofErr w:type="spellEnd"/>
      <w:r>
        <w:t xml:space="preserve"> et al. (2023), even established rule-based systems reach their operational limits in complex spatiotemporal scenarios like railway delay propagation because they cannot adapt to volatile, real-world variations.</w:t>
      </w:r>
      <w:r w:rsidR="005C4B3C">
        <w:t xml:space="preserve"> The structural limitations detailed in the comparative breakdown of data handling, assumptions, and scalability metrics in Table 4 emphasize the clear need to transition away from rigid classical models toward highly flexible DL frameworks.</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13747668"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50272D">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7C23B68D" w14:textId="56777EE0" w:rsidR="009F0E76" w:rsidRDefault="009F0E76">
      <w:pPr>
        <w:pStyle w:val="Heading3"/>
        <w:numPr>
          <w:ilvl w:val="2"/>
          <w:numId w:val="3"/>
        </w:numPr>
        <w:rPr>
          <w:b/>
          <w:bCs/>
          <w:sz w:val="24"/>
          <w:szCs w:val="24"/>
          <w:u w:val="single"/>
        </w:rPr>
      </w:pPr>
      <w:bookmarkStart w:id="20" w:name="_Toc230901616"/>
      <w:r>
        <w:rPr>
          <w:b/>
          <w:bCs/>
          <w:sz w:val="24"/>
          <w:szCs w:val="24"/>
          <w:u w:val="single"/>
        </w:rPr>
        <w:t>Deep Learning Approaches in Spatiotemporal Transit Data</w:t>
      </w:r>
      <w:bookmarkEnd w:id="20"/>
    </w:p>
    <w:p w14:paraId="073AF765" w14:textId="0D74C7A5" w:rsidR="009D2E86" w:rsidRDefault="00166F01" w:rsidP="00AB03E8">
      <w:pPr>
        <w:ind w:firstLine="720"/>
      </w:pPr>
      <w:r>
        <w:t>The main advantage of using DL architectures is that they can circumvent many restrictions posed by the conventional models by means of automatically capturing hierarchies of non-linear spatiotemporal features from transit multi-source data.</w:t>
      </w:r>
      <w:r w:rsidR="003813A7">
        <w:t xml:space="preserve"> </w:t>
      </w:r>
      <w:r w:rsidR="00692EC8">
        <w:t>The most efficient modern DL frameworks incorporate specially designed neural building blocks –</w:t>
      </w:r>
      <w:r w:rsidR="003813A7">
        <w:t xml:space="preserve"> Convolutiona</w:t>
      </w:r>
      <w:r w:rsidR="00692EC8">
        <w:t>l</w:t>
      </w:r>
      <w:r w:rsidR="003813A7">
        <w:t xml:space="preserve"> Neural Networks (CNNs) capture spatial correlations from grid structures, Recurrent Neural Networks (RNNs) like LSTMs track sequential temporal dependencies, Graph Convolutional Networks (GCNs) model non-Euclidean network topologies, and attention mechanisms dynamically weigh feature significance. </w:t>
      </w:r>
      <w:r w:rsidR="00692EC8">
        <w:t>For instance</w:t>
      </w:r>
      <w:r w:rsidR="003813A7">
        <w:t xml:space="preserve">, S.K.B et al. (2024) developed a multi-model </w:t>
      </w:r>
      <w:proofErr w:type="spellStart"/>
      <w:r w:rsidR="003813A7">
        <w:t>GeoSpatial</w:t>
      </w:r>
      <w:proofErr w:type="spellEnd"/>
      <w:r w:rsidR="003813A7">
        <w:t>-Temporal LSTM (GT-LSTM) that achieved a 15% reduction in MAPE and a 20% reduction in RMSE over traditional methods and standard DL baselines.</w:t>
      </w:r>
    </w:p>
    <w:p w14:paraId="52D661CC" w14:textId="51383372" w:rsidR="003813A7" w:rsidRPr="00305371" w:rsidRDefault="003813A7" w:rsidP="00AB03E8">
      <w:pPr>
        <w:ind w:firstLine="720"/>
      </w:pPr>
      <w:r>
        <w:lastRenderedPageBreak/>
        <w:t xml:space="preserve">These architectures </w:t>
      </w:r>
      <w:r w:rsidR="00E139A8">
        <w:t>eliminate</w:t>
      </w:r>
      <w:r>
        <w:t xml:space="preserve"> the </w:t>
      </w:r>
      <w:r w:rsidR="008C12BE">
        <w:t>necessity</w:t>
      </w:r>
      <w:r>
        <w:t xml:space="preserve"> for </w:t>
      </w:r>
      <w:r w:rsidR="008C12BE">
        <w:t>explicit</w:t>
      </w:r>
      <w:r>
        <w:t xml:space="preserve"> feature engineering </w:t>
      </w:r>
      <w:r w:rsidR="008C12BE">
        <w:t xml:space="preserve">through the learning </w:t>
      </w:r>
      <w:r w:rsidR="002578C1">
        <w:t>of multi-dimensional interactions</w:t>
      </w:r>
      <w:r w:rsidR="008C12BE">
        <w:t xml:space="preserve"> directly from the data</w:t>
      </w:r>
      <w:r>
        <w:t xml:space="preserve">. </w:t>
      </w:r>
      <w:r w:rsidR="002578C1">
        <w:t>The use of transportation networks as</w:t>
      </w:r>
      <w:r>
        <w:t xml:space="preserve"> connected graph nodes and environmental variables as dynamic weights, models like STGCN, ASTGCN, and TPA-LSTM can simultaneously process structured data (such as GTFS) and unstructured covariates (such as weather and POIs). </w:t>
      </w:r>
      <w:r w:rsidR="00F04F23">
        <w:t>Successful deployment of</w:t>
      </w:r>
      <w:r>
        <w:t xml:space="preserve"> these diverse DL </w:t>
      </w:r>
      <w:r w:rsidR="00F04F23">
        <w:t>architectures</w:t>
      </w:r>
      <w:r>
        <w:t xml:space="preserve"> requires establishing an equally rigorous benchmarking methodology to </w:t>
      </w:r>
      <w:r w:rsidR="00F04F23">
        <w:t>benchmark</w:t>
      </w:r>
      <w:r>
        <w:t xml:space="preserve"> their respective accuracy and error.</w:t>
      </w:r>
    </w:p>
    <w:p w14:paraId="55912C4C" w14:textId="0C2575BD" w:rsidR="006E03AB" w:rsidRDefault="006E03AB">
      <w:pPr>
        <w:pStyle w:val="Heading3"/>
        <w:numPr>
          <w:ilvl w:val="2"/>
          <w:numId w:val="3"/>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0D5A4877" w14:textId="65355932" w:rsidR="00FB71D0" w:rsidRDefault="005D3A49" w:rsidP="008D7402">
      <w:pPr>
        <w:ind w:firstLine="720"/>
      </w:pPr>
      <w:r>
        <w:t xml:space="preserve">Rigorous, standardized benchmarking methodologies and multi-metric validation frameworks are essential to verify the accuracy, consistency, and operational reliability of predictive models. In comprehensive DL surveys, Jiang et al. (2021) utilize MAE, RMSE, and MAPE as primary evaluation metrics, while </w:t>
      </w:r>
      <w:proofErr w:type="spellStart"/>
      <w:r>
        <w:t>Mystakidis</w:t>
      </w:r>
      <w:proofErr w:type="spellEnd"/>
      <w:r>
        <w:t xml:space="preserve"> et al. (2025) emphasize the importance of pairing relative and absolute indices to validate SOTA results on benchmark datasets.</w:t>
      </w:r>
    </w:p>
    <w:p w14:paraId="3BFE18A6" w14:textId="1C2B601E" w:rsidR="005D3A49" w:rsidRPr="005D3A49" w:rsidRDefault="005D3A49" w:rsidP="008D7402">
      <w:pPr>
        <w:ind w:firstLine="720"/>
        <w:rPr>
          <w:noProof/>
        </w:rPr>
      </w:pPr>
      <w:r>
        <w:rPr>
          <w:noProof/>
        </w:rPr>
        <w:t>Evaluating models through a single metric can mask critical performance flaws. As shown in Table 5, MAE provides an outlier-robust measure of average error, RMSE penalizes severe individual forecast failures through squaring, MAPE normalizes errors for intuitive scale-independent interpretation, and R</w:t>
      </w:r>
      <w:r>
        <w:rPr>
          <w:noProof/>
          <w:vertAlign w:val="superscript"/>
        </w:rPr>
        <w:t>2</w:t>
      </w:r>
      <w:r>
        <w:rPr>
          <w:noProof/>
        </w:rPr>
        <w:t xml:space="preserve"> captures the model’s overall goodness-of-fit. A comprehensive benchmarking framework must combine comparative analysis against established baselines, sensitivity analysis under varying data densities, and robustness testing across distinct geographical and anomalous contexts. Adhering to these structured metrics ensures a fair comparison between 14 baseline architectures evaluated in this study, providing a clear path to validating the performance gains of the proposed HMT-TSF forecaster.</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05A0F94C"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0050272D">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proofErr w:type="spellStart"/>
      <w:r w:rsidR="000358F7" w:rsidRPr="000358F7">
        <w:rPr>
          <w:color w:val="000000" w:themeColor="text1"/>
          <w:sz w:val="24"/>
          <w:szCs w:val="24"/>
        </w:rPr>
        <w:t>Mystakidis</w:t>
      </w:r>
      <w:proofErr w:type="spellEnd"/>
      <w:r w:rsidR="000358F7" w:rsidRPr="000358F7">
        <w:rPr>
          <w:color w:val="000000" w:themeColor="text1"/>
          <w:sz w:val="24"/>
          <w:szCs w:val="24"/>
        </w:rPr>
        <w:t xml:space="preserve"> </w:t>
      </w:r>
      <w:r w:rsidRPr="00771C1B">
        <w:rPr>
          <w:color w:val="000000" w:themeColor="text1"/>
          <w:sz w:val="24"/>
          <w:szCs w:val="24"/>
        </w:rPr>
        <w:t>et al. (2025) in their studies.</w:t>
      </w:r>
    </w:p>
    <w:p w14:paraId="590445BB" w14:textId="4D9EDBCB" w:rsidR="006E03AB" w:rsidRDefault="00703936">
      <w:pPr>
        <w:pStyle w:val="Heading2"/>
        <w:numPr>
          <w:ilvl w:val="1"/>
          <w:numId w:val="3"/>
        </w:numPr>
        <w:rPr>
          <w:b/>
          <w:bCs/>
          <w:sz w:val="24"/>
          <w:szCs w:val="24"/>
          <w:u w:val="single"/>
        </w:rPr>
      </w:pPr>
      <w:bookmarkStart w:id="22" w:name="_Toc230901618"/>
      <w:r w:rsidRPr="00C7720B">
        <w:rPr>
          <w:b/>
          <w:bCs/>
          <w:sz w:val="24"/>
          <w:szCs w:val="24"/>
          <w:u w:val="single"/>
        </w:rPr>
        <w:lastRenderedPageBreak/>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04F54AFF" w14:textId="16DBB2A0" w:rsidR="009F0E76" w:rsidRDefault="009F0E76">
      <w:pPr>
        <w:pStyle w:val="Heading3"/>
        <w:numPr>
          <w:ilvl w:val="2"/>
          <w:numId w:val="3"/>
        </w:numPr>
        <w:rPr>
          <w:b/>
          <w:bCs/>
          <w:sz w:val="24"/>
          <w:szCs w:val="24"/>
          <w:u w:val="single"/>
        </w:rPr>
      </w:pPr>
      <w:bookmarkStart w:id="23" w:name="_Toc230901619"/>
      <w:r>
        <w:rPr>
          <w:b/>
          <w:bCs/>
          <w:sz w:val="24"/>
          <w:szCs w:val="24"/>
          <w:u w:val="single"/>
        </w:rPr>
        <w:t>Proactive Scheduling and Resource Allocation</w:t>
      </w:r>
      <w:bookmarkEnd w:id="23"/>
    </w:p>
    <w:p w14:paraId="60703680" w14:textId="0922F80C" w:rsidR="00305371" w:rsidRDefault="00600EEF" w:rsidP="00E5304F">
      <w:pPr>
        <w:ind w:firstLine="720"/>
      </w:pPr>
      <w:r>
        <w:t xml:space="preserve">Transitioning from reactive transit management to AI-driven predictive modelling enables transit agencies to implement proactive scheduling and highly optimized resource allocation. </w:t>
      </w:r>
      <w:proofErr w:type="spellStart"/>
      <w:r>
        <w:t>Jevinger</w:t>
      </w:r>
      <w:proofErr w:type="spellEnd"/>
      <w:r>
        <w:t xml:space="preserve"> et al. (2024) state that public transport networks are evolving through AI’s capacity for data-driven optimization, while </w:t>
      </w:r>
      <w:proofErr w:type="spellStart"/>
      <w:r>
        <w:t>Sobrie</w:t>
      </w:r>
      <w:proofErr w:type="spellEnd"/>
      <w:r>
        <w:t xml:space="preserve"> et al. (2023) demonstrate that an LSTM encoder-decoder architecture outperforms traditional rule-based business systems by 18% to 23% in real-time delay forecasting. Furthermore, </w:t>
      </w:r>
      <w:proofErr w:type="spellStart"/>
      <w:r>
        <w:t>Levner</w:t>
      </w:r>
      <w:proofErr w:type="spellEnd"/>
      <w:r>
        <w:t xml:space="preserve"> (2025) and CCS Global Tech (2026) report that AI-powered planning platforms maximize bus schedule efficiency and fleet deployment by anticipating changing user demands.</w:t>
      </w:r>
    </w:p>
    <w:p w14:paraId="1A92ED08" w14:textId="74641F28" w:rsidR="00600EEF" w:rsidRPr="00305371" w:rsidRDefault="00600EEF" w:rsidP="00E5304F">
      <w:pPr>
        <w:ind w:firstLine="720"/>
      </w:pPr>
      <w:r>
        <w:t xml:space="preserve">Traditional dispatch scheduling </w:t>
      </w:r>
      <w:r w:rsidR="00845B0A">
        <w:t>is reactionary in nature; changes in service frequencies are made only after delays or disruptions have occurred in the system due to over-crowding or other reasons</w:t>
      </w:r>
      <w:r>
        <w:t xml:space="preserve">. </w:t>
      </w:r>
      <w:r w:rsidR="00845B0A">
        <w:t>On the</w:t>
      </w:r>
      <w:r>
        <w:t xml:space="preserve"> contra</w:t>
      </w:r>
      <w:r w:rsidR="00845B0A">
        <w:t>ry</w:t>
      </w:r>
      <w:r>
        <w:t xml:space="preserve">, DL models can predict passenger surges and bottleneck formations well in advance, </w:t>
      </w:r>
      <w:r w:rsidR="005C79D8">
        <w:t>which allows for dynamic changes in service intervals as well as coach allocation based on future passenger demand</w:t>
      </w:r>
      <w:r>
        <w:t>.</w:t>
      </w:r>
      <w:r w:rsidR="00205802">
        <w:t xml:space="preserve"> </w:t>
      </w:r>
      <w:r w:rsidR="00852E4C">
        <w:t xml:space="preserve">Their </w:t>
      </w:r>
      <w:r w:rsidR="00205802">
        <w:t>successful deployment depends on overcoming several technical and organizational barriers within transit agencies.</w:t>
      </w:r>
    </w:p>
    <w:p w14:paraId="37C84E00" w14:textId="6262D795" w:rsidR="00040728" w:rsidRDefault="00040728">
      <w:pPr>
        <w:pStyle w:val="Heading3"/>
        <w:numPr>
          <w:ilvl w:val="2"/>
          <w:numId w:val="3"/>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3AC65BD1" w:rsidR="00305371" w:rsidRDefault="00F95CCC" w:rsidP="00507030">
      <w:pPr>
        <w:ind w:firstLine="720"/>
      </w:pPr>
      <w:r>
        <w:t>AI solution adoption into public transportation system framework is hampered by multiple obstacles</w:t>
      </w:r>
      <w:r w:rsidR="00A247C1">
        <w:t xml:space="preserve"> </w:t>
      </w:r>
      <w:r>
        <w:t>including</w:t>
      </w:r>
      <w:r w:rsidR="00A247C1">
        <w:t xml:space="preserve"> data quality, infrastructure scale, and organizational resistance. Keller et al. (2022) point out that fragmented corporate data structures and internal organizational silos frequently block the adoption of advanced data science methods, </w:t>
      </w:r>
      <w:r w:rsidR="00970251">
        <w:t>whereas</w:t>
      </w:r>
      <w:r w:rsidR="00A247C1">
        <w:t xml:space="preserve"> Suwaidi et al. (2022) and </w:t>
      </w:r>
      <w:proofErr w:type="spellStart"/>
      <w:r w:rsidR="00A247C1">
        <w:t>Hashimzai</w:t>
      </w:r>
      <w:proofErr w:type="spellEnd"/>
      <w:r w:rsidR="00A247C1">
        <w:t xml:space="preserve"> &amp; Mohammadi (2024) identify high upfront implementation costs, strict data privacy compliance, and stakeholder resistance to operational changes as major adoption barriers.</w:t>
      </w:r>
    </w:p>
    <w:p w14:paraId="5A6BBB34" w14:textId="21115AC2" w:rsidR="00A247C1" w:rsidRDefault="00A247C1" w:rsidP="00507030">
      <w:pPr>
        <w:ind w:firstLine="720"/>
      </w:pPr>
      <w:r>
        <w:t xml:space="preserve">DL </w:t>
      </w:r>
      <w:r w:rsidR="00926E84">
        <w:t>approaches need large-scale</w:t>
      </w:r>
      <w:r>
        <w:t xml:space="preserve">, clean datasets, </w:t>
      </w:r>
      <w:r w:rsidR="00926E84">
        <w:t>meaning there must be considerable</w:t>
      </w:r>
      <w:r>
        <w:t xml:space="preserve"> long-term </w:t>
      </w:r>
      <w:r w:rsidR="00926E84">
        <w:t>commitment</w:t>
      </w:r>
      <w:r>
        <w:t xml:space="preserve"> in data governance and scalable computing infrastructure. Without clear data integration strategies and collaborative pipelines connecting software developers with transit operators, </w:t>
      </w:r>
      <w:r w:rsidR="00926E84">
        <w:t xml:space="preserve">such complex predictive systems will just be theoretical </w:t>
      </w:r>
      <w:r w:rsidR="00043662">
        <w:t>endeavours</w:t>
      </w:r>
      <w:r w:rsidR="00926E84">
        <w:t>.</w:t>
      </w:r>
      <w:r>
        <w:t xml:space="preserve"> </w:t>
      </w:r>
      <w:r w:rsidR="00043662">
        <w:t>It is crucial to overcome these multifaceted organizational obstacles</w:t>
      </w:r>
      <w:r w:rsidR="006F0923">
        <w:t xml:space="preserve"> since addressing them will</w:t>
      </w:r>
      <w:r>
        <w:t xml:space="preserve"> allow transit agencies to unlock the significant environmental benefits </w:t>
      </w:r>
      <w:r w:rsidR="00043662">
        <w:t>associated with such AI-based optimizations</w:t>
      </w:r>
      <w:r>
        <w:t xml:space="preserve">, as </w:t>
      </w:r>
      <w:r w:rsidR="00043662">
        <w:t>depicted</w:t>
      </w:r>
      <w:r>
        <w:t xml:space="preserve"> in the cause-and-effect flow in Figure 2.</w:t>
      </w:r>
    </w:p>
    <w:p w14:paraId="1B009084" w14:textId="77777777" w:rsidR="00A247C1" w:rsidRDefault="00A247C1" w:rsidP="00A247C1">
      <w:r>
        <w:rPr>
          <w:noProof/>
        </w:rPr>
        <w:lastRenderedPageBreak/>
        <w:drawing>
          <wp:inline distT="0" distB="0" distL="0" distR="0" wp14:anchorId="5679E64B" wp14:editId="10C8CE52">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4CF8558D" w14:textId="77F1D2DE" w:rsidR="00A247C1" w:rsidRPr="00A247C1" w:rsidRDefault="00A247C1" w:rsidP="00A247C1">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A brief cause-and-effect diagram showing if deployment challenges of AI in public transit systems are solved.</w:t>
      </w:r>
    </w:p>
    <w:p w14:paraId="51B69B89" w14:textId="05A8224A" w:rsidR="00040728" w:rsidRDefault="00040728">
      <w:pPr>
        <w:pStyle w:val="Heading3"/>
        <w:numPr>
          <w:ilvl w:val="2"/>
          <w:numId w:val="3"/>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0017B12B" w14:textId="42A3486A" w:rsidR="00475CE9" w:rsidRDefault="00475CE9" w:rsidP="00475CE9">
      <w:pPr>
        <w:ind w:firstLine="720"/>
      </w:pPr>
      <w:r>
        <w:t>Implementing AI optimizations within public transit networks directly supports sustainable urban mobility gaols by reducing operational waste and mitigating environmental degradation. Son et al. (2025) note that transforming urban mobility is vital for lowering global transportation emissions</w:t>
      </w:r>
      <w:r w:rsidR="00BC038D">
        <w:t xml:space="preserve"> whereas </w:t>
      </w:r>
      <w:proofErr w:type="spellStart"/>
      <w:r>
        <w:t>Vujadinovic</w:t>
      </w:r>
      <w:proofErr w:type="spellEnd"/>
      <w:r>
        <w:t xml:space="preserve"> et al. (2024) demonstrate that AI-driven regularizations of headways and schedule adherence minimize fuel waste, emergency maintenance costs, and operational inefficiencies.</w:t>
      </w:r>
    </w:p>
    <w:p w14:paraId="645822D3" w14:textId="2965B7A5" w:rsidR="00475CE9" w:rsidRPr="00475CE9" w:rsidRDefault="00BC038D" w:rsidP="00475CE9">
      <w:pPr>
        <w:ind w:firstLine="720"/>
      </w:pPr>
      <w:r>
        <w:t>If predictive models prove successful in improving transit efficiency and reducing waiting time</w:t>
      </w:r>
      <w:r w:rsidR="00475CE9">
        <w:t>, they</w:t>
      </w:r>
      <w:r w:rsidR="003B7264">
        <w:t xml:space="preserve"> will</w:t>
      </w:r>
      <w:r>
        <w:t xml:space="preserve"> help expedite the modal shift </w:t>
      </w:r>
      <w:r w:rsidR="00C81E57">
        <w:t>that involves choosing public transits over</w:t>
      </w:r>
      <w:r>
        <w:t xml:space="preserve"> private vehicles</w:t>
      </w:r>
      <w:r w:rsidR="00475CE9">
        <w:t xml:space="preserve">. According to CCS Global Tech (2026), </w:t>
      </w:r>
      <w:r w:rsidR="003B7264">
        <w:t>the combination of this modal shift along with the improvement of bus idling and rail routes</w:t>
      </w:r>
      <w:r w:rsidR="00475CE9">
        <w:t xml:space="preserve"> directly lowers urban emission rates and improves overall air quality. </w:t>
      </w:r>
      <w:r w:rsidR="00965314">
        <w:t>The optimization of transit operations through AI-powered forecasts</w:t>
      </w:r>
      <w:r w:rsidR="00475CE9">
        <w:t xml:space="preserve"> serves as a vital tool for advancing comprehensive urban sustainability and improving the long-term quality of life for citizens.</w:t>
      </w:r>
    </w:p>
    <w:p w14:paraId="2E79F128" w14:textId="0B3D5C6B" w:rsidR="005E1FED" w:rsidRDefault="005E1FED">
      <w:pPr>
        <w:pStyle w:val="Heading2"/>
        <w:numPr>
          <w:ilvl w:val="1"/>
          <w:numId w:val="3"/>
        </w:numPr>
        <w:rPr>
          <w:b/>
          <w:bCs/>
          <w:sz w:val="24"/>
          <w:szCs w:val="24"/>
          <w:u w:val="single"/>
        </w:rPr>
      </w:pPr>
      <w:bookmarkStart w:id="26" w:name="_Toc230901622"/>
      <w:r w:rsidRPr="00C7720B">
        <w:rPr>
          <w:b/>
          <w:bCs/>
          <w:sz w:val="24"/>
          <w:szCs w:val="24"/>
          <w:u w:val="single"/>
        </w:rPr>
        <w:lastRenderedPageBreak/>
        <w:t>Research Gap</w:t>
      </w:r>
      <w:bookmarkEnd w:id="26"/>
    </w:p>
    <w:p w14:paraId="4E19A22F" w14:textId="67F0142E" w:rsidR="00305371" w:rsidRDefault="005E63EB" w:rsidP="004038DA">
      <w:pPr>
        <w:ind w:firstLine="720"/>
      </w:pPr>
      <w:r>
        <w:t>Existing literature lacks hybrid forecasting models that can integrate multi-scale spatiotemporal features while isolating the predictive biases caused by severe historical data anomalies like the MCO period. Although contemporary studies have applied baseline DL techniques to predict public transport ridership (Farahmand et al., 2023; Amir et al., 2025), these models rely on standard architectures that cannot process complex interactions across multi-scale time and multi-dimensional space. Furthermore, Zhao &amp; Lan (2025) emphasize the highly confounding nature of pandemic-era data anomalies, yet there is a lack of empirical research in Malaysia quantifying how these non-typical patterns distort graph-based and attention-based SOTA models.</w:t>
      </w:r>
    </w:p>
    <w:p w14:paraId="299CC0AB" w14:textId="42A3578E" w:rsidR="005E63EB" w:rsidRPr="00305371" w:rsidRDefault="005E63EB" w:rsidP="004038DA">
      <w:pPr>
        <w:ind w:firstLine="720"/>
      </w:pPr>
      <w:r>
        <w:t>Simply removing the MCO period creates a structural gap that breaks the continuity of time-series data, whereas leaving it uncorrected introduces significant predictive bias that degrades forecasting accuracy. This lack of systematic benchmark across diverse sequential, graph, and attention architectures leaves transit operators without a clear path to identifying the most robust forecasting systems for Malaysia’s unique urban landscape. To resolve these gaps, this study develops and proposes the Hybrid Multi-scale Temporal Spatio-Feature (HMT-TSF) Forecaster, transitioning Malaysia transit management from a reactive framework to a proactive, data-driven paradigm.</w:t>
      </w:r>
    </w:p>
    <w:p w14:paraId="2C0DBCA4" w14:textId="51D71C71" w:rsidR="00020CC2" w:rsidRPr="0062152E" w:rsidRDefault="00030C66">
      <w:pPr>
        <w:pStyle w:val="Heading1"/>
        <w:numPr>
          <w:ilvl w:val="0"/>
          <w:numId w:val="3"/>
        </w:numPr>
        <w:jc w:val="left"/>
        <w:rPr>
          <w:b/>
          <w:bCs/>
          <w:sz w:val="24"/>
          <w:szCs w:val="24"/>
          <w:u w:val="single"/>
        </w:rPr>
      </w:pPr>
      <w:bookmarkStart w:id="27" w:name="_Toc230901623"/>
      <w:r w:rsidRPr="001D34FB">
        <w:rPr>
          <w:b/>
          <w:bCs/>
          <w:sz w:val="24"/>
          <w:szCs w:val="24"/>
          <w:u w:val="single"/>
        </w:rPr>
        <w:t>Methodology</w:t>
      </w:r>
      <w:bookmarkEnd w:id="27"/>
    </w:p>
    <w:p w14:paraId="681608FA" w14:textId="3909C516" w:rsidR="00096B40" w:rsidRDefault="00040728">
      <w:pPr>
        <w:pStyle w:val="Heading2"/>
        <w:numPr>
          <w:ilvl w:val="1"/>
          <w:numId w:val="3"/>
        </w:numPr>
        <w:rPr>
          <w:b/>
          <w:bCs/>
          <w:sz w:val="24"/>
          <w:szCs w:val="24"/>
          <w:u w:val="single"/>
        </w:rPr>
      </w:pPr>
      <w:bookmarkStart w:id="28" w:name="_Toc230901624"/>
      <w:r w:rsidRPr="00C7720B">
        <w:rPr>
          <w:b/>
          <w:bCs/>
          <w:sz w:val="24"/>
          <w:szCs w:val="24"/>
          <w:u w:val="single"/>
        </w:rPr>
        <w:t>Data Collection</w:t>
      </w:r>
      <w:bookmarkEnd w:id="28"/>
      <w:r w:rsidR="008B2B97">
        <w:rPr>
          <w:b/>
          <w:bCs/>
          <w:sz w:val="24"/>
          <w:szCs w:val="24"/>
          <w:u w:val="single"/>
        </w:rPr>
        <w:t xml:space="preserve"> and Understanding</w:t>
      </w:r>
    </w:p>
    <w:p w14:paraId="3A27237E" w14:textId="000BCECC" w:rsidR="005149E2" w:rsidRDefault="005149E2">
      <w:pPr>
        <w:pStyle w:val="Heading2"/>
        <w:numPr>
          <w:ilvl w:val="2"/>
          <w:numId w:val="3"/>
        </w:numPr>
        <w:rPr>
          <w:b/>
          <w:bCs/>
          <w:sz w:val="24"/>
          <w:szCs w:val="24"/>
          <w:u w:val="single"/>
        </w:rPr>
      </w:pPr>
      <w:r>
        <w:rPr>
          <w:b/>
          <w:bCs/>
          <w:sz w:val="24"/>
          <w:szCs w:val="24"/>
          <w:u w:val="single"/>
        </w:rPr>
        <w:t>Primary Transit and Network Data</w:t>
      </w:r>
    </w:p>
    <w:p w14:paraId="25A1C298" w14:textId="77777777" w:rsidR="002778AF" w:rsidRDefault="00CA3D75" w:rsidP="00394D96">
      <w:pPr>
        <w:ind w:firstLine="720"/>
      </w:pPr>
      <w:r>
        <w:t>Accurate public transit ridership forecasting requires integrating primary multi-source data to model the structural supply and baseline passenger demand of the transit network.</w:t>
      </w:r>
      <w:r w:rsidR="002778AF">
        <w:t xml:space="preserve"> Daily ridership counts for 12 Malaysian service lines (including LRT, MRT, Monorail, </w:t>
      </w:r>
      <w:proofErr w:type="spellStart"/>
      <w:r w:rsidR="002778AF">
        <w:t>Keretapi</w:t>
      </w:r>
      <w:proofErr w:type="spellEnd"/>
      <w:r w:rsidR="002778AF">
        <w:t xml:space="preserve"> Tanah Melaya (KTM), and </w:t>
      </w:r>
      <w:proofErr w:type="spellStart"/>
      <w:r w:rsidR="002778AF">
        <w:t>RapidBus</w:t>
      </w:r>
      <w:proofErr w:type="spellEnd"/>
      <w:r w:rsidR="002778AF">
        <w:t xml:space="preserve"> lines) and static GTFS data were obtained from data.gov.my, alongside secondary spatial layers used for connectivity modelling. Hassan et al. (2025) note that combining GTFS static data with secondary spatial layers allows for a granular assessment of network efficiency and accessibility. </w:t>
      </w:r>
    </w:p>
    <w:p w14:paraId="74C92887" w14:textId="04FFD255" w:rsidR="008A376A" w:rsidRDefault="002778AF" w:rsidP="00394D96">
      <w:pPr>
        <w:ind w:firstLine="720"/>
        <w:rPr>
          <w:noProof/>
        </w:rPr>
      </w:pPr>
      <w:r>
        <w:t xml:space="preserve">Processing these files establishes a high-resolution representation of network topology and volume. However, real-time GTFS streams are excluded because the data portal only provides real-time offerings to vehicle positions as of early 2026; calculating metrics from raw </w:t>
      </w:r>
      <w:r>
        <w:lastRenderedPageBreak/>
        <w:t>coordinates dynamically would degrade inference efficiency. This foundational transit matrix must be supplemented with geographic boundary parameters to accurately account for spatial interactions across the network.</w:t>
      </w:r>
    </w:p>
    <w:p w14:paraId="33C93AD0" w14:textId="5A623468" w:rsidR="003D1A6A" w:rsidRDefault="003D1A6A">
      <w:pPr>
        <w:pStyle w:val="Heading2"/>
        <w:numPr>
          <w:ilvl w:val="2"/>
          <w:numId w:val="3"/>
        </w:numPr>
        <w:rPr>
          <w:b/>
          <w:bCs/>
          <w:sz w:val="24"/>
          <w:szCs w:val="24"/>
          <w:u w:val="single"/>
        </w:rPr>
      </w:pPr>
      <w:r>
        <w:rPr>
          <w:b/>
          <w:bCs/>
          <w:sz w:val="24"/>
          <w:szCs w:val="24"/>
          <w:u w:val="single"/>
        </w:rPr>
        <w:t>Administrative Geography and Spatial Connectivity</w:t>
      </w:r>
    </w:p>
    <w:p w14:paraId="44EC2EB9" w14:textId="01B89C94" w:rsidR="003D1A6A" w:rsidRDefault="00B35F43" w:rsidP="003D1A6A">
      <w:pPr>
        <w:ind w:firstLine="720"/>
        <w:rPr>
          <w:noProof/>
        </w:rPr>
      </w:pPr>
      <w:r>
        <w:rPr>
          <w:noProof/>
        </w:rPr>
        <w:t xml:space="preserve">Incorporating macro-level administrative boundaries allows the predictive model to capture regional transit dynamics and spatial dependencies. Data of Global Administrative Areas (GADM) level-1 boundaries for Malaysia were standardized to WGS-84 coordinate reference system to construct binary and border-length-weighted </w:t>
      </w:r>
      <m:oMath>
        <m:r>
          <w:rPr>
            <w:rFonts w:ascii="Cambria Math" w:hAnsi="Cambria Math"/>
          </w:rPr>
          <m:t>N×N</m:t>
        </m:r>
      </m:oMath>
      <w:r>
        <w:rPr>
          <w:noProof/>
        </w:rPr>
        <w:t xml:space="preserve"> adjacency matrices. Jin et al. (2022) state that representing transit networks through graph-based structures like adjacency matrices is important for capturing spatial heterogeneity.</w:t>
      </w:r>
    </w:p>
    <w:p w14:paraId="73FBE277" w14:textId="4B7BCD77" w:rsidR="00B35F43" w:rsidRPr="00B35F43" w:rsidRDefault="00B35F43" w:rsidP="006E7EF5">
      <w:pPr>
        <w:ind w:firstLine="720"/>
        <w:rPr>
          <w:noProof/>
        </w:rPr>
      </w:pPr>
      <w:r>
        <w:rPr>
          <w:noProof/>
        </w:rPr>
        <w:t>Spatial modelling prevents the omission of the “neighbour effect”, where regional ridership patterns at specific nodes are influenced by surrounding administrative and functional territories. While these matrices define the spatial structure, macroeconomic and temporal indicators must be integrated to capture changing demand over time.</w:t>
      </w:r>
    </w:p>
    <w:p w14:paraId="692EBCA2" w14:textId="658B8654" w:rsidR="00DC442F" w:rsidRDefault="00DC442F">
      <w:pPr>
        <w:pStyle w:val="Heading2"/>
        <w:numPr>
          <w:ilvl w:val="2"/>
          <w:numId w:val="3"/>
        </w:numPr>
        <w:rPr>
          <w:b/>
          <w:bCs/>
          <w:sz w:val="24"/>
          <w:szCs w:val="24"/>
          <w:u w:val="single"/>
        </w:rPr>
      </w:pPr>
      <w:r>
        <w:rPr>
          <w:b/>
          <w:bCs/>
          <w:sz w:val="24"/>
          <w:szCs w:val="24"/>
          <w:u w:val="single"/>
        </w:rPr>
        <w:t>Economic and Temporal Indicators</w:t>
      </w:r>
    </w:p>
    <w:p w14:paraId="743F5EEA" w14:textId="14F73843" w:rsidR="00DC442F" w:rsidRDefault="006E7EF5" w:rsidP="00D77DFA">
      <w:pPr>
        <w:ind w:firstLine="720"/>
      </w:pPr>
      <w:r>
        <w:t>Socio-economic fluctuations and calendar-based events serve as major drivers of temporal variations in public transport demand.</w:t>
      </w:r>
      <w:r w:rsidR="00F56AB2">
        <w:t xml:space="preserve"> Weekly retail fuel prices (RON95, RON97, and diesel) from data.gov.my were forward filled to a daily index, while Malaysian public and school holiday ranges from 2019 to 2026 were extracted from timeanddate.com as binary flags. Ahmad et al. (2024) demonstrated a significant positive correlation between fuel price hikes and increased ridership in developing countries.</w:t>
      </w:r>
    </w:p>
    <w:p w14:paraId="156E3EE9" w14:textId="002DFC61" w:rsidR="00F56AB2" w:rsidRDefault="00242153" w:rsidP="00D77DFA">
      <w:pPr>
        <w:ind w:firstLine="720"/>
        <w:rPr>
          <w:noProof/>
        </w:rPr>
      </w:pPr>
      <w:r>
        <w:rPr>
          <w:noProof/>
        </w:rPr>
        <w:t>Fuel price increases naturally trigger short-run model substitution as commuters shift from private vehicles to cost-effective public transit, while holiday markers distinguish normal commuting baselines from festive demand drops.</w:t>
      </w:r>
      <w:r w:rsidR="008A2B1D">
        <w:rPr>
          <w:noProof/>
        </w:rPr>
        <w:t xml:space="preserve"> Evaluating these economic and temporal shifts requires pairing them with localized environmental and geospatial datasets.</w:t>
      </w:r>
    </w:p>
    <w:p w14:paraId="6DB44D61" w14:textId="20BF1E64" w:rsidR="005F2A44" w:rsidRDefault="005F2A44">
      <w:pPr>
        <w:pStyle w:val="Heading2"/>
        <w:numPr>
          <w:ilvl w:val="2"/>
          <w:numId w:val="3"/>
        </w:numPr>
        <w:rPr>
          <w:b/>
          <w:bCs/>
          <w:sz w:val="24"/>
          <w:szCs w:val="24"/>
          <w:u w:val="single"/>
        </w:rPr>
      </w:pPr>
      <w:r>
        <w:rPr>
          <w:b/>
          <w:bCs/>
          <w:sz w:val="24"/>
          <w:szCs w:val="24"/>
          <w:u w:val="single"/>
        </w:rPr>
        <w:t>Environmental and Geospatial Features</w:t>
      </w:r>
    </w:p>
    <w:p w14:paraId="4628BACE" w14:textId="42CC1E2D" w:rsidR="005F2A44" w:rsidRDefault="00A821B8" w:rsidP="00190069">
      <w:pPr>
        <w:ind w:firstLine="720"/>
      </w:pPr>
      <w:r>
        <w:t xml:space="preserve">Localized land-use configurations and adverse weather patterns impose critical environmental constraints on transit accessibility. Gridded population density data from worldpop.org and 7-category POI counts from the OpenStreetMap (OSM) Overpass API were extracted within a 500m stop radius, alongside sub-national daily rainfall data from </w:t>
      </w:r>
      <w:r>
        <w:lastRenderedPageBreak/>
        <w:t>data.gov.my. Shi et al. (2024) emphasize that capturing non-linear relationships in ridership prediction requires integrating semantic and spatial factors.</w:t>
      </w:r>
    </w:p>
    <w:p w14:paraId="24DC6CB6" w14:textId="17AC97FF" w:rsidR="00782AEA" w:rsidRDefault="00782AEA" w:rsidP="00190069">
      <w:pPr>
        <w:ind w:firstLine="720"/>
      </w:pPr>
      <w:r>
        <w:t>Integrating population density maps latent demand, POI catchments describe the urban</w:t>
      </w:r>
      <w:r w:rsidR="00573190">
        <w:t xml:space="preserve"> activity generating trips, and daily precipitation totals simulate the structural impacts of weather on system reliability. The resulting multi-dimensional feature matrix must be segmented systematically to account for historical data anomalies.</w:t>
      </w:r>
    </w:p>
    <w:p w14:paraId="7E18E783" w14:textId="7B87DF41" w:rsidR="005F2A44" w:rsidRDefault="005F2A44">
      <w:pPr>
        <w:pStyle w:val="Heading2"/>
        <w:numPr>
          <w:ilvl w:val="2"/>
          <w:numId w:val="3"/>
        </w:numPr>
        <w:rPr>
          <w:b/>
          <w:bCs/>
          <w:sz w:val="24"/>
          <w:szCs w:val="24"/>
          <w:u w:val="single"/>
        </w:rPr>
      </w:pPr>
      <w:r>
        <w:rPr>
          <w:b/>
          <w:bCs/>
          <w:sz w:val="24"/>
          <w:szCs w:val="24"/>
          <w:u w:val="single"/>
        </w:rPr>
        <w:t>Data Segmentation and MCO Considerations</w:t>
      </w:r>
    </w:p>
    <w:p w14:paraId="2EC180FC" w14:textId="0BC2696F" w:rsidR="005F2A44" w:rsidRDefault="002D4BC4" w:rsidP="004C1540">
      <w:pPr>
        <w:ind w:firstLine="720"/>
      </w:pPr>
      <w:r>
        <w:t>Strategically bisecting the time-series data is necessary to isolate and evaluate the predictive bias introduced by extreme historical anomalies. The raw multi-source dataset spanning 1</w:t>
      </w:r>
      <w:r w:rsidRPr="002D4BC4">
        <w:rPr>
          <w:vertAlign w:val="superscript"/>
        </w:rPr>
        <w:t>st</w:t>
      </w:r>
      <w:r>
        <w:t xml:space="preserve"> January 2019 to 31</w:t>
      </w:r>
      <w:r w:rsidRPr="002D4BC4">
        <w:rPr>
          <w:vertAlign w:val="superscript"/>
        </w:rPr>
        <w:t>st</w:t>
      </w:r>
      <w:r>
        <w:t xml:space="preserve"> December 2025 was divided into two distinct configurations: an MCO-inclusive segment and an MCO-exclusive segment. Zhao &amp; Lan (2025) argue that training DL models on extreme outlier data introduces significant predictive bias because pandemic-era travel behaviour deviates fundamentally from typical urban mobility.</w:t>
      </w:r>
    </w:p>
    <w:p w14:paraId="6C020077" w14:textId="73B27B8B" w:rsidR="00736961" w:rsidRPr="005F2A44" w:rsidRDefault="00736961" w:rsidP="004C1540">
      <w:pPr>
        <w:ind w:firstLine="720"/>
      </w:pPr>
      <w:r>
        <w:t>Segmenting the dataset allows the researcher to empirically measure how highly noisy, non-typical operational periods distort the generalization capabilities of DL models. This data segmentation strategy underpins the comprehensive, multi-source feature engineering pipeline detailed in Table 6.</w:t>
      </w:r>
    </w:p>
    <w:tbl>
      <w:tblPr>
        <w:tblStyle w:val="TableGrid"/>
        <w:tblW w:w="0" w:type="auto"/>
        <w:tblLook w:val="04A0" w:firstRow="1" w:lastRow="0" w:firstColumn="1" w:lastColumn="0" w:noHBand="0" w:noVBand="1"/>
      </w:tblPr>
      <w:tblGrid>
        <w:gridCol w:w="1555"/>
        <w:gridCol w:w="1559"/>
        <w:gridCol w:w="2835"/>
        <w:gridCol w:w="3067"/>
      </w:tblGrid>
      <w:tr w:rsidR="00A0354D" w14:paraId="0245AA5D" w14:textId="4E5F5D41" w:rsidTr="008829CA">
        <w:tc>
          <w:tcPr>
            <w:tcW w:w="1555" w:type="dxa"/>
            <w:shd w:val="clear" w:color="auto" w:fill="C1E4F5" w:themeFill="accent1" w:themeFillTint="33"/>
          </w:tcPr>
          <w:p w14:paraId="299E4569" w14:textId="21B3126D" w:rsidR="00A0354D" w:rsidRPr="00ED3717" w:rsidRDefault="00A0354D" w:rsidP="005F2A44">
            <w:pPr>
              <w:rPr>
                <w:b/>
                <w:bCs/>
              </w:rPr>
            </w:pPr>
            <w:r>
              <w:rPr>
                <w:b/>
                <w:bCs/>
              </w:rPr>
              <w:t>Data Source</w:t>
            </w:r>
          </w:p>
        </w:tc>
        <w:tc>
          <w:tcPr>
            <w:tcW w:w="1559" w:type="dxa"/>
            <w:shd w:val="clear" w:color="auto" w:fill="C1E4F5" w:themeFill="accent1" w:themeFillTint="33"/>
          </w:tcPr>
          <w:p w14:paraId="37D98917" w14:textId="58E86D7A" w:rsidR="00A0354D" w:rsidRPr="00ED3717" w:rsidRDefault="00A0354D" w:rsidP="005F2A44">
            <w:pPr>
              <w:rPr>
                <w:b/>
                <w:bCs/>
              </w:rPr>
            </w:pPr>
            <w:r>
              <w:rPr>
                <w:b/>
                <w:bCs/>
              </w:rPr>
              <w:t>Coverage</w:t>
            </w:r>
          </w:p>
        </w:tc>
        <w:tc>
          <w:tcPr>
            <w:tcW w:w="2835" w:type="dxa"/>
            <w:shd w:val="clear" w:color="auto" w:fill="C1E4F5" w:themeFill="accent1" w:themeFillTint="33"/>
          </w:tcPr>
          <w:p w14:paraId="2F6CF6D2" w14:textId="7184B453" w:rsidR="00A0354D" w:rsidRPr="00ED3717" w:rsidRDefault="00A0354D" w:rsidP="005F2A44">
            <w:pPr>
              <w:rPr>
                <w:b/>
                <w:bCs/>
              </w:rPr>
            </w:pPr>
            <w:r>
              <w:rPr>
                <w:b/>
                <w:bCs/>
              </w:rPr>
              <w:t>Content</w:t>
            </w:r>
          </w:p>
        </w:tc>
        <w:tc>
          <w:tcPr>
            <w:tcW w:w="3067" w:type="dxa"/>
            <w:shd w:val="clear" w:color="auto" w:fill="C1E4F5" w:themeFill="accent1" w:themeFillTint="33"/>
          </w:tcPr>
          <w:p w14:paraId="3B8955D0" w14:textId="2811C855" w:rsidR="00A0354D" w:rsidRDefault="00A0354D" w:rsidP="005F2A44">
            <w:pPr>
              <w:rPr>
                <w:b/>
                <w:bCs/>
              </w:rPr>
            </w:pPr>
            <w:r>
              <w:rPr>
                <w:b/>
                <w:bCs/>
              </w:rPr>
              <w:t>Usage</w:t>
            </w:r>
          </w:p>
        </w:tc>
      </w:tr>
      <w:tr w:rsidR="00A0354D" w14:paraId="36C811AD" w14:textId="1EADE62E" w:rsidTr="008829CA">
        <w:tc>
          <w:tcPr>
            <w:tcW w:w="1555" w:type="dxa"/>
            <w:shd w:val="clear" w:color="auto" w:fill="F2F2F2" w:themeFill="background1" w:themeFillShade="F2"/>
          </w:tcPr>
          <w:p w14:paraId="45A55D9E" w14:textId="0757573A" w:rsidR="00A0354D" w:rsidRDefault="00A0354D" w:rsidP="00EF7102">
            <w:pPr>
              <w:jc w:val="left"/>
            </w:pPr>
            <w:r>
              <w:t>Ridership</w:t>
            </w:r>
          </w:p>
        </w:tc>
        <w:tc>
          <w:tcPr>
            <w:tcW w:w="1559" w:type="dxa"/>
          </w:tcPr>
          <w:p w14:paraId="74055A34" w14:textId="136D4287" w:rsidR="00A0354D" w:rsidRDefault="00A0354D" w:rsidP="00EF7102">
            <w:pPr>
              <w:jc w:val="left"/>
            </w:pPr>
            <w:r>
              <w:t>2019-01-01 – present</w:t>
            </w:r>
          </w:p>
        </w:tc>
        <w:tc>
          <w:tcPr>
            <w:tcW w:w="2835" w:type="dxa"/>
          </w:tcPr>
          <w:p w14:paraId="0C626BA3" w14:textId="346FD66F" w:rsidR="00A0354D" w:rsidRDefault="00EF7102" w:rsidP="00EF7102">
            <w:pPr>
              <w:jc w:val="left"/>
            </w:pPr>
            <w:r>
              <w:t>Daily passenger counts for 12 transit services + total</w:t>
            </w:r>
          </w:p>
        </w:tc>
        <w:tc>
          <w:tcPr>
            <w:tcW w:w="3067" w:type="dxa"/>
          </w:tcPr>
          <w:p w14:paraId="10642F7B" w14:textId="22A3FD35" w:rsidR="00A0354D" w:rsidRDefault="008829CA" w:rsidP="00EF7102">
            <w:pPr>
              <w:jc w:val="left"/>
            </w:pPr>
            <w:r>
              <w:t>Primary forecast target; provides the 13 output variables (12 service lines + total)</w:t>
            </w:r>
          </w:p>
        </w:tc>
      </w:tr>
      <w:tr w:rsidR="00A0354D" w14:paraId="6EE62DC2" w14:textId="6E7E4112" w:rsidTr="008829CA">
        <w:tc>
          <w:tcPr>
            <w:tcW w:w="1555" w:type="dxa"/>
            <w:shd w:val="clear" w:color="auto" w:fill="F2F2F2" w:themeFill="background1" w:themeFillShade="F2"/>
          </w:tcPr>
          <w:p w14:paraId="345ADBEF" w14:textId="6DFB489E" w:rsidR="00A0354D" w:rsidRDefault="00A0354D" w:rsidP="00EF7102">
            <w:pPr>
              <w:jc w:val="left"/>
            </w:pPr>
            <w:r>
              <w:t>Fuel Price</w:t>
            </w:r>
          </w:p>
        </w:tc>
        <w:tc>
          <w:tcPr>
            <w:tcW w:w="1559" w:type="dxa"/>
          </w:tcPr>
          <w:p w14:paraId="1CB4419C" w14:textId="2A1C09AC" w:rsidR="00A0354D" w:rsidRDefault="00A0354D" w:rsidP="00EF7102">
            <w:pPr>
              <w:jc w:val="left"/>
            </w:pPr>
            <w:r>
              <w:t>2017-03-30 – present</w:t>
            </w:r>
          </w:p>
        </w:tc>
        <w:tc>
          <w:tcPr>
            <w:tcW w:w="2835" w:type="dxa"/>
          </w:tcPr>
          <w:p w14:paraId="4A45B2B9" w14:textId="10958CA4" w:rsidR="00A0354D" w:rsidRDefault="00EF7102" w:rsidP="00EF7102">
            <w:pPr>
              <w:jc w:val="left"/>
            </w:pPr>
            <w:r>
              <w:t>Weekly retail prices for 6 fuel types (level + weekly change)</w:t>
            </w:r>
          </w:p>
        </w:tc>
        <w:tc>
          <w:tcPr>
            <w:tcW w:w="3067" w:type="dxa"/>
          </w:tcPr>
          <w:p w14:paraId="7C934300" w14:textId="300FD75F" w:rsidR="00A0354D" w:rsidRDefault="008829CA" w:rsidP="00EF7102">
            <w:pPr>
              <w:jc w:val="left"/>
            </w:pPr>
            <w:r>
              <w:t>Demand driver; capturing modal substitution behaviour</w:t>
            </w:r>
          </w:p>
        </w:tc>
      </w:tr>
      <w:tr w:rsidR="00A0354D" w14:paraId="0D9128E3" w14:textId="77777777" w:rsidTr="008829CA">
        <w:tc>
          <w:tcPr>
            <w:tcW w:w="1555" w:type="dxa"/>
            <w:shd w:val="clear" w:color="auto" w:fill="F2F2F2" w:themeFill="background1" w:themeFillShade="F2"/>
          </w:tcPr>
          <w:p w14:paraId="5F40D633" w14:textId="6CC63B3B" w:rsidR="00A0354D" w:rsidRDefault="00A0354D" w:rsidP="00EF7102">
            <w:pPr>
              <w:jc w:val="left"/>
            </w:pPr>
            <w:r>
              <w:t>GTFS Static</w:t>
            </w:r>
          </w:p>
        </w:tc>
        <w:tc>
          <w:tcPr>
            <w:tcW w:w="1559" w:type="dxa"/>
          </w:tcPr>
          <w:p w14:paraId="55664DE6" w14:textId="7DB02341" w:rsidR="00A0354D" w:rsidRDefault="00A0354D" w:rsidP="00EF7102">
            <w:pPr>
              <w:jc w:val="left"/>
            </w:pPr>
            <w:r>
              <w:t>Snapshot</w:t>
            </w:r>
          </w:p>
        </w:tc>
        <w:tc>
          <w:tcPr>
            <w:tcW w:w="2835" w:type="dxa"/>
          </w:tcPr>
          <w:p w14:paraId="50C7558F" w14:textId="289A077D" w:rsidR="00A0354D" w:rsidRDefault="00EF7102" w:rsidP="00EF7102">
            <w:pPr>
              <w:jc w:val="left"/>
            </w:pPr>
            <w:r>
              <w:t xml:space="preserve">Standard GTFS files for Rapid Rail KL, </w:t>
            </w:r>
            <w:proofErr w:type="spellStart"/>
            <w:r>
              <w:t>RapidBus</w:t>
            </w:r>
            <w:proofErr w:type="spellEnd"/>
            <w:r>
              <w:t xml:space="preserve"> KL, </w:t>
            </w:r>
            <w:proofErr w:type="spellStart"/>
            <w:r>
              <w:t>RapidBus</w:t>
            </w:r>
            <w:proofErr w:type="spellEnd"/>
            <w:r>
              <w:t xml:space="preserve"> Penang, KTMB</w:t>
            </w:r>
          </w:p>
        </w:tc>
        <w:tc>
          <w:tcPr>
            <w:tcW w:w="3067" w:type="dxa"/>
          </w:tcPr>
          <w:p w14:paraId="0A2A2319" w14:textId="051CD378" w:rsidR="00A0354D" w:rsidRDefault="0071376A" w:rsidP="00EF7102">
            <w:pPr>
              <w:jc w:val="left"/>
            </w:pPr>
            <w:r>
              <w:t>Network topology; stop counts, route density and travel-time edges quantify transit supply</w:t>
            </w:r>
          </w:p>
        </w:tc>
      </w:tr>
      <w:tr w:rsidR="00A0354D" w14:paraId="003C974C" w14:textId="77777777" w:rsidTr="008829CA">
        <w:tc>
          <w:tcPr>
            <w:tcW w:w="1555" w:type="dxa"/>
            <w:shd w:val="clear" w:color="auto" w:fill="F2F2F2" w:themeFill="background1" w:themeFillShade="F2"/>
          </w:tcPr>
          <w:p w14:paraId="6D7157DF" w14:textId="050EBADA" w:rsidR="00A0354D" w:rsidRDefault="00A0354D" w:rsidP="00EF7102">
            <w:pPr>
              <w:jc w:val="left"/>
            </w:pPr>
            <w:r>
              <w:lastRenderedPageBreak/>
              <w:t>Rainfall</w:t>
            </w:r>
          </w:p>
        </w:tc>
        <w:tc>
          <w:tcPr>
            <w:tcW w:w="1559" w:type="dxa"/>
          </w:tcPr>
          <w:p w14:paraId="30450444" w14:textId="0424FA97" w:rsidR="00A0354D" w:rsidRDefault="00A0354D" w:rsidP="00EF7102">
            <w:pPr>
              <w:jc w:val="left"/>
            </w:pPr>
            <w:r>
              <w:t>2019-01-01 – present</w:t>
            </w:r>
          </w:p>
        </w:tc>
        <w:tc>
          <w:tcPr>
            <w:tcW w:w="2835" w:type="dxa"/>
          </w:tcPr>
          <w:p w14:paraId="62C18117" w14:textId="2288F23B" w:rsidR="00A0354D" w:rsidRDefault="00EF7102" w:rsidP="00EF7102">
            <w:pPr>
              <w:jc w:val="left"/>
            </w:pPr>
            <w:r>
              <w:t>Daily precipitation at state level; 9 metrics including accumulation and anomaly indices</w:t>
            </w:r>
          </w:p>
        </w:tc>
        <w:tc>
          <w:tcPr>
            <w:tcW w:w="3067" w:type="dxa"/>
          </w:tcPr>
          <w:p w14:paraId="348227C6" w14:textId="55A90DBD" w:rsidR="0071376A" w:rsidRDefault="0071376A" w:rsidP="00EF7102">
            <w:pPr>
              <w:jc w:val="left"/>
            </w:pPr>
            <w:r>
              <w:t xml:space="preserve">Weather covariate; state-level daily precipitation </w:t>
            </w:r>
            <w:r w:rsidR="009849CC">
              <w:t>captures external signals</w:t>
            </w:r>
          </w:p>
        </w:tc>
      </w:tr>
      <w:tr w:rsidR="00A0354D" w14:paraId="22688546" w14:textId="77777777" w:rsidTr="008829CA">
        <w:tc>
          <w:tcPr>
            <w:tcW w:w="1555" w:type="dxa"/>
            <w:shd w:val="clear" w:color="auto" w:fill="F2F2F2" w:themeFill="background1" w:themeFillShade="F2"/>
          </w:tcPr>
          <w:p w14:paraId="6F77F6DE" w14:textId="649E225E" w:rsidR="00A0354D" w:rsidRDefault="00A0354D" w:rsidP="00EF7102">
            <w:pPr>
              <w:jc w:val="left"/>
            </w:pPr>
            <w:r>
              <w:t>GADM</w:t>
            </w:r>
          </w:p>
        </w:tc>
        <w:tc>
          <w:tcPr>
            <w:tcW w:w="1559" w:type="dxa"/>
          </w:tcPr>
          <w:p w14:paraId="68468973" w14:textId="5E27736C" w:rsidR="00A0354D" w:rsidRDefault="00A0354D" w:rsidP="00EF7102">
            <w:pPr>
              <w:jc w:val="left"/>
            </w:pPr>
            <w:r>
              <w:t>2020</w:t>
            </w:r>
          </w:p>
        </w:tc>
        <w:tc>
          <w:tcPr>
            <w:tcW w:w="2835" w:type="dxa"/>
          </w:tcPr>
          <w:p w14:paraId="7513E2B5" w14:textId="7556093A" w:rsidR="00A0354D" w:rsidRDefault="00EF7102" w:rsidP="00EF7102">
            <w:pPr>
              <w:jc w:val="left"/>
            </w:pPr>
            <w:proofErr w:type="spellStart"/>
            <w:r>
              <w:t>GeoJSON</w:t>
            </w:r>
            <w:proofErr w:type="spellEnd"/>
            <w:r>
              <w:t xml:space="preserve"> polygons for 16 Malaysian states (Level 1 admin divisions)</w:t>
            </w:r>
          </w:p>
        </w:tc>
        <w:tc>
          <w:tcPr>
            <w:tcW w:w="3067" w:type="dxa"/>
          </w:tcPr>
          <w:p w14:paraId="16ED231B" w14:textId="3A8C6E3D" w:rsidR="00A0354D" w:rsidRDefault="0071376A" w:rsidP="00EF7102">
            <w:pPr>
              <w:jc w:val="left"/>
            </w:pPr>
            <w:r>
              <w:t>Spatial structure; used to derive inter-state adjacency weights</w:t>
            </w:r>
          </w:p>
        </w:tc>
      </w:tr>
      <w:tr w:rsidR="00A0354D" w14:paraId="28BD2E01" w14:textId="387E53C2" w:rsidTr="008829CA">
        <w:tc>
          <w:tcPr>
            <w:tcW w:w="1555" w:type="dxa"/>
            <w:shd w:val="clear" w:color="auto" w:fill="F2F2F2" w:themeFill="background1" w:themeFillShade="F2"/>
          </w:tcPr>
          <w:p w14:paraId="0F76616B" w14:textId="6470C15B" w:rsidR="00A0354D" w:rsidRDefault="00A0354D" w:rsidP="00EF7102">
            <w:pPr>
              <w:jc w:val="left"/>
            </w:pPr>
            <w:r>
              <w:t>POIs</w:t>
            </w:r>
          </w:p>
        </w:tc>
        <w:tc>
          <w:tcPr>
            <w:tcW w:w="1559" w:type="dxa"/>
          </w:tcPr>
          <w:p w14:paraId="4B83F5C0" w14:textId="29B035D2" w:rsidR="00A0354D" w:rsidRDefault="00A0354D" w:rsidP="00EF7102">
            <w:pPr>
              <w:jc w:val="left"/>
            </w:pPr>
            <w:r>
              <w:t>Snapshot</w:t>
            </w:r>
          </w:p>
        </w:tc>
        <w:tc>
          <w:tcPr>
            <w:tcW w:w="2835" w:type="dxa"/>
          </w:tcPr>
          <w:p w14:paraId="2077A337" w14:textId="28A9B42A" w:rsidR="00A0354D" w:rsidRDefault="00EF7102" w:rsidP="00EF7102">
            <w:pPr>
              <w:jc w:val="left"/>
            </w:pPr>
            <w:r>
              <w:t>OSM POI extract; 7 categories (transport, food, retail, education, healthcare, leisure, other)</w:t>
            </w:r>
          </w:p>
        </w:tc>
        <w:tc>
          <w:tcPr>
            <w:tcW w:w="3067" w:type="dxa"/>
          </w:tcPr>
          <w:p w14:paraId="615FFD96" w14:textId="6D16D718" w:rsidR="00A0354D" w:rsidRDefault="00E26EAB" w:rsidP="00EF7102">
            <w:pPr>
              <w:jc w:val="left"/>
            </w:pPr>
            <w:r>
              <w:t>Land-use context</w:t>
            </w:r>
            <w:r w:rsidR="00D5473A">
              <w:t xml:space="preserve"> </w:t>
            </w:r>
            <w:r>
              <w:t>within a 500m catchment of each stop</w:t>
            </w:r>
          </w:p>
        </w:tc>
      </w:tr>
      <w:tr w:rsidR="00A0354D" w14:paraId="29AA8A65" w14:textId="3A90419A" w:rsidTr="008829CA">
        <w:tc>
          <w:tcPr>
            <w:tcW w:w="1555" w:type="dxa"/>
            <w:shd w:val="clear" w:color="auto" w:fill="F2F2F2" w:themeFill="background1" w:themeFillShade="F2"/>
          </w:tcPr>
          <w:p w14:paraId="7C9A989A" w14:textId="76FCE369" w:rsidR="00A0354D" w:rsidRDefault="00A0354D" w:rsidP="00EF7102">
            <w:pPr>
              <w:jc w:val="left"/>
            </w:pPr>
            <w:r>
              <w:t>Population Density</w:t>
            </w:r>
          </w:p>
        </w:tc>
        <w:tc>
          <w:tcPr>
            <w:tcW w:w="1559" w:type="dxa"/>
          </w:tcPr>
          <w:p w14:paraId="51DD4DA5" w14:textId="56F25CB8" w:rsidR="00A0354D" w:rsidRDefault="00A0354D" w:rsidP="00EF7102">
            <w:pPr>
              <w:jc w:val="left"/>
            </w:pPr>
            <w:r>
              <w:t>2020</w:t>
            </w:r>
          </w:p>
        </w:tc>
        <w:tc>
          <w:tcPr>
            <w:tcW w:w="2835" w:type="dxa"/>
          </w:tcPr>
          <w:p w14:paraId="31F89CF7" w14:textId="13B5445A" w:rsidR="00A0354D" w:rsidRPr="00EF7102" w:rsidRDefault="00EF7102" w:rsidP="00EF7102">
            <w:pPr>
              <w:jc w:val="left"/>
            </w:pPr>
            <w:r>
              <w:t>~1km</w:t>
            </w:r>
            <w:r>
              <w:rPr>
                <w:vertAlign w:val="superscript"/>
              </w:rPr>
              <w:t>2</w:t>
            </w:r>
            <w:r>
              <w:t xml:space="preserve"> gridded raster of population density across Malaysia</w:t>
            </w:r>
          </w:p>
        </w:tc>
        <w:tc>
          <w:tcPr>
            <w:tcW w:w="3067" w:type="dxa"/>
          </w:tcPr>
          <w:p w14:paraId="4B31902E" w14:textId="26610162" w:rsidR="00A0354D" w:rsidRDefault="008829CA" w:rsidP="00EF7102">
            <w:pPr>
              <w:jc w:val="left"/>
            </w:pPr>
            <w:r>
              <w:t>Spatial context; static proxy for transit catchment potential</w:t>
            </w:r>
          </w:p>
        </w:tc>
      </w:tr>
      <w:tr w:rsidR="00A0354D" w14:paraId="008E3EF4" w14:textId="77777777" w:rsidTr="008829CA">
        <w:tc>
          <w:tcPr>
            <w:tcW w:w="1555" w:type="dxa"/>
            <w:shd w:val="clear" w:color="auto" w:fill="F2F2F2" w:themeFill="background1" w:themeFillShade="F2"/>
          </w:tcPr>
          <w:p w14:paraId="361565C7" w14:textId="248C562D" w:rsidR="00A0354D" w:rsidRDefault="00A0354D" w:rsidP="00EF7102">
            <w:pPr>
              <w:jc w:val="left"/>
            </w:pPr>
            <w:r>
              <w:t>Holidays</w:t>
            </w:r>
          </w:p>
        </w:tc>
        <w:tc>
          <w:tcPr>
            <w:tcW w:w="1559" w:type="dxa"/>
          </w:tcPr>
          <w:p w14:paraId="6DEE4335" w14:textId="480853E1" w:rsidR="00A0354D" w:rsidRDefault="00A0354D" w:rsidP="00EF7102">
            <w:pPr>
              <w:jc w:val="left"/>
            </w:pPr>
            <w:r>
              <w:t>2019 - 2026</w:t>
            </w:r>
          </w:p>
        </w:tc>
        <w:tc>
          <w:tcPr>
            <w:tcW w:w="2835" w:type="dxa"/>
          </w:tcPr>
          <w:p w14:paraId="68952D68" w14:textId="77FFC6E2" w:rsidR="00A0354D" w:rsidRDefault="00EF7102" w:rsidP="00EF7102">
            <w:pPr>
              <w:jc w:val="left"/>
            </w:pPr>
            <w:r>
              <w:t>Date-range calendar of public holiday and academic break periods</w:t>
            </w:r>
          </w:p>
        </w:tc>
        <w:tc>
          <w:tcPr>
            <w:tcW w:w="3067" w:type="dxa"/>
          </w:tcPr>
          <w:p w14:paraId="3DFBD103" w14:textId="727ECCD0" w:rsidR="00A0354D" w:rsidRDefault="008829CA" w:rsidP="00EF7102">
            <w:pPr>
              <w:jc w:val="left"/>
            </w:pPr>
            <w:r>
              <w:t>Demand modifier; lead/lag features capture anticipation dips and post-holiday return surges</w:t>
            </w:r>
          </w:p>
        </w:tc>
      </w:tr>
    </w:tbl>
    <w:p w14:paraId="7182557E" w14:textId="0A1DADA8" w:rsidR="00020CC2" w:rsidRPr="008B2B97" w:rsidRDefault="008B2B97" w:rsidP="008B2B97">
      <w:pPr>
        <w:pStyle w:val="Caption"/>
        <w:spacing w:before="240"/>
        <w:jc w:val="center"/>
        <w:rPr>
          <w:color w:val="auto"/>
          <w:sz w:val="24"/>
          <w:szCs w:val="24"/>
        </w:rPr>
      </w:pPr>
      <w:r w:rsidRPr="008B2B97">
        <w:rPr>
          <w:color w:val="auto"/>
          <w:sz w:val="24"/>
          <w:szCs w:val="24"/>
        </w:rPr>
        <w:t xml:space="preserve">Table </w:t>
      </w:r>
      <w:r w:rsidRPr="008B2B97">
        <w:rPr>
          <w:color w:val="auto"/>
          <w:sz w:val="24"/>
          <w:szCs w:val="24"/>
        </w:rPr>
        <w:fldChar w:fldCharType="begin"/>
      </w:r>
      <w:r w:rsidRPr="008B2B97">
        <w:rPr>
          <w:color w:val="auto"/>
          <w:sz w:val="24"/>
          <w:szCs w:val="24"/>
        </w:rPr>
        <w:instrText xml:space="preserve"> SEQ Table \* ARABIC </w:instrText>
      </w:r>
      <w:r w:rsidRPr="008B2B97">
        <w:rPr>
          <w:color w:val="auto"/>
          <w:sz w:val="24"/>
          <w:szCs w:val="24"/>
        </w:rPr>
        <w:fldChar w:fldCharType="separate"/>
      </w:r>
      <w:r w:rsidR="0050272D">
        <w:rPr>
          <w:noProof/>
          <w:color w:val="auto"/>
          <w:sz w:val="24"/>
          <w:szCs w:val="24"/>
        </w:rPr>
        <w:t>6</w:t>
      </w:r>
      <w:r w:rsidRPr="008B2B97">
        <w:rPr>
          <w:color w:val="auto"/>
          <w:sz w:val="24"/>
          <w:szCs w:val="24"/>
        </w:rPr>
        <w:fldChar w:fldCharType="end"/>
      </w:r>
      <w:r>
        <w:rPr>
          <w:color w:val="auto"/>
          <w:sz w:val="24"/>
          <w:szCs w:val="24"/>
        </w:rPr>
        <w:t>: Eight independent raw data sources used and integrated together in this study along with its coverage, content, and usage.</w:t>
      </w:r>
    </w:p>
    <w:p w14:paraId="40C0402C" w14:textId="400D67F9" w:rsidR="005D4B89" w:rsidRDefault="005D4B89">
      <w:pPr>
        <w:pStyle w:val="Heading2"/>
        <w:numPr>
          <w:ilvl w:val="1"/>
          <w:numId w:val="3"/>
        </w:numPr>
        <w:rPr>
          <w:b/>
          <w:bCs/>
          <w:sz w:val="24"/>
          <w:szCs w:val="24"/>
          <w:u w:val="single"/>
        </w:rPr>
      </w:pPr>
      <w:bookmarkStart w:id="29" w:name="_Toc230901626"/>
      <w:r>
        <w:rPr>
          <w:b/>
          <w:bCs/>
          <w:sz w:val="24"/>
          <w:szCs w:val="24"/>
          <w:u w:val="single"/>
        </w:rPr>
        <w:t>Feature Engineering</w:t>
      </w:r>
      <w:bookmarkEnd w:id="29"/>
    </w:p>
    <w:p w14:paraId="179599BD" w14:textId="72B9AA94" w:rsidR="00166559" w:rsidRDefault="00166559">
      <w:pPr>
        <w:pStyle w:val="Heading2"/>
        <w:numPr>
          <w:ilvl w:val="2"/>
          <w:numId w:val="3"/>
        </w:numPr>
        <w:rPr>
          <w:b/>
          <w:bCs/>
          <w:sz w:val="24"/>
          <w:szCs w:val="24"/>
          <w:u w:val="single"/>
        </w:rPr>
      </w:pPr>
      <w:r>
        <w:rPr>
          <w:b/>
          <w:bCs/>
          <w:sz w:val="24"/>
          <w:szCs w:val="24"/>
          <w:u w:val="single"/>
        </w:rPr>
        <w:t>Data Cleaning</w:t>
      </w:r>
    </w:p>
    <w:p w14:paraId="2C2C2C0D" w14:textId="50B61799" w:rsidR="00166559" w:rsidRDefault="006439BF" w:rsidP="00216E1B">
      <w:pPr>
        <w:ind w:firstLine="720"/>
      </w:pPr>
      <w:r>
        <w:t>Automated preprocessing pipelines must transform heterogeneous raw data formats</w:t>
      </w:r>
      <w:r w:rsidR="006916A3">
        <w:t xml:space="preserve"> into a standardized, contiguous daily format to prevent downstream gradient corruption. Eight independent preprocessing scripts were executed to clean structural nulls, reindex weekly streams, and project original features as shown in Table 7. Pour et al. (2026) utilize stationary percent-change features alongside non-stationary levels to capture short-run economic responses.</w:t>
      </w:r>
      <w:r w:rsidR="003941D8">
        <w:t xml:space="preserve"> Casolaro et al. (2023) demonstrate that circular encoding via sine and cosine projections prevents the ordinal discontinuities that disrupt gradient-based models during calendar updates.</w:t>
      </w:r>
    </w:p>
    <w:p w14:paraId="3C38316F" w14:textId="77777777" w:rsidR="00A701F7" w:rsidRPr="005B21CE" w:rsidRDefault="00A701F7" w:rsidP="00A701F7">
      <w:pPr>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52CD3096" w14:textId="77777777" w:rsidR="00A701F7" w:rsidRPr="005B21CE" w:rsidRDefault="00A701F7" w:rsidP="00A701F7">
      <w:pPr>
        <w:jc w:val="center"/>
        <w:rPr>
          <w:noProof/>
        </w:rPr>
      </w:pPr>
      <w:proofErr w:type="spellStart"/>
      <m:oMathPara>
        <m:oMathParaPr>
          <m:jc m:val="center"/>
        </m:oMathParaPr>
        <m:oMath>
          <m:r>
            <m:rPr>
              <m:nor/>
            </m:rPr>
            <w:rPr>
              <w:rFonts w:ascii="Cambria Math" w:hAnsi="Cambria Math"/>
            </w:rPr>
            <w:lastRenderedPageBreak/>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58CFF007" w14:textId="44D54805" w:rsidR="00A701F7" w:rsidRDefault="00A701F7" w:rsidP="00A701F7">
      <w:r>
        <w:tab/>
        <w:t xml:space="preserve">Retaining missing values as structural </w:t>
      </w:r>
      <w:proofErr w:type="spellStart"/>
      <w:r>
        <w:t>NaNs</w:t>
      </w:r>
      <w:proofErr w:type="spellEnd"/>
      <w:r>
        <w:t xml:space="preserve"> before launch dates prevents zero-demand distortions, forward filling fuel levels preserves economic equilibrium context, and computing cyclic transformations prevents models from treating sequential temporal boundaries as distant parameters. Once individual data sources are cleaned and structured, they must be merged using unified alignment rules.</w:t>
      </w:r>
    </w:p>
    <w:tbl>
      <w:tblPr>
        <w:tblStyle w:val="TableGrid"/>
        <w:tblW w:w="9067" w:type="dxa"/>
        <w:tblLook w:val="04A0" w:firstRow="1" w:lastRow="0" w:firstColumn="1" w:lastColumn="0" w:noHBand="0" w:noVBand="1"/>
      </w:tblPr>
      <w:tblGrid>
        <w:gridCol w:w="1838"/>
        <w:gridCol w:w="2410"/>
        <w:gridCol w:w="4819"/>
      </w:tblGrid>
      <w:tr w:rsidR="00216E1B" w14:paraId="293EDF64" w14:textId="77777777" w:rsidTr="00216E1B">
        <w:tc>
          <w:tcPr>
            <w:tcW w:w="1838" w:type="dxa"/>
            <w:shd w:val="clear" w:color="auto" w:fill="C1E4F5" w:themeFill="accent1" w:themeFillTint="33"/>
          </w:tcPr>
          <w:p w14:paraId="79AC079A" w14:textId="7832CAFB" w:rsidR="00216E1B" w:rsidRPr="00216E1B" w:rsidRDefault="00216E1B" w:rsidP="00216E1B">
            <w:pPr>
              <w:jc w:val="left"/>
              <w:rPr>
                <w:b/>
                <w:bCs/>
              </w:rPr>
            </w:pPr>
            <w:r>
              <w:rPr>
                <w:b/>
                <w:bCs/>
              </w:rPr>
              <w:t>Source</w:t>
            </w:r>
          </w:p>
        </w:tc>
        <w:tc>
          <w:tcPr>
            <w:tcW w:w="2410" w:type="dxa"/>
            <w:shd w:val="clear" w:color="auto" w:fill="C1E4F5" w:themeFill="accent1" w:themeFillTint="33"/>
          </w:tcPr>
          <w:p w14:paraId="57AC988E" w14:textId="7A57A743" w:rsidR="00216E1B" w:rsidRPr="00216E1B" w:rsidRDefault="00216E1B" w:rsidP="00216E1B">
            <w:pPr>
              <w:jc w:val="left"/>
              <w:rPr>
                <w:b/>
                <w:bCs/>
              </w:rPr>
            </w:pPr>
            <w:r>
              <w:rPr>
                <w:b/>
                <w:bCs/>
              </w:rPr>
              <w:t>Raw Format</w:t>
            </w:r>
          </w:p>
        </w:tc>
        <w:tc>
          <w:tcPr>
            <w:tcW w:w="4819" w:type="dxa"/>
            <w:shd w:val="clear" w:color="auto" w:fill="C1E4F5" w:themeFill="accent1" w:themeFillTint="33"/>
          </w:tcPr>
          <w:p w14:paraId="136551EF" w14:textId="71CFAE0E" w:rsidR="00216E1B" w:rsidRPr="00216E1B" w:rsidRDefault="00216E1B" w:rsidP="00216E1B">
            <w:pPr>
              <w:jc w:val="left"/>
              <w:rPr>
                <w:b/>
                <w:bCs/>
              </w:rPr>
            </w:pPr>
            <w:r>
              <w:rPr>
                <w:b/>
                <w:bCs/>
              </w:rPr>
              <w:t>Key Cleaning Operations</w:t>
            </w:r>
          </w:p>
        </w:tc>
      </w:tr>
      <w:tr w:rsidR="00216E1B" w14:paraId="7F800413" w14:textId="77777777" w:rsidTr="00216E1B">
        <w:tc>
          <w:tcPr>
            <w:tcW w:w="1838" w:type="dxa"/>
            <w:shd w:val="clear" w:color="auto" w:fill="F2F2F2" w:themeFill="background1" w:themeFillShade="F2"/>
          </w:tcPr>
          <w:p w14:paraId="6C0CCE73" w14:textId="73CEAE07" w:rsidR="00216E1B" w:rsidRDefault="00216E1B" w:rsidP="00216E1B">
            <w:pPr>
              <w:jc w:val="left"/>
            </w:pPr>
            <w:r>
              <w:t>Ridership</w:t>
            </w:r>
          </w:p>
        </w:tc>
        <w:tc>
          <w:tcPr>
            <w:tcW w:w="2410" w:type="dxa"/>
          </w:tcPr>
          <w:p w14:paraId="42590AC9" w14:textId="586A23C5" w:rsidR="00216E1B" w:rsidRDefault="00216E1B" w:rsidP="00216E1B">
            <w:pPr>
              <w:jc w:val="left"/>
            </w:pPr>
            <w:r>
              <w:t>Daily CSV, 12 service lines, 2019-2026</w:t>
            </w:r>
          </w:p>
        </w:tc>
        <w:tc>
          <w:tcPr>
            <w:tcW w:w="4819" w:type="dxa"/>
          </w:tcPr>
          <w:p w14:paraId="6CFFA858" w14:textId="7E859CB7" w:rsidR="00216E1B" w:rsidRDefault="00216E1B" w:rsidP="00216E1B">
            <w:pPr>
              <w:jc w:val="left"/>
            </w:pPr>
            <w:r>
              <w:t xml:space="preserve">Date parsing, MCO binary flag, pre-/post-launch null handling, </w:t>
            </w:r>
            <w:proofErr w:type="spellStart"/>
            <w:r>
              <w:t>total_ridership</w:t>
            </w:r>
            <w:proofErr w:type="spellEnd"/>
            <w:r>
              <w:t xml:space="preserve"> derivation</w:t>
            </w:r>
          </w:p>
        </w:tc>
      </w:tr>
      <w:tr w:rsidR="00216E1B" w14:paraId="40F8EF4F" w14:textId="77777777" w:rsidTr="00216E1B">
        <w:tc>
          <w:tcPr>
            <w:tcW w:w="1838" w:type="dxa"/>
            <w:shd w:val="clear" w:color="auto" w:fill="F2F2F2" w:themeFill="background1" w:themeFillShade="F2"/>
          </w:tcPr>
          <w:p w14:paraId="5B8854FD" w14:textId="785FFEE5" w:rsidR="00216E1B" w:rsidRDefault="00216E1B" w:rsidP="00216E1B">
            <w:pPr>
              <w:jc w:val="left"/>
            </w:pPr>
            <w:r>
              <w:t>Fuel price</w:t>
            </w:r>
          </w:p>
        </w:tc>
        <w:tc>
          <w:tcPr>
            <w:tcW w:w="2410" w:type="dxa"/>
          </w:tcPr>
          <w:p w14:paraId="183146A1" w14:textId="5DCA981E" w:rsidR="00216E1B" w:rsidRDefault="00216E1B" w:rsidP="00216E1B">
            <w:pPr>
              <w:jc w:val="left"/>
            </w:pPr>
            <w:r>
              <w:t>Weekly CSV (level + weekly change)</w:t>
            </w:r>
          </w:p>
        </w:tc>
        <w:tc>
          <w:tcPr>
            <w:tcW w:w="4819" w:type="dxa"/>
          </w:tcPr>
          <w:p w14:paraId="356F445D" w14:textId="31A16FAA" w:rsidR="00216E1B" w:rsidRDefault="00216E1B" w:rsidP="00216E1B">
            <w:pPr>
              <w:jc w:val="left"/>
            </w:pPr>
            <w:r>
              <w:t>Daily forward-fill reindex, percent-change derivation, back-fill of leading nulls</w:t>
            </w:r>
          </w:p>
        </w:tc>
      </w:tr>
      <w:tr w:rsidR="00216E1B" w14:paraId="0D094213" w14:textId="77777777" w:rsidTr="00216E1B">
        <w:tc>
          <w:tcPr>
            <w:tcW w:w="1838" w:type="dxa"/>
            <w:shd w:val="clear" w:color="auto" w:fill="F2F2F2" w:themeFill="background1" w:themeFillShade="F2"/>
          </w:tcPr>
          <w:p w14:paraId="6B665B43" w14:textId="2A628600" w:rsidR="00216E1B" w:rsidRDefault="00216E1B" w:rsidP="00216E1B">
            <w:pPr>
              <w:jc w:val="left"/>
            </w:pPr>
            <w:r>
              <w:t>Holidays</w:t>
            </w:r>
          </w:p>
        </w:tc>
        <w:tc>
          <w:tcPr>
            <w:tcW w:w="2410" w:type="dxa"/>
          </w:tcPr>
          <w:p w14:paraId="50C81B57" w14:textId="2C9B6B49" w:rsidR="00216E1B" w:rsidRDefault="00216E1B" w:rsidP="00216E1B">
            <w:pPr>
              <w:jc w:val="left"/>
            </w:pPr>
            <w:r>
              <w:t>Data-range CSV</w:t>
            </w:r>
          </w:p>
        </w:tc>
        <w:tc>
          <w:tcPr>
            <w:tcW w:w="4819" w:type="dxa"/>
          </w:tcPr>
          <w:p w14:paraId="27CDB824" w14:textId="47071733" w:rsidR="00216E1B" w:rsidRDefault="00216E1B" w:rsidP="00216E1B">
            <w:pPr>
              <w:jc w:val="left"/>
            </w:pPr>
            <w:r>
              <w:t>Expansion to daily rows, lead/lag proximity features, cyclic DOW/month encoding</w:t>
            </w:r>
          </w:p>
        </w:tc>
      </w:tr>
      <w:tr w:rsidR="00216E1B" w14:paraId="09C4DAD0" w14:textId="77777777" w:rsidTr="00216E1B">
        <w:tc>
          <w:tcPr>
            <w:tcW w:w="1838" w:type="dxa"/>
            <w:shd w:val="clear" w:color="auto" w:fill="F2F2F2" w:themeFill="background1" w:themeFillShade="F2"/>
          </w:tcPr>
          <w:p w14:paraId="4B0D768C" w14:textId="5513855E" w:rsidR="00216E1B" w:rsidRDefault="00216E1B" w:rsidP="00216E1B">
            <w:pPr>
              <w:jc w:val="left"/>
            </w:pPr>
            <w:r>
              <w:t>Rainfall</w:t>
            </w:r>
          </w:p>
        </w:tc>
        <w:tc>
          <w:tcPr>
            <w:tcW w:w="2410" w:type="dxa"/>
          </w:tcPr>
          <w:p w14:paraId="5E89B060" w14:textId="795EF8B1" w:rsidR="00216E1B" w:rsidRDefault="00216E1B" w:rsidP="00216E1B">
            <w:pPr>
              <w:jc w:val="left"/>
            </w:pPr>
            <w:r>
              <w:t>Long-format, sub-national, daily</w:t>
            </w:r>
          </w:p>
        </w:tc>
        <w:tc>
          <w:tcPr>
            <w:tcW w:w="4819" w:type="dxa"/>
          </w:tcPr>
          <w:p w14:paraId="634032B5" w14:textId="3493B062" w:rsidR="00216E1B" w:rsidRDefault="00216E1B" w:rsidP="00216E1B">
            <w:pPr>
              <w:jc w:val="left"/>
            </w:pPr>
            <w:r>
              <w:t xml:space="preserve">Version filter (final only), wide pivot (date * state), 7-day linear interpolation, </w:t>
            </w:r>
            <w:proofErr w:type="spellStart"/>
            <w:r>
              <w:t>bfill</w:t>
            </w:r>
            <w:proofErr w:type="spellEnd"/>
            <w:r>
              <w:t>/</w:t>
            </w:r>
            <w:proofErr w:type="spellStart"/>
            <w:r>
              <w:t>ffill</w:t>
            </w:r>
            <w:proofErr w:type="spellEnd"/>
          </w:p>
        </w:tc>
      </w:tr>
      <w:tr w:rsidR="00216E1B" w14:paraId="2262EBB9" w14:textId="77777777" w:rsidTr="00216E1B">
        <w:tc>
          <w:tcPr>
            <w:tcW w:w="1838" w:type="dxa"/>
            <w:shd w:val="clear" w:color="auto" w:fill="F2F2F2" w:themeFill="background1" w:themeFillShade="F2"/>
          </w:tcPr>
          <w:p w14:paraId="6D294622" w14:textId="2F171B91" w:rsidR="00216E1B" w:rsidRDefault="00216E1B" w:rsidP="00216E1B">
            <w:pPr>
              <w:jc w:val="left"/>
            </w:pPr>
            <w:r>
              <w:t>GTFS</w:t>
            </w:r>
          </w:p>
        </w:tc>
        <w:tc>
          <w:tcPr>
            <w:tcW w:w="2410" w:type="dxa"/>
          </w:tcPr>
          <w:p w14:paraId="637482A8" w14:textId="0747D772" w:rsidR="00216E1B" w:rsidRDefault="00216E1B" w:rsidP="00216E1B">
            <w:pPr>
              <w:jc w:val="left"/>
            </w:pPr>
            <w:r>
              <w:t>Four operator feeds (.txt)</w:t>
            </w:r>
          </w:p>
        </w:tc>
        <w:tc>
          <w:tcPr>
            <w:tcW w:w="4819" w:type="dxa"/>
          </w:tcPr>
          <w:p w14:paraId="07C54E10" w14:textId="690A1542" w:rsidR="00216E1B" w:rsidRDefault="00216E1B" w:rsidP="00216E1B">
            <w:pPr>
              <w:jc w:val="left"/>
            </w:pPr>
            <w:r>
              <w:t>Referential integrity verification, coordinate validation, directed edge extraction, static scalars</w:t>
            </w:r>
          </w:p>
        </w:tc>
      </w:tr>
      <w:tr w:rsidR="00216E1B" w14:paraId="1D6A332B" w14:textId="77777777" w:rsidTr="00216E1B">
        <w:tc>
          <w:tcPr>
            <w:tcW w:w="1838" w:type="dxa"/>
            <w:shd w:val="clear" w:color="auto" w:fill="F2F2F2" w:themeFill="background1" w:themeFillShade="F2"/>
          </w:tcPr>
          <w:p w14:paraId="47F9DBA4" w14:textId="193FD937" w:rsidR="00216E1B" w:rsidRDefault="00216E1B" w:rsidP="00216E1B">
            <w:pPr>
              <w:jc w:val="left"/>
            </w:pPr>
            <w:r>
              <w:t>OSM POI</w:t>
            </w:r>
          </w:p>
        </w:tc>
        <w:tc>
          <w:tcPr>
            <w:tcW w:w="2410" w:type="dxa"/>
          </w:tcPr>
          <w:p w14:paraId="576C0EB3" w14:textId="3C39C312" w:rsidR="00216E1B" w:rsidRDefault="00216E1B" w:rsidP="00216E1B">
            <w:pPr>
              <w:jc w:val="left"/>
            </w:pPr>
            <w:r>
              <w:t xml:space="preserve">Overpass API </w:t>
            </w:r>
            <w:proofErr w:type="spellStart"/>
            <w:r>
              <w:t>GeoJSON</w:t>
            </w:r>
            <w:proofErr w:type="spellEnd"/>
          </w:p>
        </w:tc>
        <w:tc>
          <w:tcPr>
            <w:tcW w:w="4819" w:type="dxa"/>
          </w:tcPr>
          <w:p w14:paraId="677CC6FC" w14:textId="782D6BEE" w:rsidR="00216E1B" w:rsidRDefault="00216E1B" w:rsidP="00216E1B">
            <w:pPr>
              <w:jc w:val="left"/>
            </w:pPr>
            <w:r>
              <w:t>Element deduplication, 7-category taxonomy, 500m catchment counts, per-stop log transforms</w:t>
            </w:r>
          </w:p>
        </w:tc>
      </w:tr>
      <w:tr w:rsidR="00216E1B" w14:paraId="74ACD262" w14:textId="77777777" w:rsidTr="00216E1B">
        <w:tc>
          <w:tcPr>
            <w:tcW w:w="1838" w:type="dxa"/>
            <w:shd w:val="clear" w:color="auto" w:fill="F2F2F2" w:themeFill="background1" w:themeFillShade="F2"/>
          </w:tcPr>
          <w:p w14:paraId="0E39B517" w14:textId="2258DC50" w:rsidR="00216E1B" w:rsidRDefault="00216E1B" w:rsidP="00216E1B">
            <w:pPr>
              <w:jc w:val="left"/>
            </w:pPr>
            <w:r>
              <w:t>Population Density</w:t>
            </w:r>
          </w:p>
        </w:tc>
        <w:tc>
          <w:tcPr>
            <w:tcW w:w="2410" w:type="dxa"/>
          </w:tcPr>
          <w:p w14:paraId="56E4FD3C" w14:textId="01855DEB" w:rsidR="00216E1B" w:rsidRPr="00216E1B" w:rsidRDefault="00216E1B" w:rsidP="00216E1B">
            <w:pPr>
              <w:jc w:val="left"/>
            </w:pPr>
            <w:r>
              <w:t>1km</w:t>
            </w:r>
            <w:r>
              <w:rPr>
                <w:vertAlign w:val="superscript"/>
              </w:rPr>
              <w:t>2</w:t>
            </w:r>
            <w:r>
              <w:t xml:space="preserve"> raster CSV</w:t>
            </w:r>
          </w:p>
        </w:tc>
        <w:tc>
          <w:tcPr>
            <w:tcW w:w="4819" w:type="dxa"/>
          </w:tcPr>
          <w:p w14:paraId="29D3C462" w14:textId="24F34467" w:rsidR="00216E1B" w:rsidRDefault="00216E1B" w:rsidP="00216E1B">
            <w:pPr>
              <w:jc w:val="left"/>
            </w:pPr>
            <w:r>
              <w:t>Bounding-box filter, log1p transform, state aggregation, national median scalars</w:t>
            </w:r>
          </w:p>
        </w:tc>
      </w:tr>
      <w:tr w:rsidR="00216E1B" w14:paraId="3CEF6E14" w14:textId="77777777" w:rsidTr="00216E1B">
        <w:tc>
          <w:tcPr>
            <w:tcW w:w="1838" w:type="dxa"/>
            <w:shd w:val="clear" w:color="auto" w:fill="F2F2F2" w:themeFill="background1" w:themeFillShade="F2"/>
          </w:tcPr>
          <w:p w14:paraId="251000ED" w14:textId="50A08474" w:rsidR="00216E1B" w:rsidRDefault="00216E1B" w:rsidP="00216E1B">
            <w:pPr>
              <w:jc w:val="left"/>
            </w:pPr>
            <w:r>
              <w:t>GADM Boundaries</w:t>
            </w:r>
          </w:p>
        </w:tc>
        <w:tc>
          <w:tcPr>
            <w:tcW w:w="2410" w:type="dxa"/>
          </w:tcPr>
          <w:p w14:paraId="7200395E" w14:textId="69B89FB5" w:rsidR="00216E1B" w:rsidRDefault="00216E1B" w:rsidP="00216E1B">
            <w:pPr>
              <w:jc w:val="left"/>
            </w:pPr>
            <w:proofErr w:type="spellStart"/>
            <w:r>
              <w:t>GeoJSON</w:t>
            </w:r>
            <w:proofErr w:type="spellEnd"/>
            <w:r>
              <w:t>, Level</w:t>
            </w:r>
            <w:r w:rsidR="009E264A">
              <w:t xml:space="preserve"> </w:t>
            </w:r>
            <w:r>
              <w:t>1</w:t>
            </w:r>
          </w:p>
        </w:tc>
        <w:tc>
          <w:tcPr>
            <w:tcW w:w="4819" w:type="dxa"/>
          </w:tcPr>
          <w:p w14:paraId="0DA5D0F9" w14:textId="02AEF7AF" w:rsidR="00216E1B" w:rsidRDefault="00216E1B" w:rsidP="00216E1B">
            <w:pPr>
              <w:jc w:val="left"/>
            </w:pPr>
            <w:r>
              <w:t>Property cleaning, centroid extraction, shared-border adjacency matrix</w:t>
            </w:r>
          </w:p>
        </w:tc>
      </w:tr>
    </w:tbl>
    <w:p w14:paraId="3179D043" w14:textId="38924849" w:rsidR="00216E1B" w:rsidRDefault="00216E1B" w:rsidP="00216E1B">
      <w:pPr>
        <w:pStyle w:val="Caption"/>
        <w:spacing w:before="240"/>
        <w:jc w:val="center"/>
        <w:rPr>
          <w:color w:val="auto"/>
          <w:sz w:val="24"/>
          <w:szCs w:val="24"/>
        </w:rPr>
      </w:pPr>
      <w:r w:rsidRPr="00216E1B">
        <w:rPr>
          <w:color w:val="auto"/>
          <w:sz w:val="24"/>
          <w:szCs w:val="24"/>
        </w:rPr>
        <w:t xml:space="preserve">Table </w:t>
      </w:r>
      <w:r w:rsidRPr="00216E1B">
        <w:rPr>
          <w:color w:val="auto"/>
          <w:sz w:val="24"/>
          <w:szCs w:val="24"/>
        </w:rPr>
        <w:fldChar w:fldCharType="begin"/>
      </w:r>
      <w:r w:rsidRPr="00216E1B">
        <w:rPr>
          <w:color w:val="auto"/>
          <w:sz w:val="24"/>
          <w:szCs w:val="24"/>
        </w:rPr>
        <w:instrText xml:space="preserve"> SEQ Table \* ARABIC </w:instrText>
      </w:r>
      <w:r w:rsidRPr="00216E1B">
        <w:rPr>
          <w:color w:val="auto"/>
          <w:sz w:val="24"/>
          <w:szCs w:val="24"/>
        </w:rPr>
        <w:fldChar w:fldCharType="separate"/>
      </w:r>
      <w:r w:rsidR="0050272D">
        <w:rPr>
          <w:noProof/>
          <w:color w:val="auto"/>
          <w:sz w:val="24"/>
          <w:szCs w:val="24"/>
        </w:rPr>
        <w:t>7</w:t>
      </w:r>
      <w:r w:rsidRPr="00216E1B">
        <w:rPr>
          <w:color w:val="auto"/>
          <w:sz w:val="24"/>
          <w:szCs w:val="24"/>
        </w:rPr>
        <w:fldChar w:fldCharType="end"/>
      </w:r>
      <w:r>
        <w:rPr>
          <w:color w:val="auto"/>
          <w:sz w:val="24"/>
          <w:szCs w:val="24"/>
        </w:rPr>
        <w:t>: Summary table of each source, its raw format, and primary cleaning operations applied.</w:t>
      </w:r>
    </w:p>
    <w:p w14:paraId="43BD454C" w14:textId="4E73077B" w:rsidR="00166559" w:rsidRDefault="00166559">
      <w:pPr>
        <w:pStyle w:val="Heading2"/>
        <w:numPr>
          <w:ilvl w:val="2"/>
          <w:numId w:val="3"/>
        </w:numPr>
        <w:rPr>
          <w:b/>
          <w:bCs/>
          <w:sz w:val="24"/>
          <w:szCs w:val="24"/>
          <w:u w:val="single"/>
        </w:rPr>
      </w:pPr>
      <w:r>
        <w:rPr>
          <w:b/>
          <w:bCs/>
          <w:sz w:val="24"/>
          <w:szCs w:val="24"/>
          <w:u w:val="single"/>
        </w:rPr>
        <w:t>Feature Alignment</w:t>
      </w:r>
    </w:p>
    <w:p w14:paraId="711AAAF8" w14:textId="43BFBDBC" w:rsidR="00020CC2" w:rsidRDefault="00422D34" w:rsidP="001F35DC">
      <w:pPr>
        <w:ind w:firstLine="720"/>
      </w:pPr>
      <w:r>
        <w:t>The development of a master matrix demands that all processed variables be aligned to a common index per day across the designated research periods</w:t>
      </w:r>
      <w:r w:rsidR="009C2886">
        <w:t xml:space="preserve">. </w:t>
      </w:r>
      <w:r>
        <w:t>The features were linked to consecutive indexes</w:t>
      </w:r>
      <w:r w:rsidR="009C2886">
        <w:t xml:space="preserve"> spanning </w:t>
      </w:r>
      <w:r>
        <w:t>1</w:t>
      </w:r>
      <w:r w:rsidRPr="00422D34">
        <w:rPr>
          <w:vertAlign w:val="superscript"/>
        </w:rPr>
        <w:t>st</w:t>
      </w:r>
      <w:r>
        <w:t xml:space="preserve"> January 2019</w:t>
      </w:r>
      <w:r w:rsidR="009C2886">
        <w:t xml:space="preserve"> to </w:t>
      </w:r>
      <w:r>
        <w:t>31</w:t>
      </w:r>
      <w:r w:rsidRPr="00422D34">
        <w:rPr>
          <w:vertAlign w:val="superscript"/>
        </w:rPr>
        <w:t>st</w:t>
      </w:r>
      <w:r>
        <w:t xml:space="preserve"> December 2025</w:t>
      </w:r>
      <w:r w:rsidR="009C2886">
        <w:t xml:space="preserve"> and </w:t>
      </w:r>
      <w:r>
        <w:t>1</w:t>
      </w:r>
      <w:r w:rsidRPr="00422D34">
        <w:rPr>
          <w:vertAlign w:val="superscript"/>
        </w:rPr>
        <w:t>st</w:t>
      </w:r>
      <w:r>
        <w:t xml:space="preserve"> January 2022</w:t>
      </w:r>
      <w:r w:rsidR="009C2886">
        <w:t xml:space="preserve"> to </w:t>
      </w:r>
      <w:r>
        <w:lastRenderedPageBreak/>
        <w:t>31</w:t>
      </w:r>
      <w:r w:rsidRPr="00422D34">
        <w:rPr>
          <w:vertAlign w:val="superscript"/>
        </w:rPr>
        <w:t>st</w:t>
      </w:r>
      <w:r>
        <w:t xml:space="preserve"> December 2025 </w:t>
      </w:r>
      <w:r w:rsidR="009C2886">
        <w:t>using the specific merge and null-handling actions defined in Table 8. Three autoregressive indicators (lags 7, 14, and 28) were generated from the historical ridership series prior to merging, following established transit demand paradigms (Wu et al., 2023; Yusuf et al., 2025).</w:t>
      </w:r>
    </w:p>
    <w:p w14:paraId="489FE3BF" w14:textId="64D08361" w:rsidR="009C2886" w:rsidRDefault="009C2886" w:rsidP="001F35DC">
      <w:pPr>
        <w:ind w:firstLine="720"/>
      </w:pPr>
      <w:r>
        <w:t>Computing autoregressive lags from the complete historical series preserves early matrix continuity, while broadcasting static network and demographic scalars provides a rich multivariate representation across 79 distinct features (Table 9). The finalized, aligned feature matrix serves as the direct baseline input for the sequence assembly phase.</w:t>
      </w:r>
    </w:p>
    <w:tbl>
      <w:tblPr>
        <w:tblStyle w:val="TableGrid"/>
        <w:tblW w:w="0" w:type="auto"/>
        <w:tblLook w:val="04A0" w:firstRow="1" w:lastRow="0" w:firstColumn="1" w:lastColumn="0" w:noHBand="0" w:noVBand="1"/>
      </w:tblPr>
      <w:tblGrid>
        <w:gridCol w:w="1413"/>
        <w:gridCol w:w="3402"/>
        <w:gridCol w:w="4201"/>
      </w:tblGrid>
      <w:tr w:rsidR="007054C5" w14:paraId="52D5D1D1" w14:textId="77777777" w:rsidTr="001753CA">
        <w:tc>
          <w:tcPr>
            <w:tcW w:w="1413" w:type="dxa"/>
            <w:shd w:val="clear" w:color="auto" w:fill="C1E4F5" w:themeFill="accent1" w:themeFillTint="33"/>
          </w:tcPr>
          <w:p w14:paraId="5A7E48D7" w14:textId="49AA3C58" w:rsidR="007054C5" w:rsidRPr="00241443" w:rsidRDefault="00241443" w:rsidP="007054C5">
            <w:pPr>
              <w:rPr>
                <w:b/>
                <w:bCs/>
              </w:rPr>
            </w:pPr>
            <w:r>
              <w:rPr>
                <w:b/>
                <w:bCs/>
              </w:rPr>
              <w:t>Source</w:t>
            </w:r>
          </w:p>
        </w:tc>
        <w:tc>
          <w:tcPr>
            <w:tcW w:w="3402" w:type="dxa"/>
            <w:shd w:val="clear" w:color="auto" w:fill="C1E4F5" w:themeFill="accent1" w:themeFillTint="33"/>
          </w:tcPr>
          <w:p w14:paraId="39BD373F" w14:textId="362414DD" w:rsidR="007054C5" w:rsidRPr="00241443" w:rsidRDefault="00241443" w:rsidP="007054C5">
            <w:pPr>
              <w:rPr>
                <w:b/>
                <w:bCs/>
              </w:rPr>
            </w:pPr>
            <w:r>
              <w:rPr>
                <w:b/>
                <w:bCs/>
              </w:rPr>
              <w:t>Join Method</w:t>
            </w:r>
          </w:p>
        </w:tc>
        <w:tc>
          <w:tcPr>
            <w:tcW w:w="4201" w:type="dxa"/>
            <w:shd w:val="clear" w:color="auto" w:fill="C1E4F5" w:themeFill="accent1" w:themeFillTint="33"/>
          </w:tcPr>
          <w:p w14:paraId="2AFD4F3E" w14:textId="46B0CC8D" w:rsidR="007054C5" w:rsidRPr="00241443" w:rsidRDefault="00241443" w:rsidP="007054C5">
            <w:pPr>
              <w:rPr>
                <w:b/>
                <w:bCs/>
              </w:rPr>
            </w:pPr>
            <w:r>
              <w:rPr>
                <w:b/>
                <w:bCs/>
              </w:rPr>
              <w:t>Null Handling</w:t>
            </w:r>
          </w:p>
        </w:tc>
      </w:tr>
      <w:tr w:rsidR="007054C5" w14:paraId="32342B31" w14:textId="77777777" w:rsidTr="001753CA">
        <w:tc>
          <w:tcPr>
            <w:tcW w:w="1413" w:type="dxa"/>
            <w:shd w:val="clear" w:color="auto" w:fill="F2F2F2" w:themeFill="background1" w:themeFillShade="F2"/>
          </w:tcPr>
          <w:p w14:paraId="6FDF2606" w14:textId="3EB04634" w:rsidR="007054C5" w:rsidRDefault="00241443" w:rsidP="001753CA">
            <w:pPr>
              <w:jc w:val="left"/>
            </w:pPr>
            <w:r>
              <w:t>Ridership (Targets)</w:t>
            </w:r>
          </w:p>
        </w:tc>
        <w:tc>
          <w:tcPr>
            <w:tcW w:w="3402" w:type="dxa"/>
          </w:tcPr>
          <w:p w14:paraId="5EC2B1FC" w14:textId="09DBB205" w:rsidR="007054C5" w:rsidRDefault="00241443" w:rsidP="001753CA">
            <w:pPr>
              <w:jc w:val="left"/>
            </w:pPr>
            <w:r>
              <w:t>reindex</w:t>
            </w:r>
          </w:p>
        </w:tc>
        <w:tc>
          <w:tcPr>
            <w:tcW w:w="4201" w:type="dxa"/>
          </w:tcPr>
          <w:p w14:paraId="6E32E97C" w14:textId="29C831C8" w:rsidR="007054C5" w:rsidRDefault="00241443" w:rsidP="001753CA">
            <w:pPr>
              <w:jc w:val="left"/>
            </w:pPr>
            <w:r>
              <w:t>Pre-launch nulls retained; filled to 0.0 in sequence assembly</w:t>
            </w:r>
          </w:p>
        </w:tc>
      </w:tr>
      <w:tr w:rsidR="00241443" w14:paraId="15A13157" w14:textId="77777777" w:rsidTr="001753CA">
        <w:tc>
          <w:tcPr>
            <w:tcW w:w="1413" w:type="dxa"/>
            <w:shd w:val="clear" w:color="auto" w:fill="F2F2F2" w:themeFill="background1" w:themeFillShade="F2"/>
          </w:tcPr>
          <w:p w14:paraId="7F73E97B" w14:textId="5B80E41B" w:rsidR="00241443" w:rsidRDefault="00241443" w:rsidP="001753CA">
            <w:pPr>
              <w:jc w:val="left"/>
            </w:pPr>
            <w:r>
              <w:t>Fuel Price</w:t>
            </w:r>
          </w:p>
        </w:tc>
        <w:tc>
          <w:tcPr>
            <w:tcW w:w="3402" w:type="dxa"/>
          </w:tcPr>
          <w:p w14:paraId="1CD0FDB6" w14:textId="2E59DC5F" w:rsidR="00241443" w:rsidRDefault="00241443" w:rsidP="001753CA">
            <w:pPr>
              <w:jc w:val="left"/>
            </w:pPr>
            <w:r>
              <w:t xml:space="preserve">reindex + </w:t>
            </w:r>
            <w:proofErr w:type="spellStart"/>
            <w:r>
              <w:t>ffill</w:t>
            </w:r>
            <w:proofErr w:type="spellEnd"/>
          </w:p>
        </w:tc>
        <w:tc>
          <w:tcPr>
            <w:tcW w:w="4201" w:type="dxa"/>
          </w:tcPr>
          <w:p w14:paraId="18A1E37F" w14:textId="1EBAFFDA" w:rsidR="00241443" w:rsidRDefault="00241443" w:rsidP="001753CA">
            <w:pPr>
              <w:jc w:val="left"/>
            </w:pPr>
            <w:r>
              <w:t>No gaps after forward-fill</w:t>
            </w:r>
          </w:p>
        </w:tc>
      </w:tr>
      <w:tr w:rsidR="00241443" w14:paraId="03465C95" w14:textId="77777777" w:rsidTr="001753CA">
        <w:tc>
          <w:tcPr>
            <w:tcW w:w="1413" w:type="dxa"/>
            <w:shd w:val="clear" w:color="auto" w:fill="F2F2F2" w:themeFill="background1" w:themeFillShade="F2"/>
          </w:tcPr>
          <w:p w14:paraId="16BE48DF" w14:textId="511AA8F7" w:rsidR="00241443" w:rsidRDefault="00241443" w:rsidP="001753CA">
            <w:pPr>
              <w:jc w:val="left"/>
            </w:pPr>
            <w:r>
              <w:t>Holiday / Cyclical</w:t>
            </w:r>
          </w:p>
        </w:tc>
        <w:tc>
          <w:tcPr>
            <w:tcW w:w="3402" w:type="dxa"/>
          </w:tcPr>
          <w:p w14:paraId="1CFE41FF" w14:textId="59CD2141" w:rsidR="00241443" w:rsidRDefault="00241443" w:rsidP="001753CA">
            <w:pPr>
              <w:jc w:val="left"/>
            </w:pPr>
            <w:r>
              <w:t xml:space="preserve">reindex + </w:t>
            </w:r>
            <w:proofErr w:type="spellStart"/>
            <w:proofErr w:type="gramStart"/>
            <w:r>
              <w:t>fillna</w:t>
            </w:r>
            <w:proofErr w:type="spellEnd"/>
            <w:r>
              <w:t>(</w:t>
            </w:r>
            <w:proofErr w:type="gramEnd"/>
            <w:r>
              <w:t>0)</w:t>
            </w:r>
          </w:p>
        </w:tc>
        <w:tc>
          <w:tcPr>
            <w:tcW w:w="4201" w:type="dxa"/>
          </w:tcPr>
          <w:p w14:paraId="613682D7" w14:textId="5D6ACDFA" w:rsidR="00241443" w:rsidRDefault="00241443" w:rsidP="001753CA">
            <w:pPr>
              <w:jc w:val="left"/>
            </w:pPr>
            <w:r>
              <w:t>Non-holiday days default to 0</w:t>
            </w:r>
          </w:p>
        </w:tc>
      </w:tr>
      <w:tr w:rsidR="007054C5" w14:paraId="5AB72442" w14:textId="77777777" w:rsidTr="001753CA">
        <w:tc>
          <w:tcPr>
            <w:tcW w:w="1413" w:type="dxa"/>
            <w:shd w:val="clear" w:color="auto" w:fill="F2F2F2" w:themeFill="background1" w:themeFillShade="F2"/>
          </w:tcPr>
          <w:p w14:paraId="1669B512" w14:textId="74341811" w:rsidR="007054C5" w:rsidRDefault="00241443" w:rsidP="001753CA">
            <w:pPr>
              <w:jc w:val="left"/>
            </w:pPr>
            <w:r>
              <w:t>Rainfall</w:t>
            </w:r>
          </w:p>
        </w:tc>
        <w:tc>
          <w:tcPr>
            <w:tcW w:w="3402" w:type="dxa"/>
          </w:tcPr>
          <w:p w14:paraId="705424D7" w14:textId="1A932B6F" w:rsidR="007054C5" w:rsidRDefault="00241443" w:rsidP="001753CA">
            <w:pPr>
              <w:jc w:val="left"/>
            </w:pPr>
            <w:r>
              <w:t xml:space="preserve">reindex + interpolate(limit=7) + </w:t>
            </w:r>
            <w:proofErr w:type="spellStart"/>
            <w:r>
              <w:t>bfill</w:t>
            </w:r>
            <w:proofErr w:type="spellEnd"/>
            <w:r>
              <w:t>/</w:t>
            </w:r>
            <w:proofErr w:type="spellStart"/>
            <w:r>
              <w:t>ffill</w:t>
            </w:r>
            <w:proofErr w:type="spellEnd"/>
          </w:p>
        </w:tc>
        <w:tc>
          <w:tcPr>
            <w:tcW w:w="4201" w:type="dxa"/>
          </w:tcPr>
          <w:p w14:paraId="671639E0" w14:textId="6655184C" w:rsidR="007054C5" w:rsidRDefault="00241443" w:rsidP="001753CA">
            <w:pPr>
              <w:jc w:val="left"/>
            </w:pPr>
            <w:r>
              <w:t>Contiguous after interpolation</w:t>
            </w:r>
          </w:p>
        </w:tc>
      </w:tr>
      <w:tr w:rsidR="001753CA" w14:paraId="0E192A88" w14:textId="77777777" w:rsidTr="001753CA">
        <w:trPr>
          <w:trHeight w:val="940"/>
        </w:trPr>
        <w:tc>
          <w:tcPr>
            <w:tcW w:w="1413" w:type="dxa"/>
            <w:shd w:val="clear" w:color="auto" w:fill="F2F2F2" w:themeFill="background1" w:themeFillShade="F2"/>
          </w:tcPr>
          <w:p w14:paraId="3EF6E8AB" w14:textId="358A44CF" w:rsidR="001753CA" w:rsidRDefault="001753CA" w:rsidP="001753CA">
            <w:pPr>
              <w:jc w:val="left"/>
            </w:pPr>
            <w:r>
              <w:t>Static Features</w:t>
            </w:r>
          </w:p>
        </w:tc>
        <w:tc>
          <w:tcPr>
            <w:tcW w:w="3402" w:type="dxa"/>
          </w:tcPr>
          <w:p w14:paraId="2148C928" w14:textId="01513605" w:rsidR="001753CA" w:rsidRDefault="001753CA" w:rsidP="001753CA">
            <w:pPr>
              <w:jc w:val="left"/>
            </w:pPr>
            <w:r>
              <w:t>Scalar broadcast</w:t>
            </w:r>
          </w:p>
        </w:tc>
        <w:tc>
          <w:tcPr>
            <w:tcW w:w="4201" w:type="dxa"/>
          </w:tcPr>
          <w:p w14:paraId="0059BFA1" w14:textId="2ED470D2" w:rsidR="001753CA" w:rsidRDefault="001753CA" w:rsidP="001753CA">
            <w:pPr>
              <w:jc w:val="left"/>
            </w:pPr>
            <w:r>
              <w:t>No nulls across population density, GTFS, POI, or GADM streams</w:t>
            </w:r>
          </w:p>
        </w:tc>
      </w:tr>
    </w:tbl>
    <w:p w14:paraId="003C8D8A" w14:textId="32B94A9A" w:rsidR="00D922F9" w:rsidRPr="007B7C2D" w:rsidRDefault="00241443" w:rsidP="007B7C2D">
      <w:pPr>
        <w:pStyle w:val="Caption"/>
        <w:spacing w:before="240"/>
        <w:jc w:val="center"/>
        <w:rPr>
          <w:color w:val="auto"/>
          <w:sz w:val="24"/>
          <w:szCs w:val="24"/>
        </w:rPr>
      </w:pPr>
      <w:r w:rsidRPr="00241443">
        <w:rPr>
          <w:color w:val="auto"/>
          <w:sz w:val="24"/>
          <w:szCs w:val="24"/>
        </w:rPr>
        <w:t xml:space="preserve">Table </w:t>
      </w:r>
      <w:r w:rsidRPr="00241443">
        <w:rPr>
          <w:color w:val="auto"/>
          <w:sz w:val="24"/>
          <w:szCs w:val="24"/>
        </w:rPr>
        <w:fldChar w:fldCharType="begin"/>
      </w:r>
      <w:r w:rsidRPr="00241443">
        <w:rPr>
          <w:color w:val="auto"/>
          <w:sz w:val="24"/>
          <w:szCs w:val="24"/>
        </w:rPr>
        <w:instrText xml:space="preserve"> SEQ Table \* ARABIC </w:instrText>
      </w:r>
      <w:r w:rsidRPr="00241443">
        <w:rPr>
          <w:color w:val="auto"/>
          <w:sz w:val="24"/>
          <w:szCs w:val="24"/>
        </w:rPr>
        <w:fldChar w:fldCharType="separate"/>
      </w:r>
      <w:r w:rsidR="0050272D">
        <w:rPr>
          <w:noProof/>
          <w:color w:val="auto"/>
          <w:sz w:val="24"/>
          <w:szCs w:val="24"/>
        </w:rPr>
        <w:t>8</w:t>
      </w:r>
      <w:r w:rsidRPr="00241443">
        <w:rPr>
          <w:color w:val="auto"/>
          <w:sz w:val="24"/>
          <w:szCs w:val="24"/>
        </w:rPr>
        <w:fldChar w:fldCharType="end"/>
      </w:r>
      <w:r>
        <w:rPr>
          <w:color w:val="auto"/>
          <w:sz w:val="24"/>
          <w:szCs w:val="24"/>
        </w:rPr>
        <w:t xml:space="preserve">: Merge strategy and null handling </w:t>
      </w:r>
      <w:r w:rsidR="00CC6FC3">
        <w:rPr>
          <w:color w:val="auto"/>
          <w:sz w:val="24"/>
          <w:szCs w:val="24"/>
        </w:rPr>
        <w:t>for each</w:t>
      </w:r>
      <w:r w:rsidR="00D922F9">
        <w:rPr>
          <w:color w:val="auto"/>
          <w:sz w:val="24"/>
          <w:szCs w:val="24"/>
        </w:rPr>
        <w:t xml:space="preserve"> data source.</w:t>
      </w:r>
    </w:p>
    <w:tbl>
      <w:tblPr>
        <w:tblStyle w:val="TableGrid"/>
        <w:tblW w:w="0" w:type="auto"/>
        <w:tblLook w:val="04A0" w:firstRow="1" w:lastRow="0" w:firstColumn="1" w:lastColumn="0" w:noHBand="0" w:noVBand="1"/>
      </w:tblPr>
      <w:tblGrid>
        <w:gridCol w:w="1413"/>
        <w:gridCol w:w="992"/>
        <w:gridCol w:w="6611"/>
      </w:tblGrid>
      <w:tr w:rsidR="003E2922" w14:paraId="3090A219" w14:textId="77777777" w:rsidTr="00DF3E3B">
        <w:tc>
          <w:tcPr>
            <w:tcW w:w="1413" w:type="dxa"/>
            <w:shd w:val="clear" w:color="auto" w:fill="C1E4F5" w:themeFill="accent1" w:themeFillTint="33"/>
          </w:tcPr>
          <w:p w14:paraId="14EA50AE" w14:textId="36AAE04B" w:rsidR="003E2922" w:rsidRPr="003E2922" w:rsidRDefault="003E2922" w:rsidP="00D922F9">
            <w:pPr>
              <w:rPr>
                <w:b/>
                <w:bCs/>
              </w:rPr>
            </w:pPr>
            <w:r>
              <w:rPr>
                <w:b/>
                <w:bCs/>
              </w:rPr>
              <w:t>Group</w:t>
            </w:r>
          </w:p>
        </w:tc>
        <w:tc>
          <w:tcPr>
            <w:tcW w:w="992" w:type="dxa"/>
            <w:shd w:val="clear" w:color="auto" w:fill="C1E4F5" w:themeFill="accent1" w:themeFillTint="33"/>
          </w:tcPr>
          <w:p w14:paraId="7C25E944" w14:textId="3954BDE7" w:rsidR="003E2922" w:rsidRPr="003E2922" w:rsidRDefault="003E2922" w:rsidP="00D922F9">
            <w:pPr>
              <w:rPr>
                <w:b/>
                <w:bCs/>
              </w:rPr>
            </w:pPr>
            <w:r>
              <w:rPr>
                <w:b/>
                <w:bCs/>
              </w:rPr>
              <w:t>Count</w:t>
            </w:r>
          </w:p>
        </w:tc>
        <w:tc>
          <w:tcPr>
            <w:tcW w:w="6611" w:type="dxa"/>
            <w:shd w:val="clear" w:color="auto" w:fill="C1E4F5" w:themeFill="accent1" w:themeFillTint="33"/>
          </w:tcPr>
          <w:p w14:paraId="5572CF89" w14:textId="79F71228" w:rsidR="003E2922" w:rsidRPr="003E2922" w:rsidRDefault="003E2922" w:rsidP="00D922F9">
            <w:pPr>
              <w:rPr>
                <w:b/>
                <w:bCs/>
              </w:rPr>
            </w:pPr>
            <w:r>
              <w:rPr>
                <w:b/>
                <w:bCs/>
              </w:rPr>
              <w:t>Description</w:t>
            </w:r>
          </w:p>
        </w:tc>
      </w:tr>
      <w:tr w:rsidR="003E2922" w14:paraId="1CBFD47B" w14:textId="77777777" w:rsidTr="00DF3E3B">
        <w:tc>
          <w:tcPr>
            <w:tcW w:w="1413" w:type="dxa"/>
            <w:shd w:val="clear" w:color="auto" w:fill="F2F2F2" w:themeFill="background1" w:themeFillShade="F2"/>
          </w:tcPr>
          <w:p w14:paraId="37A75F11" w14:textId="6BC19118" w:rsidR="003E2922" w:rsidRDefault="003E2922" w:rsidP="00D922F9">
            <w:r>
              <w:t>Targets</w:t>
            </w:r>
          </w:p>
        </w:tc>
        <w:tc>
          <w:tcPr>
            <w:tcW w:w="992" w:type="dxa"/>
          </w:tcPr>
          <w:p w14:paraId="2AF6DBAE" w14:textId="4D79EC78" w:rsidR="003E2922" w:rsidRDefault="003E2922" w:rsidP="00D922F9">
            <w:r>
              <w:t>13</w:t>
            </w:r>
          </w:p>
        </w:tc>
        <w:tc>
          <w:tcPr>
            <w:tcW w:w="6611" w:type="dxa"/>
          </w:tcPr>
          <w:p w14:paraId="5B566725" w14:textId="6F959EFC" w:rsidR="003E2922" w:rsidRDefault="003E2922" w:rsidP="00D922F9">
            <w:r>
              <w:t xml:space="preserve">12 service-line ridership counts + </w:t>
            </w:r>
            <w:proofErr w:type="spellStart"/>
            <w:r>
              <w:t>total_ridership</w:t>
            </w:r>
            <w:proofErr w:type="spellEnd"/>
          </w:p>
        </w:tc>
      </w:tr>
      <w:tr w:rsidR="003E2922" w14:paraId="25E96E25" w14:textId="77777777" w:rsidTr="00DF3E3B">
        <w:tc>
          <w:tcPr>
            <w:tcW w:w="1413" w:type="dxa"/>
            <w:shd w:val="clear" w:color="auto" w:fill="F2F2F2" w:themeFill="background1" w:themeFillShade="F2"/>
          </w:tcPr>
          <w:p w14:paraId="06472497" w14:textId="6926700C" w:rsidR="003E2922" w:rsidRDefault="003E2922" w:rsidP="00D922F9">
            <w:r>
              <w:t>Temporal</w:t>
            </w:r>
          </w:p>
        </w:tc>
        <w:tc>
          <w:tcPr>
            <w:tcW w:w="992" w:type="dxa"/>
          </w:tcPr>
          <w:p w14:paraId="72536748" w14:textId="75131EED" w:rsidR="003E2922" w:rsidRDefault="003E2922" w:rsidP="00D922F9">
            <w:r>
              <w:t>16</w:t>
            </w:r>
          </w:p>
        </w:tc>
        <w:tc>
          <w:tcPr>
            <w:tcW w:w="6611" w:type="dxa"/>
          </w:tcPr>
          <w:p w14:paraId="04AE185E" w14:textId="70F2A765" w:rsidR="003E2922" w:rsidRDefault="003E2922" w:rsidP="00D922F9">
            <w:r>
              <w:t xml:space="preserve">Holiday flags, lead/lag proximity days, cyclic DOW/month, year, </w:t>
            </w:r>
            <w:proofErr w:type="spellStart"/>
            <w:r>
              <w:t>day_of_year</w:t>
            </w:r>
            <w:proofErr w:type="spellEnd"/>
            <w:r>
              <w:t xml:space="preserve">, </w:t>
            </w:r>
            <w:proofErr w:type="spellStart"/>
            <w:r>
              <w:t>is_weekend</w:t>
            </w:r>
            <w:proofErr w:type="spellEnd"/>
          </w:p>
        </w:tc>
      </w:tr>
      <w:tr w:rsidR="003E2922" w14:paraId="4FC3C662" w14:textId="77777777" w:rsidTr="00DF3E3B">
        <w:tc>
          <w:tcPr>
            <w:tcW w:w="1413" w:type="dxa"/>
            <w:shd w:val="clear" w:color="auto" w:fill="F2F2F2" w:themeFill="background1" w:themeFillShade="F2"/>
          </w:tcPr>
          <w:p w14:paraId="07334A6D" w14:textId="7C3391A5" w:rsidR="003E2922" w:rsidRDefault="003E2922" w:rsidP="00D922F9">
            <w:r>
              <w:t>External</w:t>
            </w:r>
          </w:p>
        </w:tc>
        <w:tc>
          <w:tcPr>
            <w:tcW w:w="992" w:type="dxa"/>
          </w:tcPr>
          <w:p w14:paraId="55BAE7ED" w14:textId="1645CE17" w:rsidR="003E2922" w:rsidRDefault="003E2922" w:rsidP="00D922F9">
            <w:r>
              <w:t>30</w:t>
            </w:r>
          </w:p>
        </w:tc>
        <w:tc>
          <w:tcPr>
            <w:tcW w:w="6611" w:type="dxa"/>
          </w:tcPr>
          <w:p w14:paraId="7E604F01" w14:textId="2199E098" w:rsidR="003E2922" w:rsidRDefault="003E2922" w:rsidP="00D922F9">
            <w:r>
              <w:t>Fuel price levels and percent-changes (15) + per-state rainfall (15)</w:t>
            </w:r>
          </w:p>
        </w:tc>
      </w:tr>
      <w:tr w:rsidR="003E2922" w14:paraId="00D736E5" w14:textId="77777777" w:rsidTr="00DF3E3B">
        <w:tc>
          <w:tcPr>
            <w:tcW w:w="1413" w:type="dxa"/>
            <w:shd w:val="clear" w:color="auto" w:fill="F2F2F2" w:themeFill="background1" w:themeFillShade="F2"/>
          </w:tcPr>
          <w:p w14:paraId="249E8288" w14:textId="574E0F43" w:rsidR="003E2922" w:rsidRDefault="003E2922" w:rsidP="00D922F9">
            <w:r>
              <w:t>Lag</w:t>
            </w:r>
          </w:p>
        </w:tc>
        <w:tc>
          <w:tcPr>
            <w:tcW w:w="992" w:type="dxa"/>
          </w:tcPr>
          <w:p w14:paraId="70026894" w14:textId="0F00092C" w:rsidR="003E2922" w:rsidRDefault="003E2922" w:rsidP="00D922F9">
            <w:r>
              <w:t>3</w:t>
            </w:r>
          </w:p>
        </w:tc>
        <w:tc>
          <w:tcPr>
            <w:tcW w:w="6611" w:type="dxa"/>
          </w:tcPr>
          <w:p w14:paraId="2772F96B" w14:textId="6B72BC5E" w:rsidR="003E2922" w:rsidRDefault="003E2922" w:rsidP="00D922F9">
            <w:r>
              <w:t>ridership_lag_7, ridership_lag_14, and ridership_lag_28</w:t>
            </w:r>
          </w:p>
        </w:tc>
      </w:tr>
      <w:tr w:rsidR="003E2922" w14:paraId="63A2D384" w14:textId="77777777" w:rsidTr="00DF3E3B">
        <w:tc>
          <w:tcPr>
            <w:tcW w:w="1413" w:type="dxa"/>
            <w:shd w:val="clear" w:color="auto" w:fill="F2F2F2" w:themeFill="background1" w:themeFillShade="F2"/>
          </w:tcPr>
          <w:p w14:paraId="3FB50614" w14:textId="227FE94E" w:rsidR="003E2922" w:rsidRDefault="003E2922" w:rsidP="00D922F9">
            <w:r>
              <w:t>Static</w:t>
            </w:r>
          </w:p>
        </w:tc>
        <w:tc>
          <w:tcPr>
            <w:tcW w:w="992" w:type="dxa"/>
          </w:tcPr>
          <w:p w14:paraId="1EB71532" w14:textId="539E28A6" w:rsidR="003E2922" w:rsidRDefault="003E2922" w:rsidP="00D922F9">
            <w:r>
              <w:t>17</w:t>
            </w:r>
          </w:p>
        </w:tc>
        <w:tc>
          <w:tcPr>
            <w:tcW w:w="6611" w:type="dxa"/>
          </w:tcPr>
          <w:p w14:paraId="70B4D02A" w14:textId="6E61148C" w:rsidR="003E2922" w:rsidRDefault="003E2922" w:rsidP="00D922F9">
            <w:r>
              <w:t>Population density, GTFS network counts, OSM POI means, GADM boundary stats</w:t>
            </w:r>
          </w:p>
        </w:tc>
      </w:tr>
      <w:tr w:rsidR="003E2922" w14:paraId="2C2C720B" w14:textId="77777777" w:rsidTr="00DF3E3B">
        <w:tc>
          <w:tcPr>
            <w:tcW w:w="1413" w:type="dxa"/>
            <w:shd w:val="clear" w:color="auto" w:fill="D1D1D1" w:themeFill="background2" w:themeFillShade="E6"/>
          </w:tcPr>
          <w:p w14:paraId="7D09171F" w14:textId="028D22D5" w:rsidR="003E2922" w:rsidRPr="003E2922" w:rsidRDefault="003E2922" w:rsidP="00D922F9">
            <w:pPr>
              <w:rPr>
                <w:b/>
                <w:bCs/>
              </w:rPr>
            </w:pPr>
            <w:r>
              <w:rPr>
                <w:b/>
                <w:bCs/>
              </w:rPr>
              <w:t>TOTAL</w:t>
            </w:r>
          </w:p>
        </w:tc>
        <w:tc>
          <w:tcPr>
            <w:tcW w:w="992" w:type="dxa"/>
            <w:shd w:val="clear" w:color="auto" w:fill="D1D1D1" w:themeFill="background2" w:themeFillShade="E6"/>
          </w:tcPr>
          <w:p w14:paraId="60C8ECAE" w14:textId="2939CCD3" w:rsidR="003E2922" w:rsidRPr="003E2922" w:rsidRDefault="003E2922" w:rsidP="00D922F9">
            <w:pPr>
              <w:rPr>
                <w:b/>
                <w:bCs/>
              </w:rPr>
            </w:pPr>
            <w:r>
              <w:rPr>
                <w:b/>
                <w:bCs/>
              </w:rPr>
              <w:t>79</w:t>
            </w:r>
          </w:p>
        </w:tc>
        <w:tc>
          <w:tcPr>
            <w:tcW w:w="6611" w:type="dxa"/>
            <w:shd w:val="clear" w:color="auto" w:fill="D1D1D1" w:themeFill="background2" w:themeFillShade="E6"/>
          </w:tcPr>
          <w:p w14:paraId="172CC91F" w14:textId="32A9A8EE" w:rsidR="003E2922" w:rsidRPr="00836CA6" w:rsidRDefault="00836CA6" w:rsidP="00D922F9">
            <w:pPr>
              <w:rPr>
                <w:b/>
                <w:bCs/>
              </w:rPr>
            </w:pPr>
            <w:r>
              <w:rPr>
                <w:b/>
                <w:bCs/>
              </w:rPr>
              <w:t>Finalized aligned multivariate input matrix</w:t>
            </w:r>
          </w:p>
        </w:tc>
      </w:tr>
    </w:tbl>
    <w:p w14:paraId="6C17C135" w14:textId="43DBBE07" w:rsidR="003E2922" w:rsidRDefault="00DF3E3B" w:rsidP="00DF3E3B">
      <w:pPr>
        <w:pStyle w:val="Caption"/>
        <w:spacing w:before="240"/>
        <w:jc w:val="center"/>
        <w:rPr>
          <w:color w:val="auto"/>
          <w:sz w:val="24"/>
          <w:szCs w:val="24"/>
        </w:rPr>
      </w:pPr>
      <w:r w:rsidRPr="00DF3E3B">
        <w:rPr>
          <w:color w:val="auto"/>
          <w:sz w:val="24"/>
          <w:szCs w:val="24"/>
        </w:rPr>
        <w:t xml:space="preserve">Table </w:t>
      </w:r>
      <w:r w:rsidRPr="00DF3E3B">
        <w:rPr>
          <w:color w:val="auto"/>
          <w:sz w:val="24"/>
          <w:szCs w:val="24"/>
        </w:rPr>
        <w:fldChar w:fldCharType="begin"/>
      </w:r>
      <w:r w:rsidRPr="00DF3E3B">
        <w:rPr>
          <w:color w:val="auto"/>
          <w:sz w:val="24"/>
          <w:szCs w:val="24"/>
        </w:rPr>
        <w:instrText xml:space="preserve"> SEQ Table \* ARABIC </w:instrText>
      </w:r>
      <w:r w:rsidRPr="00DF3E3B">
        <w:rPr>
          <w:color w:val="auto"/>
          <w:sz w:val="24"/>
          <w:szCs w:val="24"/>
        </w:rPr>
        <w:fldChar w:fldCharType="separate"/>
      </w:r>
      <w:r w:rsidR="0050272D">
        <w:rPr>
          <w:noProof/>
          <w:color w:val="auto"/>
          <w:sz w:val="24"/>
          <w:szCs w:val="24"/>
        </w:rPr>
        <w:t>9</w:t>
      </w:r>
      <w:r w:rsidRPr="00DF3E3B">
        <w:rPr>
          <w:color w:val="auto"/>
          <w:sz w:val="24"/>
          <w:szCs w:val="24"/>
        </w:rPr>
        <w:fldChar w:fldCharType="end"/>
      </w:r>
      <w:r>
        <w:rPr>
          <w:color w:val="auto"/>
          <w:sz w:val="24"/>
          <w:szCs w:val="24"/>
        </w:rPr>
        <w:t xml:space="preserve">: </w:t>
      </w:r>
      <w:r w:rsidR="00484921">
        <w:rPr>
          <w:color w:val="auto"/>
          <w:sz w:val="24"/>
          <w:szCs w:val="24"/>
        </w:rPr>
        <w:t>The finalized aligned feature matrix contains 79 features across five semantic groups.</w:t>
      </w:r>
    </w:p>
    <w:p w14:paraId="4E0AD6EC" w14:textId="4D93B3C3" w:rsidR="00166559" w:rsidRDefault="00166559">
      <w:pPr>
        <w:pStyle w:val="Heading2"/>
        <w:numPr>
          <w:ilvl w:val="2"/>
          <w:numId w:val="3"/>
        </w:numPr>
        <w:rPr>
          <w:b/>
          <w:bCs/>
          <w:sz w:val="24"/>
          <w:szCs w:val="24"/>
          <w:u w:val="single"/>
        </w:rPr>
      </w:pPr>
      <w:r>
        <w:rPr>
          <w:b/>
          <w:bCs/>
          <w:sz w:val="24"/>
          <w:szCs w:val="24"/>
          <w:u w:val="single"/>
        </w:rPr>
        <w:lastRenderedPageBreak/>
        <w:t>Sequence Building</w:t>
      </w:r>
    </w:p>
    <w:p w14:paraId="426CC4D8" w14:textId="2B1BC94B" w:rsidR="00247FD7" w:rsidRPr="00D27AAB" w:rsidRDefault="00D27AAB" w:rsidP="001419AD">
      <w:pPr>
        <w:ind w:firstLine="720"/>
      </w:pPr>
      <w:r>
        <w:t>It is necessary to transform the continuous feature matrix into discrete sliding window tensors for constructing valid input-output sequences for DL models. Overlapping input windows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and prediction horizons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t xml:space="preserve">) were extracted in strict chronological order, partitioned into a 70%/15%/15% chronological split, and normalized using a </w:t>
      </w:r>
      <w:proofErr w:type="spellStart"/>
      <w:r>
        <w:t>MinMaxScalar</w:t>
      </w:r>
      <w:proofErr w:type="spellEnd"/>
      <w:r>
        <w:t xml:space="preserve"> fit exclusively on training data. </w:t>
      </w:r>
      <w:proofErr w:type="spellStart"/>
      <w:r>
        <w:t>AlKhereibi</w:t>
      </w:r>
      <w:proofErr w:type="spellEnd"/>
      <w:r>
        <w:t xml:space="preserve"> et al. (2023) and Casolaro et al. (2023) note that avoiding data shuffling and fitting scalers solely on the training partition prevents future information leakage.</w:t>
      </w:r>
    </w:p>
    <w:p w14:paraId="1EEA5602" w14:textId="14B8130F" w:rsidR="00D27AAB" w:rsidRPr="004B1BCC" w:rsidRDefault="00DD5898" w:rsidP="004B1BCC">
      <w:pPr>
        <w:ind w:firstLine="720"/>
      </w:pPr>
      <w:r>
        <w:t>Chronological partitioning preserves the temporal properties required for valid time-series cross-validation, while isolating the scaling parameters guarantees that model evaluation metrics remain uninflated. Segregating these model-ready tensors allows for an empirical exploration of the data via explanatory data analysis.</w:t>
      </w:r>
    </w:p>
    <w:p w14:paraId="2CE529AF" w14:textId="13965164" w:rsidR="00040728" w:rsidRDefault="00040728">
      <w:pPr>
        <w:pStyle w:val="Heading2"/>
        <w:numPr>
          <w:ilvl w:val="1"/>
          <w:numId w:val="3"/>
        </w:numPr>
        <w:rPr>
          <w:b/>
          <w:bCs/>
          <w:sz w:val="24"/>
          <w:szCs w:val="24"/>
          <w:u w:val="single"/>
        </w:rPr>
      </w:pPr>
      <w:bookmarkStart w:id="30" w:name="_Toc230901627"/>
      <w:r w:rsidRPr="00C7720B">
        <w:rPr>
          <w:b/>
          <w:bCs/>
          <w:sz w:val="24"/>
          <w:szCs w:val="24"/>
          <w:u w:val="single"/>
        </w:rPr>
        <w:t>Explanatory Data Analysis</w:t>
      </w:r>
      <w:bookmarkEnd w:id="30"/>
    </w:p>
    <w:p w14:paraId="3AAA24B5" w14:textId="1207A031" w:rsidR="003021E3" w:rsidRDefault="003021E3">
      <w:pPr>
        <w:pStyle w:val="Heading2"/>
        <w:numPr>
          <w:ilvl w:val="2"/>
          <w:numId w:val="3"/>
        </w:numPr>
        <w:rPr>
          <w:b/>
          <w:bCs/>
          <w:sz w:val="24"/>
          <w:szCs w:val="24"/>
          <w:u w:val="single"/>
        </w:rPr>
      </w:pPr>
      <w:r>
        <w:rPr>
          <w:b/>
          <w:bCs/>
          <w:sz w:val="24"/>
          <w:szCs w:val="24"/>
          <w:u w:val="single"/>
        </w:rPr>
        <w:t>MCO Collapse and Unequal Recovery</w:t>
      </w:r>
    </w:p>
    <w:p w14:paraId="7727BD9E" w14:textId="2491E050" w:rsidR="00EB3D1F" w:rsidRDefault="00EB3D1F" w:rsidP="00333F0A">
      <w:pPr>
        <w:ind w:firstLine="720"/>
      </w:pPr>
      <w:r>
        <w:t>The COVID-19 MCO introduced a non-stationary structural break that significantly altered ridership volumes and post-crisis recovery trajectories across transit modes.</w:t>
      </w:r>
      <w:r w:rsidR="006A07C9">
        <w:t xml:space="preserve"> Operational metrics reveal an abrupt 85-90% drop in ridership during the lock-down period (affecting ~25% of the 2019 – 2025 series), with a change-point detection identifying four distinct phases as illustrated in Figure</w:t>
      </w:r>
      <w:r w:rsidR="006F5EFA">
        <w:t>s</w:t>
      </w:r>
      <w:r w:rsidR="006A07C9">
        <w:t xml:space="preserve"> 3</w:t>
      </w:r>
      <w:r w:rsidR="00C917D5">
        <w:t>, 4, and 5</w:t>
      </w:r>
      <w:r w:rsidR="006A07C9">
        <w:t>.</w:t>
      </w:r>
    </w:p>
    <w:p w14:paraId="3A21B64A" w14:textId="16A18768" w:rsidR="006A07C9" w:rsidRDefault="006A07C9" w:rsidP="00333F0A">
      <w:pPr>
        <w:ind w:firstLine="720"/>
      </w:pPr>
      <w:r>
        <w:t>Rail-heavy services experienced prolonged recovery delays due to rigid network topologies, whereas bus services adapted more quickly due to route-level flexibility. Retaining these rows with a dedicated binary flag ensures sequence continuity for sliding windows while explicitly exposing the structural break to the neural architecture. Beyond these mobility shocks, seasonal monsoon patterns create distinct spatial variations in the environmental features.</w:t>
      </w:r>
    </w:p>
    <w:p w14:paraId="2B14A82F" w14:textId="4AA257F3" w:rsidR="004B4D88" w:rsidRDefault="003B44FD" w:rsidP="00EB3D1F">
      <w:r>
        <w:rPr>
          <w:noProof/>
        </w:rPr>
        <w:lastRenderedPageBreak/>
        <w:drawing>
          <wp:inline distT="0" distB="0" distL="0" distR="0" wp14:anchorId="5FF9B9B3" wp14:editId="34901D22">
            <wp:extent cx="5719838" cy="2542995"/>
            <wp:effectExtent l="19050" t="19050" r="14605" b="10160"/>
            <wp:docPr id="99325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7210" t="5912" r="6647" b="4675"/>
                    <a:stretch>
                      <a:fillRect/>
                    </a:stretch>
                  </pic:blipFill>
                  <pic:spPr bwMode="auto">
                    <a:xfrm>
                      <a:off x="0" y="0"/>
                      <a:ext cx="5741747" cy="25527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D12211B" w14:textId="7AB4387F" w:rsidR="003B44FD" w:rsidRDefault="003B44FD" w:rsidP="003B44FD">
      <w:pPr>
        <w:pStyle w:val="Caption"/>
        <w:jc w:val="center"/>
        <w:rPr>
          <w:color w:val="000000" w:themeColor="text1"/>
          <w:sz w:val="24"/>
          <w:szCs w:val="24"/>
        </w:rPr>
      </w:pPr>
      <w:r w:rsidRPr="003B44FD">
        <w:rPr>
          <w:color w:val="000000" w:themeColor="text1"/>
          <w:sz w:val="24"/>
          <w:szCs w:val="24"/>
        </w:rPr>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3</w:t>
      </w:r>
      <w:r w:rsidRPr="003B44FD">
        <w:rPr>
          <w:color w:val="000000" w:themeColor="text1"/>
          <w:sz w:val="24"/>
          <w:szCs w:val="24"/>
        </w:rPr>
        <w:fldChar w:fldCharType="end"/>
      </w:r>
      <w:r>
        <w:rPr>
          <w:color w:val="000000" w:themeColor="text1"/>
          <w:sz w:val="24"/>
          <w:szCs w:val="24"/>
        </w:rPr>
        <w:t>: A line chart titled “Change-Point Detection in Ridership” showing total daily transit volume from 2019 to mid-2026, featuring six vertical red dashed lines that pinpoint specific structural shifts or transition points over time.</w:t>
      </w:r>
    </w:p>
    <w:p w14:paraId="7F66E46A" w14:textId="15B65A6E" w:rsidR="003B44FD" w:rsidRDefault="003B44FD" w:rsidP="003B44FD">
      <w:r>
        <w:rPr>
          <w:noProof/>
        </w:rPr>
        <w:drawing>
          <wp:inline distT="0" distB="0" distL="0" distR="0" wp14:anchorId="23317802" wp14:editId="7B1286C3">
            <wp:extent cx="5719445" cy="2148205"/>
            <wp:effectExtent l="19050" t="19050" r="14605" b="23495"/>
            <wp:docPr id="2502105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19445" cy="2148205"/>
                    </a:xfrm>
                    <a:prstGeom prst="rect">
                      <a:avLst/>
                    </a:prstGeom>
                    <a:noFill/>
                    <a:ln>
                      <a:solidFill>
                        <a:schemeClr val="tx1"/>
                      </a:solidFill>
                    </a:ln>
                  </pic:spPr>
                </pic:pic>
              </a:graphicData>
            </a:graphic>
          </wp:inline>
        </w:drawing>
      </w:r>
    </w:p>
    <w:p w14:paraId="1B64A1F7" w14:textId="32977287" w:rsidR="003B44FD" w:rsidRDefault="003B44FD" w:rsidP="003B44FD">
      <w:pPr>
        <w:pStyle w:val="Caption"/>
        <w:jc w:val="center"/>
        <w:rPr>
          <w:color w:val="000000" w:themeColor="text1"/>
          <w:sz w:val="24"/>
          <w:szCs w:val="24"/>
        </w:rPr>
      </w:pPr>
      <w:r w:rsidRPr="003B44FD">
        <w:rPr>
          <w:color w:val="000000" w:themeColor="text1"/>
          <w:sz w:val="24"/>
          <w:szCs w:val="24"/>
        </w:rPr>
        <w:t xml:space="preserve">Figure </w:t>
      </w:r>
      <w:r w:rsidRPr="003B44FD">
        <w:rPr>
          <w:color w:val="000000" w:themeColor="text1"/>
          <w:sz w:val="24"/>
          <w:szCs w:val="24"/>
        </w:rPr>
        <w:fldChar w:fldCharType="begin"/>
      </w:r>
      <w:r w:rsidRPr="003B44FD">
        <w:rPr>
          <w:color w:val="000000" w:themeColor="text1"/>
          <w:sz w:val="24"/>
          <w:szCs w:val="24"/>
        </w:rPr>
        <w:instrText xml:space="preserve"> SEQ Figure \* ARABIC </w:instrText>
      </w:r>
      <w:r w:rsidRPr="003B44FD">
        <w:rPr>
          <w:color w:val="000000" w:themeColor="text1"/>
          <w:sz w:val="24"/>
          <w:szCs w:val="24"/>
        </w:rPr>
        <w:fldChar w:fldCharType="separate"/>
      </w:r>
      <w:r w:rsidR="009C2312">
        <w:rPr>
          <w:noProof/>
          <w:color w:val="000000" w:themeColor="text1"/>
          <w:sz w:val="24"/>
          <w:szCs w:val="24"/>
        </w:rPr>
        <w:t>4</w:t>
      </w:r>
      <w:r w:rsidRPr="003B44FD">
        <w:rPr>
          <w:color w:val="000000" w:themeColor="text1"/>
          <w:sz w:val="24"/>
          <w:szCs w:val="24"/>
        </w:rPr>
        <w:fldChar w:fldCharType="end"/>
      </w:r>
      <w:r>
        <w:rPr>
          <w:color w:val="000000" w:themeColor="text1"/>
          <w:sz w:val="24"/>
          <w:szCs w:val="24"/>
        </w:rPr>
        <w:t>: A grouped bar chart titled “Average Ridership by Period across Services” comparing average daily usage numbers across various rail and bus lines segmented into three distinct phases: Pre-MCO (blue), MCO (orange), and Post-MCO (green).</w:t>
      </w:r>
    </w:p>
    <w:p w14:paraId="302FD5F9" w14:textId="083B4710" w:rsidR="00CF00E8" w:rsidRDefault="00CF00E8" w:rsidP="00CF00E8">
      <w:r>
        <w:rPr>
          <w:noProof/>
        </w:rPr>
        <w:lastRenderedPageBreak/>
        <w:drawing>
          <wp:inline distT="0" distB="0" distL="0" distR="0" wp14:anchorId="61FDFC33" wp14:editId="43CF1983">
            <wp:extent cx="5719445" cy="2863850"/>
            <wp:effectExtent l="19050" t="19050" r="14605" b="12700"/>
            <wp:docPr id="884245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9445" cy="2863850"/>
                    </a:xfrm>
                    <a:prstGeom prst="rect">
                      <a:avLst/>
                    </a:prstGeom>
                    <a:noFill/>
                    <a:ln>
                      <a:solidFill>
                        <a:schemeClr val="tx1"/>
                      </a:solidFill>
                    </a:ln>
                  </pic:spPr>
                </pic:pic>
              </a:graphicData>
            </a:graphic>
          </wp:inline>
        </w:drawing>
      </w:r>
    </w:p>
    <w:p w14:paraId="7E9D6030" w14:textId="2C96C94C" w:rsidR="004B4D88" w:rsidRPr="003246B0" w:rsidRDefault="00CF00E8" w:rsidP="003246B0">
      <w:pPr>
        <w:pStyle w:val="Caption"/>
        <w:jc w:val="center"/>
        <w:rPr>
          <w:color w:val="000000" w:themeColor="text1"/>
          <w:sz w:val="24"/>
          <w:szCs w:val="24"/>
        </w:rPr>
      </w:pPr>
      <w:r w:rsidRPr="00CF00E8">
        <w:rPr>
          <w:color w:val="000000" w:themeColor="text1"/>
          <w:sz w:val="24"/>
          <w:szCs w:val="24"/>
        </w:rPr>
        <w:t xml:space="preserve">Figure </w:t>
      </w:r>
      <w:r w:rsidRPr="00CF00E8">
        <w:rPr>
          <w:color w:val="000000" w:themeColor="text1"/>
          <w:sz w:val="24"/>
          <w:szCs w:val="24"/>
        </w:rPr>
        <w:fldChar w:fldCharType="begin"/>
      </w:r>
      <w:r w:rsidRPr="00CF00E8">
        <w:rPr>
          <w:color w:val="000000" w:themeColor="text1"/>
          <w:sz w:val="24"/>
          <w:szCs w:val="24"/>
        </w:rPr>
        <w:instrText xml:space="preserve"> SEQ Figure \* ARABIC </w:instrText>
      </w:r>
      <w:r w:rsidRPr="00CF00E8">
        <w:rPr>
          <w:color w:val="000000" w:themeColor="text1"/>
          <w:sz w:val="24"/>
          <w:szCs w:val="24"/>
        </w:rPr>
        <w:fldChar w:fldCharType="separate"/>
      </w:r>
      <w:r w:rsidR="009C2312">
        <w:rPr>
          <w:noProof/>
          <w:color w:val="000000" w:themeColor="text1"/>
          <w:sz w:val="24"/>
          <w:szCs w:val="24"/>
        </w:rPr>
        <w:t>5</w:t>
      </w:r>
      <w:r w:rsidRPr="00CF00E8">
        <w:rPr>
          <w:color w:val="000000" w:themeColor="text1"/>
          <w:sz w:val="24"/>
          <w:szCs w:val="24"/>
        </w:rPr>
        <w:fldChar w:fldCharType="end"/>
      </w:r>
      <w:r>
        <w:rPr>
          <w:color w:val="000000" w:themeColor="text1"/>
          <w:sz w:val="24"/>
          <w:szCs w:val="24"/>
        </w:rPr>
        <w:t>: A complex multi-line chart titled “Post-MCO Recovery Trajectories (% of Pre-MCO baseline)” displaying cyclical, oscillating recovery patterns and periodic fluctuations from 2022 onward relative to a 100% baseline.</w:t>
      </w:r>
    </w:p>
    <w:p w14:paraId="3B89DF51" w14:textId="40B486E7" w:rsidR="00F6788C" w:rsidRDefault="00F6788C">
      <w:pPr>
        <w:pStyle w:val="Heading2"/>
        <w:numPr>
          <w:ilvl w:val="2"/>
          <w:numId w:val="3"/>
        </w:numPr>
        <w:rPr>
          <w:b/>
          <w:bCs/>
          <w:sz w:val="24"/>
          <w:szCs w:val="24"/>
          <w:u w:val="single"/>
        </w:rPr>
      </w:pPr>
      <w:r>
        <w:rPr>
          <w:b/>
          <w:bCs/>
          <w:sz w:val="24"/>
          <w:szCs w:val="24"/>
          <w:u w:val="single"/>
        </w:rPr>
        <w:t>Northeast Monsoon Rainfall Pattern</w:t>
      </w:r>
    </w:p>
    <w:p w14:paraId="125830BB" w14:textId="66ECC6C2" w:rsidR="003246B0" w:rsidRDefault="004C447F" w:rsidP="00B75E59">
      <w:pPr>
        <w:ind w:firstLine="720"/>
      </w:pPr>
      <w:r>
        <w:t>The Northeast Monsoon introduces significant geographic and seasonal variations in daily precipitation across Malaysian administrative states. Sub-national data shows that extreme rainfall events (&gt;50 mm/day) and wet-day ratios peak between November and January, with east-coast states recording higher annual frequencies than west-coast territories (Figure</w:t>
      </w:r>
      <w:r w:rsidR="006F5EFA">
        <w:t>s</w:t>
      </w:r>
      <w:r>
        <w:t xml:space="preserve"> 6, 7, and 8). Ngo &amp; Bashar (2024) state that aggregating regional weather patterns into a single national average masks critical regional variations that drive mode-specific transit choices.</w:t>
      </w:r>
    </w:p>
    <w:p w14:paraId="4E1F3801" w14:textId="131B338D" w:rsidR="004C447F" w:rsidRDefault="006D4791" w:rsidP="00B75E59">
      <w:pPr>
        <w:ind w:firstLine="720"/>
      </w:pPr>
      <w:r>
        <w:t>15 state-level rainfall variables are kept individually to preserve the spatial differences needed to model localized weather impacts, while a 7-day interpolation limit prevents over-smoothing during typical monsoon cycles. These localized rainfall patterns directly influence short-term commuter behaviour and transport modal shifts.</w:t>
      </w:r>
    </w:p>
    <w:p w14:paraId="543C633E" w14:textId="734DF6D3" w:rsidR="00A6272F" w:rsidRDefault="00A6272F" w:rsidP="00A6272F">
      <w:r>
        <w:rPr>
          <w:noProof/>
        </w:rPr>
        <w:drawing>
          <wp:inline distT="0" distB="0" distL="0" distR="0" wp14:anchorId="788B7B88" wp14:editId="2DC398F1">
            <wp:extent cx="5719445" cy="1785620"/>
            <wp:effectExtent l="19050" t="19050" r="14605" b="24130"/>
            <wp:docPr id="324668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9445" cy="1785620"/>
                    </a:xfrm>
                    <a:prstGeom prst="rect">
                      <a:avLst/>
                    </a:prstGeom>
                    <a:noFill/>
                    <a:ln>
                      <a:solidFill>
                        <a:schemeClr val="tx1"/>
                      </a:solidFill>
                    </a:ln>
                  </pic:spPr>
                </pic:pic>
              </a:graphicData>
            </a:graphic>
          </wp:inline>
        </w:drawing>
      </w:r>
    </w:p>
    <w:p w14:paraId="6C4D13C6" w14:textId="0B76403D" w:rsidR="00A6272F" w:rsidRDefault="00A6272F" w:rsidP="00FD1714">
      <w:pPr>
        <w:pStyle w:val="Caption"/>
        <w:jc w:val="center"/>
        <w:rPr>
          <w:color w:val="000000" w:themeColor="text1"/>
          <w:sz w:val="24"/>
          <w:szCs w:val="24"/>
        </w:rPr>
      </w:pPr>
      <w:r w:rsidRPr="00FD1714">
        <w:rPr>
          <w:color w:val="000000" w:themeColor="text1"/>
          <w:sz w:val="24"/>
          <w:szCs w:val="24"/>
        </w:rPr>
        <w:lastRenderedPageBreak/>
        <w:t xml:space="preserve">Figure </w:t>
      </w:r>
      <w:r w:rsidRPr="00FD1714">
        <w:rPr>
          <w:color w:val="000000" w:themeColor="text1"/>
          <w:sz w:val="24"/>
          <w:szCs w:val="24"/>
        </w:rPr>
        <w:fldChar w:fldCharType="begin"/>
      </w:r>
      <w:r w:rsidRPr="00FD1714">
        <w:rPr>
          <w:color w:val="000000" w:themeColor="text1"/>
          <w:sz w:val="24"/>
          <w:szCs w:val="24"/>
        </w:rPr>
        <w:instrText xml:space="preserve"> SEQ Figure \* ARABIC </w:instrText>
      </w:r>
      <w:r w:rsidRPr="00FD1714">
        <w:rPr>
          <w:color w:val="000000" w:themeColor="text1"/>
          <w:sz w:val="24"/>
          <w:szCs w:val="24"/>
        </w:rPr>
        <w:fldChar w:fldCharType="separate"/>
      </w:r>
      <w:r w:rsidR="009C2312">
        <w:rPr>
          <w:noProof/>
          <w:color w:val="000000" w:themeColor="text1"/>
          <w:sz w:val="24"/>
          <w:szCs w:val="24"/>
        </w:rPr>
        <w:t>6</w:t>
      </w:r>
      <w:r w:rsidRPr="00FD1714">
        <w:rPr>
          <w:color w:val="000000" w:themeColor="text1"/>
          <w:sz w:val="24"/>
          <w:szCs w:val="24"/>
        </w:rPr>
        <w:fldChar w:fldCharType="end"/>
      </w:r>
      <w:r w:rsidR="00FD1714">
        <w:rPr>
          <w:color w:val="000000" w:themeColor="text1"/>
          <w:sz w:val="24"/>
          <w:szCs w:val="24"/>
        </w:rPr>
        <w:t>: A set of three horizontal bar charts comparing the total counts of wet days (&gt;= 10mm), very wet days (&gt;= 30mm), and extreme days (&gt;= 50mm) across various states, with Terengganu consistently showing the highest counts.</w:t>
      </w:r>
    </w:p>
    <w:p w14:paraId="7904A46C" w14:textId="2253D1DA" w:rsidR="00C90389" w:rsidRDefault="00C90389" w:rsidP="00C90389">
      <w:r>
        <w:t xml:space="preserve"> </w:t>
      </w:r>
      <w:r>
        <w:rPr>
          <w:noProof/>
        </w:rPr>
        <w:drawing>
          <wp:inline distT="0" distB="0" distL="0" distR="0" wp14:anchorId="5D787150" wp14:editId="1F4E7C06">
            <wp:extent cx="5719445" cy="4088765"/>
            <wp:effectExtent l="19050" t="19050" r="14605" b="26035"/>
            <wp:docPr id="12737877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1B8454" w14:textId="44191AC3" w:rsid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7</w:t>
      </w:r>
      <w:r w:rsidRPr="00C90389">
        <w:rPr>
          <w:color w:val="000000" w:themeColor="text1"/>
          <w:sz w:val="24"/>
          <w:szCs w:val="24"/>
        </w:rPr>
        <w:fldChar w:fldCharType="end"/>
      </w:r>
      <w:r>
        <w:rPr>
          <w:color w:val="000000" w:themeColor="text1"/>
          <w:sz w:val="24"/>
          <w:szCs w:val="24"/>
        </w:rPr>
        <w:t>: A four-panel dashboard visualizing the trend and breakdown of extreme rainfall events over time, including month/annual frequency percentages, annual wet day counts by category, and extreme event frequency aggregated by month.</w:t>
      </w:r>
    </w:p>
    <w:p w14:paraId="35959671" w14:textId="64FC894B" w:rsidR="00C90389" w:rsidRDefault="00C90389" w:rsidP="00C90389">
      <w:r>
        <w:rPr>
          <w:noProof/>
        </w:rPr>
        <w:lastRenderedPageBreak/>
        <w:drawing>
          <wp:inline distT="0" distB="0" distL="0" distR="0" wp14:anchorId="2B601FF2" wp14:editId="47BFACA1">
            <wp:extent cx="5727700" cy="4071620"/>
            <wp:effectExtent l="19050" t="19050" r="25400" b="24130"/>
            <wp:docPr id="1840938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7C6E1061" w14:textId="1BC6118B" w:rsidR="00C90389" w:rsidRPr="00C90389" w:rsidRDefault="00C90389" w:rsidP="00C90389">
      <w:pPr>
        <w:pStyle w:val="Caption"/>
        <w:jc w:val="center"/>
        <w:rPr>
          <w:color w:val="000000" w:themeColor="text1"/>
          <w:sz w:val="24"/>
          <w:szCs w:val="24"/>
        </w:rPr>
      </w:pPr>
      <w:r w:rsidRPr="00C90389">
        <w:rPr>
          <w:color w:val="000000" w:themeColor="text1"/>
          <w:sz w:val="24"/>
          <w:szCs w:val="24"/>
        </w:rPr>
        <w:t xml:space="preserve">Figure </w:t>
      </w:r>
      <w:r w:rsidRPr="00C90389">
        <w:rPr>
          <w:color w:val="000000" w:themeColor="text1"/>
          <w:sz w:val="24"/>
          <w:szCs w:val="24"/>
        </w:rPr>
        <w:fldChar w:fldCharType="begin"/>
      </w:r>
      <w:r w:rsidRPr="00C90389">
        <w:rPr>
          <w:color w:val="000000" w:themeColor="text1"/>
          <w:sz w:val="24"/>
          <w:szCs w:val="24"/>
        </w:rPr>
        <w:instrText xml:space="preserve"> SEQ Figure \* ARABIC </w:instrText>
      </w:r>
      <w:r w:rsidRPr="00C90389">
        <w:rPr>
          <w:color w:val="000000" w:themeColor="text1"/>
          <w:sz w:val="24"/>
          <w:szCs w:val="24"/>
        </w:rPr>
        <w:fldChar w:fldCharType="separate"/>
      </w:r>
      <w:r w:rsidR="009C2312">
        <w:rPr>
          <w:noProof/>
          <w:color w:val="000000" w:themeColor="text1"/>
          <w:sz w:val="24"/>
          <w:szCs w:val="24"/>
        </w:rPr>
        <w:t>8</w:t>
      </w:r>
      <w:r w:rsidRPr="00C90389">
        <w:rPr>
          <w:color w:val="000000" w:themeColor="text1"/>
          <w:sz w:val="24"/>
          <w:szCs w:val="24"/>
        </w:rPr>
        <w:fldChar w:fldCharType="end"/>
      </w:r>
      <w:r>
        <w:rPr>
          <w:color w:val="000000" w:themeColor="text1"/>
          <w:sz w:val="24"/>
          <w:szCs w:val="24"/>
        </w:rPr>
        <w:t>: A comprehensive four-panel dashboard outlining general rainfall trends, including average daily rainfall by month, monthly rainfall anomalies, a 7-day rolling average timeline, and total annual rainfall from 2019 to 2026.</w:t>
      </w:r>
    </w:p>
    <w:p w14:paraId="0B69FF68" w14:textId="77777777" w:rsidR="00E37C72" w:rsidRDefault="00E37C72">
      <w:pPr>
        <w:pStyle w:val="Heading2"/>
        <w:numPr>
          <w:ilvl w:val="2"/>
          <w:numId w:val="3"/>
        </w:numPr>
        <w:rPr>
          <w:b/>
          <w:bCs/>
          <w:sz w:val="24"/>
          <w:szCs w:val="24"/>
          <w:u w:val="single"/>
        </w:rPr>
      </w:pPr>
      <w:r>
        <w:rPr>
          <w:b/>
          <w:bCs/>
          <w:sz w:val="24"/>
          <w:szCs w:val="24"/>
          <w:u w:val="single"/>
        </w:rPr>
        <w:t>Weather-Induced Ridership Surge under Heavy Rainfall</w:t>
      </w:r>
    </w:p>
    <w:p w14:paraId="3E645B2A" w14:textId="4E567C56" w:rsidR="00B85A8E" w:rsidRDefault="00B83CE7" w:rsidP="001E32AC">
      <w:pPr>
        <w:ind w:firstLine="720"/>
      </w:pPr>
      <w:r>
        <w:t xml:space="preserve">Severe precipitation events trigger non-monotone </w:t>
      </w:r>
      <w:r w:rsidR="001E32AC">
        <w:t>behavioural</w:t>
      </w:r>
      <w:r>
        <w:t xml:space="preserve"> adaptations, driving a weather-induced ridership surge via modal substitution.</w:t>
      </w:r>
      <w:r w:rsidR="001E32AC">
        <w:t xml:space="preserve"> Correlation matrices and intensity-bin analyses (Figure</w:t>
      </w:r>
      <w:r w:rsidR="006F5EFA">
        <w:t>s</w:t>
      </w:r>
      <w:r w:rsidR="001E32AC">
        <w:t xml:space="preserve"> 9, 10, 11, and 12) demonstrate that while light rain slightly suppresses travel, heavy rain exceeding the 75</w:t>
      </w:r>
      <w:r w:rsidR="001E32AC" w:rsidRPr="001E32AC">
        <w:rPr>
          <w:vertAlign w:val="superscript"/>
        </w:rPr>
        <w:t>th</w:t>
      </w:r>
      <w:r w:rsidR="001E32AC">
        <w:t xml:space="preserve"> percentile is associated with a measurable increase in public transit ridership. This finding counters the general assertion by Huang et al. (2022) that rain reduces travel, aligning instead with modern non-monotone response theories (Jiang &amp; Cai, 2023; Rahmani et al., 2025).</w:t>
      </w:r>
    </w:p>
    <w:p w14:paraId="54C61F07" w14:textId="7AC09E2E" w:rsidR="001E32AC" w:rsidRDefault="001E32AC" w:rsidP="001E32AC">
      <w:pPr>
        <w:ind w:firstLine="720"/>
        <w:rPr>
          <w:noProof/>
          <w:lang w:val="en-US"/>
        </w:rPr>
      </w:pPr>
      <w:r>
        <w:t>Commuters who typically drive private vehicles shift to public transit during heavy downpours to avoid severe road congestion and hazardous driving conditions, which causes an influx of passengers during storm peaks. This behavioural substitution effect is also evident when analysing transit demand responses to fuel price adjustments.</w:t>
      </w:r>
    </w:p>
    <w:p w14:paraId="4767340E" w14:textId="2455B0A4" w:rsidR="00AA7F5E" w:rsidRDefault="00AA7F5E" w:rsidP="00B85A8E">
      <w:pPr>
        <w:rPr>
          <w:noProof/>
        </w:rPr>
      </w:pPr>
      <w:r>
        <w:rPr>
          <w:noProof/>
        </w:rPr>
        <w:lastRenderedPageBreak/>
        <w:drawing>
          <wp:inline distT="0" distB="0" distL="0" distR="0" wp14:anchorId="51E5663E" wp14:editId="2D718238">
            <wp:extent cx="5727700" cy="3554095"/>
            <wp:effectExtent l="19050" t="19050" r="25400" b="27305"/>
            <wp:docPr id="72573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7700" cy="3554095"/>
                    </a:xfrm>
                    <a:prstGeom prst="rect">
                      <a:avLst/>
                    </a:prstGeom>
                    <a:noFill/>
                    <a:ln>
                      <a:solidFill>
                        <a:schemeClr val="tx1"/>
                      </a:solidFill>
                    </a:ln>
                  </pic:spPr>
                </pic:pic>
              </a:graphicData>
            </a:graphic>
          </wp:inline>
        </w:drawing>
      </w:r>
    </w:p>
    <w:p w14:paraId="056C85F5" w14:textId="6FC64D5D" w:rsidR="00AA7F5E" w:rsidRDefault="00AA7F5E" w:rsidP="00AA7F5E">
      <w:pPr>
        <w:pStyle w:val="Caption"/>
        <w:jc w:val="center"/>
        <w:rPr>
          <w:color w:val="000000" w:themeColor="text1"/>
          <w:sz w:val="24"/>
          <w:szCs w:val="24"/>
        </w:rPr>
      </w:pPr>
      <w:r w:rsidRPr="00AA7F5E">
        <w:rPr>
          <w:color w:val="000000" w:themeColor="text1"/>
          <w:sz w:val="24"/>
          <w:szCs w:val="24"/>
        </w:rPr>
        <w:t xml:space="preserve">Figure </w:t>
      </w:r>
      <w:r w:rsidRPr="00AA7F5E">
        <w:rPr>
          <w:color w:val="000000" w:themeColor="text1"/>
          <w:sz w:val="24"/>
          <w:szCs w:val="24"/>
        </w:rPr>
        <w:fldChar w:fldCharType="begin"/>
      </w:r>
      <w:r w:rsidRPr="00AA7F5E">
        <w:rPr>
          <w:color w:val="000000" w:themeColor="text1"/>
          <w:sz w:val="24"/>
          <w:szCs w:val="24"/>
        </w:rPr>
        <w:instrText xml:space="preserve"> SEQ Figure \* ARABIC </w:instrText>
      </w:r>
      <w:r w:rsidRPr="00AA7F5E">
        <w:rPr>
          <w:color w:val="000000" w:themeColor="text1"/>
          <w:sz w:val="24"/>
          <w:szCs w:val="24"/>
        </w:rPr>
        <w:fldChar w:fldCharType="separate"/>
      </w:r>
      <w:r w:rsidR="009C2312">
        <w:rPr>
          <w:noProof/>
          <w:color w:val="000000" w:themeColor="text1"/>
          <w:sz w:val="24"/>
          <w:szCs w:val="24"/>
        </w:rPr>
        <w:t>9</w:t>
      </w:r>
      <w:r w:rsidRPr="00AA7F5E">
        <w:rPr>
          <w:color w:val="000000" w:themeColor="text1"/>
          <w:sz w:val="24"/>
          <w:szCs w:val="24"/>
        </w:rPr>
        <w:fldChar w:fldCharType="end"/>
      </w:r>
      <w:r>
        <w:rPr>
          <w:color w:val="000000" w:themeColor="text1"/>
          <w:sz w:val="24"/>
          <w:szCs w:val="24"/>
        </w:rPr>
        <w:t>: An advanced behavioural analysis focusing on weather-driven modal shifts, contrasting heavy rain days against normal conditions through a correlation matrix, monthly trend comparisons, and a daily percentage change surge analysis.</w:t>
      </w:r>
    </w:p>
    <w:p w14:paraId="37FDD42F" w14:textId="2276EEFC" w:rsidR="008B21D2" w:rsidRDefault="008B21D2" w:rsidP="008B21D2">
      <w:r>
        <w:rPr>
          <w:noProof/>
        </w:rPr>
        <w:drawing>
          <wp:inline distT="0" distB="0" distL="0" distR="0" wp14:anchorId="23B5A908" wp14:editId="5E410C6D">
            <wp:extent cx="5719445" cy="4088765"/>
            <wp:effectExtent l="19050" t="19050" r="14605" b="26035"/>
            <wp:docPr id="778673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193426C9" w14:textId="230A34EF" w:rsidR="008B21D2" w:rsidRDefault="008B21D2" w:rsidP="008B21D2">
      <w:pPr>
        <w:pStyle w:val="Caption"/>
        <w:jc w:val="center"/>
        <w:rPr>
          <w:color w:val="000000" w:themeColor="text1"/>
          <w:sz w:val="24"/>
          <w:szCs w:val="24"/>
        </w:rPr>
      </w:pPr>
      <w:r w:rsidRPr="008B21D2">
        <w:rPr>
          <w:color w:val="000000" w:themeColor="text1"/>
          <w:sz w:val="24"/>
          <w:szCs w:val="24"/>
        </w:rPr>
        <w:lastRenderedPageBreak/>
        <w:t xml:space="preserve">Figure </w:t>
      </w:r>
      <w:r w:rsidRPr="008B21D2">
        <w:rPr>
          <w:color w:val="000000" w:themeColor="text1"/>
          <w:sz w:val="24"/>
          <w:szCs w:val="24"/>
        </w:rPr>
        <w:fldChar w:fldCharType="begin"/>
      </w:r>
      <w:r w:rsidRPr="008B21D2">
        <w:rPr>
          <w:color w:val="000000" w:themeColor="text1"/>
          <w:sz w:val="24"/>
          <w:szCs w:val="24"/>
        </w:rPr>
        <w:instrText xml:space="preserve"> SEQ Figure \* ARABIC </w:instrText>
      </w:r>
      <w:r w:rsidRPr="008B21D2">
        <w:rPr>
          <w:color w:val="000000" w:themeColor="text1"/>
          <w:sz w:val="24"/>
          <w:szCs w:val="24"/>
        </w:rPr>
        <w:fldChar w:fldCharType="separate"/>
      </w:r>
      <w:r w:rsidR="009C2312">
        <w:rPr>
          <w:noProof/>
          <w:color w:val="000000" w:themeColor="text1"/>
          <w:sz w:val="24"/>
          <w:szCs w:val="24"/>
        </w:rPr>
        <w:t>10</w:t>
      </w:r>
      <w:r w:rsidRPr="008B21D2">
        <w:rPr>
          <w:color w:val="000000" w:themeColor="text1"/>
          <w:sz w:val="24"/>
          <w:szCs w:val="24"/>
        </w:rPr>
        <w:fldChar w:fldCharType="end"/>
      </w:r>
      <w:r>
        <w:rPr>
          <w:color w:val="000000" w:themeColor="text1"/>
          <w:sz w:val="24"/>
          <w:szCs w:val="24"/>
        </w:rPr>
        <w:t>: A four-panel visualization detailing transit ridership distributions, mean totals, and percentage deviations across specific rainfall intensity categories (Moderate, Heavy, Very Heavy, and Extreme).</w:t>
      </w:r>
    </w:p>
    <w:p w14:paraId="42AC1226" w14:textId="3598104A" w:rsidR="008B21D2" w:rsidRDefault="003C4422" w:rsidP="008B21D2">
      <w:r>
        <w:rPr>
          <w:noProof/>
        </w:rPr>
        <w:drawing>
          <wp:inline distT="0" distB="0" distL="0" distR="0" wp14:anchorId="7D1F102C" wp14:editId="707A27E7">
            <wp:extent cx="5719445" cy="2044700"/>
            <wp:effectExtent l="19050" t="19050" r="14605" b="12700"/>
            <wp:docPr id="564386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1A7D7FE6" w14:textId="1FBBE43E" w:rsidR="003C4422" w:rsidRDefault="003C4422" w:rsidP="003C4422">
      <w:pPr>
        <w:pStyle w:val="Caption"/>
        <w:jc w:val="center"/>
        <w:rPr>
          <w:color w:val="000000" w:themeColor="text1"/>
          <w:sz w:val="24"/>
          <w:szCs w:val="24"/>
        </w:rPr>
      </w:pPr>
      <w:r w:rsidRPr="003C4422">
        <w:rPr>
          <w:color w:val="000000" w:themeColor="text1"/>
          <w:sz w:val="24"/>
          <w:szCs w:val="24"/>
        </w:rPr>
        <w:t xml:space="preserve">Figure </w:t>
      </w:r>
      <w:r w:rsidRPr="003C4422">
        <w:rPr>
          <w:color w:val="000000" w:themeColor="text1"/>
          <w:sz w:val="24"/>
          <w:szCs w:val="24"/>
        </w:rPr>
        <w:fldChar w:fldCharType="begin"/>
      </w:r>
      <w:r w:rsidRPr="003C4422">
        <w:rPr>
          <w:color w:val="000000" w:themeColor="text1"/>
          <w:sz w:val="24"/>
          <w:szCs w:val="24"/>
        </w:rPr>
        <w:instrText xml:space="preserve"> SEQ Figure \* ARABIC </w:instrText>
      </w:r>
      <w:r w:rsidRPr="003C4422">
        <w:rPr>
          <w:color w:val="000000" w:themeColor="text1"/>
          <w:sz w:val="24"/>
          <w:szCs w:val="24"/>
        </w:rPr>
        <w:fldChar w:fldCharType="separate"/>
      </w:r>
      <w:r w:rsidR="009C2312">
        <w:rPr>
          <w:noProof/>
          <w:color w:val="000000" w:themeColor="text1"/>
          <w:sz w:val="24"/>
          <w:szCs w:val="24"/>
        </w:rPr>
        <w:t>11</w:t>
      </w:r>
      <w:r w:rsidRPr="003C4422">
        <w:rPr>
          <w:color w:val="000000" w:themeColor="text1"/>
          <w:sz w:val="24"/>
          <w:szCs w:val="24"/>
        </w:rPr>
        <w:fldChar w:fldCharType="end"/>
      </w:r>
      <w:r>
        <w:rPr>
          <w:color w:val="000000" w:themeColor="text1"/>
          <w:sz w:val="24"/>
          <w:szCs w:val="24"/>
        </w:rPr>
        <w:t>: A dual-plot analysis tracking monthly averages for daily rainfall against total ridership alongside a monthly breakdown of correlation coefficients, r, with corresponding statistical significance (p-values).</w:t>
      </w:r>
    </w:p>
    <w:p w14:paraId="254AC7EB" w14:textId="4C36C5EC" w:rsidR="00002C18" w:rsidRDefault="00002C18" w:rsidP="00002C18">
      <w:r>
        <w:rPr>
          <w:noProof/>
        </w:rPr>
        <w:drawing>
          <wp:inline distT="0" distB="0" distL="0" distR="0" wp14:anchorId="1C52F42D" wp14:editId="0BAD81C9">
            <wp:extent cx="5727700" cy="4899660"/>
            <wp:effectExtent l="19050" t="19050" r="25400" b="15240"/>
            <wp:docPr id="296697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1326D5F5" w14:textId="3FDBD327" w:rsidR="00002C18" w:rsidRPr="00002C18" w:rsidRDefault="00002C18" w:rsidP="00002C18">
      <w:pPr>
        <w:pStyle w:val="Caption"/>
        <w:jc w:val="center"/>
        <w:rPr>
          <w:color w:val="000000" w:themeColor="text1"/>
          <w:sz w:val="24"/>
          <w:szCs w:val="24"/>
        </w:rPr>
      </w:pPr>
      <w:r w:rsidRPr="00002C18">
        <w:rPr>
          <w:color w:val="000000" w:themeColor="text1"/>
          <w:sz w:val="24"/>
          <w:szCs w:val="24"/>
        </w:rPr>
        <w:lastRenderedPageBreak/>
        <w:t xml:space="preserve">Figure </w:t>
      </w:r>
      <w:r w:rsidRPr="00002C18">
        <w:rPr>
          <w:color w:val="000000" w:themeColor="text1"/>
          <w:sz w:val="24"/>
          <w:szCs w:val="24"/>
        </w:rPr>
        <w:fldChar w:fldCharType="begin"/>
      </w:r>
      <w:r w:rsidRPr="00002C18">
        <w:rPr>
          <w:color w:val="000000" w:themeColor="text1"/>
          <w:sz w:val="24"/>
          <w:szCs w:val="24"/>
        </w:rPr>
        <w:instrText xml:space="preserve"> SEQ Figure \* ARABIC </w:instrText>
      </w:r>
      <w:r w:rsidRPr="00002C18">
        <w:rPr>
          <w:color w:val="000000" w:themeColor="text1"/>
          <w:sz w:val="24"/>
          <w:szCs w:val="24"/>
        </w:rPr>
        <w:fldChar w:fldCharType="separate"/>
      </w:r>
      <w:r w:rsidR="009C2312">
        <w:rPr>
          <w:noProof/>
          <w:color w:val="000000" w:themeColor="text1"/>
          <w:sz w:val="24"/>
          <w:szCs w:val="24"/>
        </w:rPr>
        <w:t>12</w:t>
      </w:r>
      <w:r w:rsidRPr="00002C18">
        <w:rPr>
          <w:color w:val="000000" w:themeColor="text1"/>
          <w:sz w:val="24"/>
          <w:szCs w:val="24"/>
        </w:rPr>
        <w:fldChar w:fldCharType="end"/>
      </w:r>
      <w:r>
        <w:rPr>
          <w:color w:val="000000" w:themeColor="text1"/>
          <w:sz w:val="24"/>
          <w:szCs w:val="24"/>
        </w:rPr>
        <w:t xml:space="preserve">: A multi-chart dashboard analysing the direct impact of wet weather, featuring a rainfall-vs-ridership scatter plot (r = 0.1444), average daily ridership comparison bars, a total rainy </w:t>
      </w:r>
      <w:r w:rsidR="00AD4B39">
        <w:rPr>
          <w:color w:val="000000" w:themeColor="text1"/>
          <w:sz w:val="24"/>
          <w:szCs w:val="24"/>
        </w:rPr>
        <w:t>day</w:t>
      </w:r>
      <w:r>
        <w:rPr>
          <w:color w:val="000000" w:themeColor="text1"/>
          <w:sz w:val="24"/>
          <w:szCs w:val="24"/>
        </w:rPr>
        <w:t xml:space="preserve"> sample count (n =197), and a historical rainfall time series spanning 2019 to 2026.</w:t>
      </w:r>
    </w:p>
    <w:p w14:paraId="59CE13A6" w14:textId="0134B794" w:rsidR="00F6788C" w:rsidRDefault="00F6788C">
      <w:pPr>
        <w:pStyle w:val="Heading2"/>
        <w:numPr>
          <w:ilvl w:val="2"/>
          <w:numId w:val="3"/>
        </w:numPr>
        <w:rPr>
          <w:b/>
          <w:bCs/>
          <w:sz w:val="24"/>
          <w:szCs w:val="24"/>
          <w:u w:val="single"/>
        </w:rPr>
      </w:pPr>
      <w:r>
        <w:rPr>
          <w:b/>
          <w:bCs/>
          <w:sz w:val="24"/>
          <w:szCs w:val="24"/>
          <w:u w:val="single"/>
        </w:rPr>
        <w:t>Fuel Price Elasticity and Modal Substitution</w:t>
      </w:r>
    </w:p>
    <w:p w14:paraId="2AFA24A1" w14:textId="58BBDBEA" w:rsidR="00663C8C" w:rsidRDefault="00730C7F" w:rsidP="00730C7F">
      <w:pPr>
        <w:ind w:firstLine="720"/>
      </w:pPr>
      <w:r>
        <w:t xml:space="preserve">Retail fuel price movements exhibit a positive relationship with long-term public transit demand through market-driven modal substitution. Post-MCO analysis reveals a Pearson correlation of ~+0.35 between weekly RON95 prices and total ridership, with non-linear increase occurring above RM2.20/litre and peak lagged responses appearing within 1-3 days (Figures 13, 14, and 15). </w:t>
      </w:r>
      <w:proofErr w:type="spellStart"/>
      <w:r>
        <w:t>Chevance</w:t>
      </w:r>
      <w:proofErr w:type="spellEnd"/>
      <w:r>
        <w:t xml:space="preserve"> et al. (2024) and Pour et al. (2026) show that separating level series from price adjustments prevents models from confusing multi-year trends with sudden policy shocks.</w:t>
      </w:r>
    </w:p>
    <w:p w14:paraId="5D959C6E" w14:textId="5C0DCF8B" w:rsidR="00730C7F" w:rsidRDefault="00730C7F" w:rsidP="00730C7F">
      <w:pPr>
        <w:ind w:firstLine="720"/>
      </w:pPr>
      <w:r>
        <w:t>Level features capture long-run demand equilibrium, whereas percent-change variables capture short-run behavioural adjustments to subsidy adjustments, with rail services showing greater sensitivity to long-term price levels. Just as fuel price updates prompt systematic demand adjustments, calendar-based holiday transitions trigger predictable short-term surges and dips.</w:t>
      </w:r>
    </w:p>
    <w:p w14:paraId="4F2281CF" w14:textId="4C4C9580" w:rsidR="00663C8C" w:rsidRDefault="00663C8C" w:rsidP="003D1A1A">
      <w:r>
        <w:rPr>
          <w:noProof/>
        </w:rPr>
        <w:drawing>
          <wp:inline distT="0" distB="0" distL="0" distR="0" wp14:anchorId="4B3A8CED" wp14:editId="6CBD1B0C">
            <wp:extent cx="5727700" cy="4088765"/>
            <wp:effectExtent l="19050" t="19050" r="25400" b="26035"/>
            <wp:docPr id="14188366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7700" cy="4088765"/>
                    </a:xfrm>
                    <a:prstGeom prst="rect">
                      <a:avLst/>
                    </a:prstGeom>
                    <a:noFill/>
                    <a:ln>
                      <a:solidFill>
                        <a:schemeClr val="tx1"/>
                      </a:solidFill>
                    </a:ln>
                  </pic:spPr>
                </pic:pic>
              </a:graphicData>
            </a:graphic>
          </wp:inline>
        </w:drawing>
      </w:r>
    </w:p>
    <w:p w14:paraId="36F1AD32" w14:textId="0F4A0A74" w:rsidR="00663C8C" w:rsidRDefault="00663C8C" w:rsidP="00663C8C">
      <w:pPr>
        <w:pStyle w:val="Caption"/>
        <w:jc w:val="center"/>
        <w:rPr>
          <w:color w:val="000000" w:themeColor="text1"/>
          <w:sz w:val="24"/>
          <w:szCs w:val="24"/>
        </w:rPr>
      </w:pPr>
      <w:r w:rsidRPr="00663C8C">
        <w:rPr>
          <w:color w:val="000000" w:themeColor="text1"/>
          <w:sz w:val="24"/>
          <w:szCs w:val="24"/>
        </w:rPr>
        <w:lastRenderedPageBreak/>
        <w:t xml:space="preserve">Figure </w:t>
      </w:r>
      <w:r w:rsidRPr="00663C8C">
        <w:rPr>
          <w:color w:val="000000" w:themeColor="text1"/>
          <w:sz w:val="24"/>
          <w:szCs w:val="24"/>
        </w:rPr>
        <w:fldChar w:fldCharType="begin"/>
      </w:r>
      <w:r w:rsidRPr="00663C8C">
        <w:rPr>
          <w:color w:val="000000" w:themeColor="text1"/>
          <w:sz w:val="24"/>
          <w:szCs w:val="24"/>
        </w:rPr>
        <w:instrText xml:space="preserve"> SEQ Figure \* ARABIC </w:instrText>
      </w:r>
      <w:r w:rsidRPr="00663C8C">
        <w:rPr>
          <w:color w:val="000000" w:themeColor="text1"/>
          <w:sz w:val="24"/>
          <w:szCs w:val="24"/>
        </w:rPr>
        <w:fldChar w:fldCharType="separate"/>
      </w:r>
      <w:r w:rsidR="009C2312">
        <w:rPr>
          <w:noProof/>
          <w:color w:val="000000" w:themeColor="text1"/>
          <w:sz w:val="24"/>
          <w:szCs w:val="24"/>
        </w:rPr>
        <w:t>13</w:t>
      </w:r>
      <w:r w:rsidRPr="00663C8C">
        <w:rPr>
          <w:color w:val="000000" w:themeColor="text1"/>
          <w:sz w:val="24"/>
          <w:szCs w:val="24"/>
        </w:rPr>
        <w:fldChar w:fldCharType="end"/>
      </w:r>
      <w:r>
        <w:rPr>
          <w:color w:val="000000" w:themeColor="text1"/>
          <w:sz w:val="24"/>
          <w:szCs w:val="24"/>
        </w:rPr>
        <w:t>: A two-part visualization displaying historical trends from late 2018 through mid-2026, featuring a top line graph of fuel price levels (RON95, RON97, Diesel) in MYR/Litre and a bottom bar chart showing weekly price changes for RON95 and Diesel.</w:t>
      </w:r>
    </w:p>
    <w:p w14:paraId="5FFB82A1" w14:textId="199C785E" w:rsidR="00535482" w:rsidRDefault="00535482" w:rsidP="00535482">
      <w:r>
        <w:rPr>
          <w:noProof/>
        </w:rPr>
        <w:drawing>
          <wp:inline distT="0" distB="0" distL="0" distR="0" wp14:anchorId="2990D61B" wp14:editId="54EA85F3">
            <wp:extent cx="5727700" cy="4899660"/>
            <wp:effectExtent l="19050" t="19050" r="25400" b="15240"/>
            <wp:docPr id="18419611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7700" cy="4899660"/>
                    </a:xfrm>
                    <a:prstGeom prst="rect">
                      <a:avLst/>
                    </a:prstGeom>
                    <a:noFill/>
                    <a:ln>
                      <a:solidFill>
                        <a:schemeClr val="tx1"/>
                      </a:solidFill>
                    </a:ln>
                  </pic:spPr>
                </pic:pic>
              </a:graphicData>
            </a:graphic>
          </wp:inline>
        </w:drawing>
      </w:r>
    </w:p>
    <w:p w14:paraId="4C98FB35" w14:textId="0F5C904F" w:rsidR="00535482" w:rsidRDefault="00535482" w:rsidP="00535482">
      <w:pPr>
        <w:pStyle w:val="Caption"/>
        <w:jc w:val="center"/>
        <w:rPr>
          <w:color w:val="000000" w:themeColor="text1"/>
          <w:sz w:val="24"/>
          <w:szCs w:val="24"/>
        </w:rPr>
      </w:pPr>
      <w:r w:rsidRPr="00535482">
        <w:rPr>
          <w:color w:val="000000" w:themeColor="text1"/>
          <w:sz w:val="24"/>
          <w:szCs w:val="24"/>
        </w:rPr>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14</w:t>
      </w:r>
      <w:r w:rsidRPr="00535482">
        <w:rPr>
          <w:color w:val="000000" w:themeColor="text1"/>
          <w:sz w:val="24"/>
          <w:szCs w:val="24"/>
        </w:rPr>
        <w:fldChar w:fldCharType="end"/>
      </w:r>
      <w:r>
        <w:rPr>
          <w:color w:val="000000" w:themeColor="text1"/>
          <w:sz w:val="24"/>
          <w:szCs w:val="24"/>
        </w:rPr>
        <w:t>: A multi-panel dashboard analysing the direct relationship between fuel prices and public transit ridership, featuring scatter plots with trend lines, a bar chart of average daily ridership by price level, and a scatter plot of weekly percentage changes.</w:t>
      </w:r>
    </w:p>
    <w:p w14:paraId="734911A2" w14:textId="4FFE6556" w:rsidR="00535482" w:rsidRDefault="00535482" w:rsidP="00535482">
      <w:r>
        <w:rPr>
          <w:noProof/>
        </w:rPr>
        <w:drawing>
          <wp:inline distT="0" distB="0" distL="0" distR="0" wp14:anchorId="42F426D0" wp14:editId="604868D4">
            <wp:extent cx="5719445" cy="2044700"/>
            <wp:effectExtent l="19050" t="19050" r="14605" b="12700"/>
            <wp:docPr id="17104873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9445" cy="2044700"/>
                    </a:xfrm>
                    <a:prstGeom prst="rect">
                      <a:avLst/>
                    </a:prstGeom>
                    <a:noFill/>
                    <a:ln>
                      <a:solidFill>
                        <a:schemeClr val="tx1"/>
                      </a:solidFill>
                    </a:ln>
                  </pic:spPr>
                </pic:pic>
              </a:graphicData>
            </a:graphic>
          </wp:inline>
        </w:drawing>
      </w:r>
    </w:p>
    <w:p w14:paraId="07E9D5A9" w14:textId="53B91848" w:rsidR="00535482" w:rsidRPr="00535482" w:rsidRDefault="00535482" w:rsidP="00535482">
      <w:pPr>
        <w:pStyle w:val="Caption"/>
        <w:jc w:val="center"/>
        <w:rPr>
          <w:color w:val="000000" w:themeColor="text1"/>
          <w:sz w:val="24"/>
          <w:szCs w:val="24"/>
        </w:rPr>
      </w:pPr>
      <w:r w:rsidRPr="00535482">
        <w:rPr>
          <w:color w:val="000000" w:themeColor="text1"/>
          <w:sz w:val="24"/>
          <w:szCs w:val="24"/>
        </w:rPr>
        <w:lastRenderedPageBreak/>
        <w:t xml:space="preserve">Figure </w:t>
      </w:r>
      <w:r w:rsidRPr="00535482">
        <w:rPr>
          <w:color w:val="000000" w:themeColor="text1"/>
          <w:sz w:val="24"/>
          <w:szCs w:val="24"/>
        </w:rPr>
        <w:fldChar w:fldCharType="begin"/>
      </w:r>
      <w:r w:rsidRPr="00535482">
        <w:rPr>
          <w:color w:val="000000" w:themeColor="text1"/>
          <w:sz w:val="24"/>
          <w:szCs w:val="24"/>
        </w:rPr>
        <w:instrText xml:space="preserve"> SEQ Figure \* ARABIC </w:instrText>
      </w:r>
      <w:r w:rsidRPr="00535482">
        <w:rPr>
          <w:color w:val="000000" w:themeColor="text1"/>
          <w:sz w:val="24"/>
          <w:szCs w:val="24"/>
        </w:rPr>
        <w:fldChar w:fldCharType="separate"/>
      </w:r>
      <w:r w:rsidR="009C2312">
        <w:rPr>
          <w:noProof/>
          <w:color w:val="000000" w:themeColor="text1"/>
          <w:sz w:val="24"/>
          <w:szCs w:val="24"/>
        </w:rPr>
        <w:t>15</w:t>
      </w:r>
      <w:r w:rsidRPr="00535482">
        <w:rPr>
          <w:color w:val="000000" w:themeColor="text1"/>
          <w:sz w:val="24"/>
          <w:szCs w:val="24"/>
        </w:rPr>
        <w:fldChar w:fldCharType="end"/>
      </w:r>
      <w:r>
        <w:rPr>
          <w:color w:val="000000" w:themeColor="text1"/>
          <w:sz w:val="24"/>
          <w:szCs w:val="24"/>
        </w:rPr>
        <w:t xml:space="preserve">: A set of </w:t>
      </w:r>
      <w:r w:rsidR="00C8701C">
        <w:rPr>
          <w:color w:val="000000" w:themeColor="text1"/>
          <w:sz w:val="24"/>
          <w:szCs w:val="24"/>
        </w:rPr>
        <w:t>two line</w:t>
      </w:r>
      <w:r w:rsidR="00333F0A">
        <w:rPr>
          <w:color w:val="000000" w:themeColor="text1"/>
          <w:sz w:val="24"/>
          <w:szCs w:val="24"/>
        </w:rPr>
        <w:t>-</w:t>
      </w:r>
      <w:r>
        <w:rPr>
          <w:color w:val="000000" w:themeColor="text1"/>
          <w:sz w:val="24"/>
          <w:szCs w:val="24"/>
        </w:rPr>
        <w:t>graphs showing the lagged correlation (from 0 to 7 days</w:t>
      </w:r>
      <w:r w:rsidR="00064A77">
        <w:rPr>
          <w:color w:val="000000" w:themeColor="text1"/>
          <w:sz w:val="24"/>
          <w:szCs w:val="24"/>
        </w:rPr>
        <w:t>)</w:t>
      </w:r>
      <w:r>
        <w:rPr>
          <w:color w:val="000000" w:themeColor="text1"/>
          <w:sz w:val="24"/>
          <w:szCs w:val="24"/>
        </w:rPr>
        <w:t xml:space="preserve"> between changes in fuel prices (RON95 and Diesel) and subsequent changes in transit ridership.</w:t>
      </w:r>
    </w:p>
    <w:p w14:paraId="43E185B8" w14:textId="5878B571" w:rsidR="00F6788C" w:rsidRDefault="00F6788C">
      <w:pPr>
        <w:pStyle w:val="Heading2"/>
        <w:numPr>
          <w:ilvl w:val="2"/>
          <w:numId w:val="3"/>
        </w:numPr>
        <w:rPr>
          <w:b/>
          <w:bCs/>
          <w:sz w:val="24"/>
          <w:szCs w:val="24"/>
          <w:u w:val="single"/>
        </w:rPr>
      </w:pPr>
      <w:r>
        <w:rPr>
          <w:b/>
          <w:bCs/>
          <w:sz w:val="24"/>
          <w:szCs w:val="24"/>
          <w:u w:val="single"/>
        </w:rPr>
        <w:t>Holiday Anticipation and Return-Surge Effect</w:t>
      </w:r>
    </w:p>
    <w:p w14:paraId="60E31350" w14:textId="5C268F5B" w:rsidR="00783AA5" w:rsidRDefault="00783AA5" w:rsidP="00783AA5">
      <w:pPr>
        <w:ind w:firstLine="720"/>
      </w:pPr>
      <w:r>
        <w:t>Public and academic holidays create systematic demand fluctuations characterized by an anticipatory drop and a subsequent post-holiday return surge</w:t>
      </w:r>
      <w:r w:rsidR="00355418">
        <w:t>.</w:t>
      </w:r>
      <w:r>
        <w:t xml:space="preserve"> Cross-correlation analysis over a </w:t>
      </w:r>
      <m:oMath>
        <m:r>
          <w:rPr>
            <w:rFonts w:ascii="Cambria Math" w:hAnsi="Cambria Math"/>
          </w:rPr>
          <m:t>±7</m:t>
        </m:r>
      </m:oMath>
      <w:r>
        <w:t>-day window demonstrates an approximate 18% ridership drop 1-2 days before public holidays, followed by a sharp volume spike on the first post-holiday working day (Figure</w:t>
      </w:r>
      <w:r w:rsidR="006F5EFA">
        <w:t>s</w:t>
      </w:r>
      <w:r>
        <w:t xml:space="preserve"> 16, 17, 18, 19, and 20). Wu et al. (2023) utilizes proximity features expressing the distance to and from holidays to allow models to learn these demand gradients directly.</w:t>
      </w:r>
    </w:p>
    <w:p w14:paraId="7E1E532E" w14:textId="6EE10C87" w:rsidR="00783AA5" w:rsidRPr="00783AA5" w:rsidRDefault="00783AA5" w:rsidP="00783AA5">
      <w:pPr>
        <w:ind w:firstLine="720"/>
      </w:pPr>
      <w:r>
        <w:t>Simple binary holiday flags cannot capture the multi-day spread of these transitions; dedicated lead/lag indicators are required to map the behavioural ramp down and subsequent recovery phases. Evaluating these complex temporal patterns requires analysing how feature types interact across the entire model architecture.</w:t>
      </w:r>
    </w:p>
    <w:p w14:paraId="170F5864" w14:textId="4CF88B30" w:rsidR="00D94034" w:rsidRDefault="00E8095F" w:rsidP="00D94034">
      <w:r>
        <w:rPr>
          <w:noProof/>
        </w:rPr>
        <w:drawing>
          <wp:inline distT="0" distB="0" distL="0" distR="0" wp14:anchorId="652666CE" wp14:editId="528FABC2">
            <wp:extent cx="5727700" cy="4071620"/>
            <wp:effectExtent l="19050" t="19050" r="25400" b="24130"/>
            <wp:docPr id="7508437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7700" cy="4071620"/>
                    </a:xfrm>
                    <a:prstGeom prst="rect">
                      <a:avLst/>
                    </a:prstGeom>
                    <a:noFill/>
                    <a:ln>
                      <a:solidFill>
                        <a:schemeClr val="tx1"/>
                      </a:solidFill>
                    </a:ln>
                  </pic:spPr>
                </pic:pic>
              </a:graphicData>
            </a:graphic>
          </wp:inline>
        </w:drawing>
      </w:r>
    </w:p>
    <w:p w14:paraId="3FA20309" w14:textId="5820F833" w:rsidR="00E8095F" w:rsidRDefault="00E8095F" w:rsidP="00E8095F">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16</w:t>
      </w:r>
      <w:r w:rsidRPr="00E8095F">
        <w:rPr>
          <w:color w:val="000000" w:themeColor="text1"/>
          <w:sz w:val="24"/>
          <w:szCs w:val="24"/>
        </w:rPr>
        <w:fldChar w:fldCharType="end"/>
      </w:r>
      <w:r>
        <w:rPr>
          <w:color w:val="000000" w:themeColor="text1"/>
          <w:sz w:val="24"/>
          <w:szCs w:val="24"/>
        </w:rPr>
        <w:t>: A broad seasonal and weekly overview displaying average daily ridership across day types (holiday, normal, weekend, weekend + holiday), the monthly distribution of public holidays (peaking in May), a daily breakdown by day of the week, and general ridership fluctuations across the months of the year.</w:t>
      </w:r>
    </w:p>
    <w:p w14:paraId="4B023E0C" w14:textId="3F24ADAF" w:rsidR="006F21BA" w:rsidRDefault="006F21BA" w:rsidP="006F21BA">
      <w:r>
        <w:rPr>
          <w:noProof/>
        </w:rPr>
        <w:lastRenderedPageBreak/>
        <w:drawing>
          <wp:inline distT="0" distB="0" distL="0" distR="0" wp14:anchorId="01E1ED05" wp14:editId="6B530A07">
            <wp:extent cx="5719445" cy="4088765"/>
            <wp:effectExtent l="19050" t="19050" r="14605" b="26035"/>
            <wp:docPr id="9080879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7FC2AE2E" w14:textId="7B9988CC" w:rsidR="006F21BA" w:rsidRDefault="006F21BA" w:rsidP="006F21BA">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17</w:t>
      </w:r>
      <w:r w:rsidRPr="00E8095F">
        <w:rPr>
          <w:color w:val="000000" w:themeColor="text1"/>
          <w:sz w:val="24"/>
          <w:szCs w:val="24"/>
        </w:rPr>
        <w:fldChar w:fldCharType="end"/>
      </w:r>
      <w:r>
        <w:rPr>
          <w:color w:val="000000" w:themeColor="text1"/>
          <w:sz w:val="24"/>
          <w:szCs w:val="24"/>
        </w:rPr>
        <w:t xml:space="preserve">: A series of charts assessing how the length of a break influences travel patterns, showing that short holidays (less than 3 days) experience the most severe percentage dip in ridership from normal levels, alongside a frequency distribution and day-of-week profile broken </w:t>
      </w:r>
      <w:r w:rsidR="00252A93">
        <w:rPr>
          <w:color w:val="000000" w:themeColor="text1"/>
          <w:sz w:val="24"/>
          <w:szCs w:val="24"/>
        </w:rPr>
        <w:t>down by</w:t>
      </w:r>
      <w:r>
        <w:rPr>
          <w:color w:val="000000" w:themeColor="text1"/>
          <w:sz w:val="24"/>
          <w:szCs w:val="24"/>
        </w:rPr>
        <w:t xml:space="preserve"> holiday duration.</w:t>
      </w:r>
    </w:p>
    <w:p w14:paraId="16757AEB" w14:textId="4234D585" w:rsidR="00252A93" w:rsidRPr="00252A93" w:rsidRDefault="00252A93" w:rsidP="00252A93">
      <w:r>
        <w:rPr>
          <w:noProof/>
          <w:color w:val="000000" w:themeColor="text1"/>
        </w:rPr>
        <w:lastRenderedPageBreak/>
        <w:drawing>
          <wp:inline distT="0" distB="0" distL="0" distR="0" wp14:anchorId="7FF037FD" wp14:editId="6F955C83">
            <wp:extent cx="5719445" cy="4088765"/>
            <wp:effectExtent l="19050" t="19050" r="14605" b="26035"/>
            <wp:docPr id="11598669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D5B936A" w14:textId="255A90E6" w:rsidR="00252A93" w:rsidRPr="00E8095F" w:rsidRDefault="00252A93" w:rsidP="00252A93">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18</w:t>
      </w:r>
      <w:r w:rsidRPr="00E8095F">
        <w:rPr>
          <w:color w:val="000000" w:themeColor="text1"/>
          <w:sz w:val="24"/>
          <w:szCs w:val="24"/>
        </w:rPr>
        <w:fldChar w:fldCharType="end"/>
      </w:r>
      <w:r>
        <w:rPr>
          <w:color w:val="000000" w:themeColor="text1"/>
          <w:sz w:val="24"/>
          <w:szCs w:val="24"/>
        </w:rPr>
        <w:t>: A visualization demonstrating the contrasting impact of holiday based on timing, revealing that weekend holidays trigger a steep 24% drop in ridership compared to normal days, while weekday holidays remain relatively stable overall, though individual rail lines show highly volatile service-level percentage changes.</w:t>
      </w:r>
    </w:p>
    <w:p w14:paraId="0ECA3E3F" w14:textId="287849C4" w:rsidR="006F21BA" w:rsidRPr="006F21BA" w:rsidRDefault="000068C1" w:rsidP="006F21BA">
      <w:r>
        <w:rPr>
          <w:noProof/>
          <w:color w:val="000000" w:themeColor="text1"/>
        </w:rPr>
        <w:lastRenderedPageBreak/>
        <w:drawing>
          <wp:inline distT="0" distB="0" distL="0" distR="0" wp14:anchorId="29B2ABE9" wp14:editId="11DC035A">
            <wp:extent cx="5719445" cy="4088765"/>
            <wp:effectExtent l="19050" t="19050" r="14605" b="26035"/>
            <wp:docPr id="5104094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9445" cy="4088765"/>
                    </a:xfrm>
                    <a:prstGeom prst="rect">
                      <a:avLst/>
                    </a:prstGeom>
                    <a:noFill/>
                    <a:ln>
                      <a:solidFill>
                        <a:schemeClr val="tx1"/>
                      </a:solidFill>
                    </a:ln>
                  </pic:spPr>
                </pic:pic>
              </a:graphicData>
            </a:graphic>
          </wp:inline>
        </w:drawing>
      </w:r>
    </w:p>
    <w:p w14:paraId="4C1EC8F8" w14:textId="6AAEC81E" w:rsidR="000068C1" w:rsidRDefault="000068C1" w:rsidP="000068C1">
      <w:pPr>
        <w:pStyle w:val="Caption"/>
        <w:jc w:val="center"/>
        <w:rPr>
          <w:color w:val="000000" w:themeColor="text1"/>
          <w:sz w:val="24"/>
          <w:szCs w:val="24"/>
        </w:rPr>
      </w:pPr>
      <w:r w:rsidRPr="00E8095F">
        <w:rPr>
          <w:color w:val="000000" w:themeColor="text1"/>
          <w:sz w:val="24"/>
          <w:szCs w:val="24"/>
        </w:rPr>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19</w:t>
      </w:r>
      <w:r w:rsidRPr="00E8095F">
        <w:rPr>
          <w:color w:val="000000" w:themeColor="text1"/>
          <w:sz w:val="24"/>
          <w:szCs w:val="24"/>
        </w:rPr>
        <w:fldChar w:fldCharType="end"/>
      </w:r>
      <w:r>
        <w:rPr>
          <w:color w:val="000000" w:themeColor="text1"/>
          <w:sz w:val="24"/>
          <w:szCs w:val="24"/>
        </w:rPr>
        <w:t>:</w:t>
      </w:r>
      <w:r w:rsidR="00C9001E">
        <w:rPr>
          <w:color w:val="000000" w:themeColor="text1"/>
          <w:sz w:val="24"/>
          <w:szCs w:val="24"/>
        </w:rPr>
        <w:t xml:space="preserve"> An analysis comparing ridership trends between Academic and Public holidays, highlighting that public holidays see sharp drops in both overall mean volume and daily percentage change, alongside a breakdown of mean ridership across dozens of individual Malaysian calendar events.</w:t>
      </w:r>
    </w:p>
    <w:p w14:paraId="3EAAB1BA" w14:textId="52607BFC" w:rsidR="000068C1" w:rsidRPr="000068C1" w:rsidRDefault="000068C1" w:rsidP="000068C1">
      <w:r>
        <w:rPr>
          <w:noProof/>
        </w:rPr>
        <w:drawing>
          <wp:inline distT="0" distB="0" distL="0" distR="0" wp14:anchorId="38538149" wp14:editId="29A3F433">
            <wp:extent cx="5719445" cy="3571240"/>
            <wp:effectExtent l="19050" t="19050" r="14605" b="10160"/>
            <wp:docPr id="20752580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9445" cy="3571240"/>
                    </a:xfrm>
                    <a:prstGeom prst="rect">
                      <a:avLst/>
                    </a:prstGeom>
                    <a:noFill/>
                    <a:ln>
                      <a:solidFill>
                        <a:schemeClr val="tx1"/>
                      </a:solidFill>
                    </a:ln>
                  </pic:spPr>
                </pic:pic>
              </a:graphicData>
            </a:graphic>
          </wp:inline>
        </w:drawing>
      </w:r>
    </w:p>
    <w:p w14:paraId="6DD1859E" w14:textId="57521DB0" w:rsidR="003E3D0B" w:rsidRPr="000068C1" w:rsidRDefault="000068C1" w:rsidP="000068C1">
      <w:pPr>
        <w:pStyle w:val="Caption"/>
        <w:jc w:val="center"/>
        <w:rPr>
          <w:color w:val="000000" w:themeColor="text1"/>
          <w:sz w:val="24"/>
          <w:szCs w:val="24"/>
        </w:rPr>
      </w:pPr>
      <w:r w:rsidRPr="00E8095F">
        <w:rPr>
          <w:color w:val="000000" w:themeColor="text1"/>
          <w:sz w:val="24"/>
          <w:szCs w:val="24"/>
        </w:rPr>
        <w:lastRenderedPageBreak/>
        <w:t xml:space="preserve">Figure </w:t>
      </w:r>
      <w:r w:rsidRPr="00E8095F">
        <w:rPr>
          <w:color w:val="000000" w:themeColor="text1"/>
          <w:sz w:val="24"/>
          <w:szCs w:val="24"/>
        </w:rPr>
        <w:fldChar w:fldCharType="begin"/>
      </w:r>
      <w:r w:rsidRPr="00E8095F">
        <w:rPr>
          <w:color w:val="000000" w:themeColor="text1"/>
          <w:sz w:val="24"/>
          <w:szCs w:val="24"/>
        </w:rPr>
        <w:instrText xml:space="preserve"> SEQ Figure \* ARABIC </w:instrText>
      </w:r>
      <w:r w:rsidRPr="00E8095F">
        <w:rPr>
          <w:color w:val="000000" w:themeColor="text1"/>
          <w:sz w:val="24"/>
          <w:szCs w:val="24"/>
        </w:rPr>
        <w:fldChar w:fldCharType="separate"/>
      </w:r>
      <w:r w:rsidR="009C2312">
        <w:rPr>
          <w:noProof/>
          <w:color w:val="000000" w:themeColor="text1"/>
          <w:sz w:val="24"/>
          <w:szCs w:val="24"/>
        </w:rPr>
        <w:t>20</w:t>
      </w:r>
      <w:r w:rsidRPr="00E8095F">
        <w:rPr>
          <w:color w:val="000000" w:themeColor="text1"/>
          <w:sz w:val="24"/>
          <w:szCs w:val="24"/>
        </w:rPr>
        <w:fldChar w:fldCharType="end"/>
      </w:r>
      <w:r>
        <w:rPr>
          <w:color w:val="000000" w:themeColor="text1"/>
          <w:sz w:val="24"/>
          <w:szCs w:val="24"/>
        </w:rPr>
        <w:t>:</w:t>
      </w:r>
      <w:r w:rsidR="00856AF6">
        <w:rPr>
          <w:color w:val="000000" w:themeColor="text1"/>
          <w:sz w:val="24"/>
          <w:szCs w:val="24"/>
        </w:rPr>
        <w:t xml:space="preserve"> A dashboard tracking transit demand around holiday periods, showing overall mean total ridership drops on holidays, day-of-week demand dips (most pronounced on Tuesdays and Wednesdays), distinct weekday versus weekend response gaps, and the percentage of daily ridership change by holiday regime.</w:t>
      </w:r>
    </w:p>
    <w:p w14:paraId="086F0B0C" w14:textId="5DB08AFC" w:rsidR="00F6788C" w:rsidRDefault="00F6788C">
      <w:pPr>
        <w:pStyle w:val="Heading2"/>
        <w:numPr>
          <w:ilvl w:val="2"/>
          <w:numId w:val="3"/>
        </w:numPr>
        <w:rPr>
          <w:b/>
          <w:bCs/>
          <w:sz w:val="24"/>
          <w:szCs w:val="24"/>
          <w:u w:val="single"/>
        </w:rPr>
      </w:pPr>
      <w:r>
        <w:rPr>
          <w:b/>
          <w:bCs/>
          <w:sz w:val="24"/>
          <w:szCs w:val="24"/>
          <w:u w:val="single"/>
        </w:rPr>
        <w:t>Feature Correlation: Lag Dominance and Static Near-Zero Signal</w:t>
      </w:r>
    </w:p>
    <w:p w14:paraId="5AA04F28" w14:textId="6619D108" w:rsidR="005E267F" w:rsidRDefault="006F5EFA" w:rsidP="000A2C25">
      <w:pPr>
        <w:ind w:firstLine="720"/>
      </w:pPr>
      <w:r>
        <w:rPr>
          <w:lang w:val="en-US"/>
        </w:rPr>
        <w:t xml:space="preserve">Autoregressive historical features dominate linear correlation profiles within the transit demand matric, whereas static parameters exhibit near-zero linear coefficients. Eigenvalue decomposition of the </w:t>
      </w:r>
      <m:oMath>
        <m:r>
          <w:rPr>
            <w:rFonts w:ascii="Cambria Math" w:hAnsi="Cambria Math"/>
          </w:rPr>
          <m:t>79×79</m:t>
        </m:r>
      </m:oMath>
      <w:r>
        <w:t xml:space="preserve"> Pearson correlation heatmap (Figures</w:t>
      </w:r>
      <w:r w:rsidR="00133523">
        <w:t xml:space="preserve"> 21 and 22) confirms that the first principal component accounts for ~72% of total variance and is dominated by ridership lags 7,14, and 28. Wu et al. (2023) note that autoregressive lag trios consistently rank as the strongest individual predictors within transit feature matrices.</w:t>
      </w:r>
    </w:p>
    <w:p w14:paraId="1D02C67F" w14:textId="6CC9B64B" w:rsidR="006F5EFA" w:rsidRPr="00CE6ACD" w:rsidRDefault="00133523" w:rsidP="00CE6ACD">
      <w:pPr>
        <w:ind w:firstLine="720"/>
      </w:pPr>
      <w:r>
        <w:t xml:space="preserve">The dominance of these lags establishes a </w:t>
      </w:r>
      <w:r w:rsidR="00CE6ACD">
        <w:t>high-performance</w:t>
      </w:r>
      <w:r>
        <w:t xml:space="preserve"> floor that models must exceed, while the near-zero linear correlation of static features indicates that DL architectures must employ non-linear techniques to extract value from them. This complex feature landscape justifies the selection and evaluation of various baseline and comparative models.</w:t>
      </w:r>
    </w:p>
    <w:p w14:paraId="495A4007" w14:textId="39500CDE" w:rsidR="00CE1619" w:rsidRDefault="00CE1619" w:rsidP="00CE1619">
      <w:pPr>
        <w:rPr>
          <w:lang w:val="en-US"/>
        </w:rPr>
      </w:pPr>
      <w:r>
        <w:rPr>
          <w:noProof/>
          <w:lang w:val="en-US"/>
        </w:rPr>
        <w:drawing>
          <wp:inline distT="0" distB="0" distL="0" distR="0" wp14:anchorId="61A50C1C" wp14:editId="58782840">
            <wp:extent cx="5727700" cy="2122170"/>
            <wp:effectExtent l="19050" t="19050" r="25400" b="11430"/>
            <wp:docPr id="6170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7700" cy="2122170"/>
                    </a:xfrm>
                    <a:prstGeom prst="rect">
                      <a:avLst/>
                    </a:prstGeom>
                    <a:noFill/>
                    <a:ln>
                      <a:solidFill>
                        <a:schemeClr val="tx1"/>
                      </a:solidFill>
                    </a:ln>
                  </pic:spPr>
                </pic:pic>
              </a:graphicData>
            </a:graphic>
          </wp:inline>
        </w:drawing>
      </w:r>
    </w:p>
    <w:p w14:paraId="5CC34F51" w14:textId="3AD6AE14" w:rsidR="00CE1619" w:rsidRPr="00CE1619" w:rsidRDefault="00CE1619" w:rsidP="00CE1619">
      <w:pPr>
        <w:pStyle w:val="Caption"/>
        <w:jc w:val="center"/>
        <w:rPr>
          <w:color w:val="auto"/>
          <w:sz w:val="24"/>
          <w:szCs w:val="24"/>
          <w:lang w:val="en-US"/>
        </w:rPr>
      </w:pPr>
      <w:r w:rsidRPr="00CE1619">
        <w:rPr>
          <w:color w:val="auto"/>
          <w:sz w:val="24"/>
          <w:szCs w:val="24"/>
        </w:rPr>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21</w:t>
      </w:r>
      <w:r w:rsidRPr="00CE1619">
        <w:rPr>
          <w:color w:val="auto"/>
          <w:sz w:val="24"/>
          <w:szCs w:val="24"/>
        </w:rPr>
        <w:fldChar w:fldCharType="end"/>
      </w:r>
      <w:r>
        <w:rPr>
          <w:color w:val="auto"/>
          <w:sz w:val="24"/>
          <w:szCs w:val="24"/>
        </w:rPr>
        <w:t>: A dual-panel visualization showing a detailed 6 x 6 correlation matrix of key demand forecasting inputs (left) alongside a horizontal bar chart displaying the standardized coefficients of the dominant predictors of ridership (right).</w:t>
      </w:r>
    </w:p>
    <w:p w14:paraId="6F284DDE" w14:textId="7FEE0907" w:rsidR="00CE1619" w:rsidRDefault="00FB3E07" w:rsidP="00CE1619">
      <w:pPr>
        <w:rPr>
          <w:lang w:val="en-US"/>
        </w:rPr>
      </w:pPr>
      <w:r>
        <w:rPr>
          <w:noProof/>
          <w:lang w:val="en-US"/>
        </w:rPr>
        <w:lastRenderedPageBreak/>
        <w:drawing>
          <wp:inline distT="0" distB="0" distL="0" distR="0" wp14:anchorId="69DD5ACF" wp14:editId="16728823">
            <wp:extent cx="5731510" cy="5491480"/>
            <wp:effectExtent l="19050" t="19050" r="21590" b="13970"/>
            <wp:docPr id="208608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7454" name="Picture 2086087454"/>
                    <pic:cNvPicPr/>
                  </pic:nvPicPr>
                  <pic:blipFill>
                    <a:blip r:embed="rId29"/>
                    <a:stretch>
                      <a:fillRect/>
                    </a:stretch>
                  </pic:blipFill>
                  <pic:spPr>
                    <a:xfrm>
                      <a:off x="0" y="0"/>
                      <a:ext cx="5731510" cy="5491480"/>
                    </a:xfrm>
                    <a:prstGeom prst="rect">
                      <a:avLst/>
                    </a:prstGeom>
                    <a:ln>
                      <a:solidFill>
                        <a:schemeClr val="tx1"/>
                      </a:solidFill>
                    </a:ln>
                  </pic:spPr>
                </pic:pic>
              </a:graphicData>
            </a:graphic>
          </wp:inline>
        </w:drawing>
      </w:r>
    </w:p>
    <w:p w14:paraId="6C91B6AA" w14:textId="113ACEE4" w:rsidR="00CE1619" w:rsidRPr="00CE1619" w:rsidRDefault="00CE1619" w:rsidP="00CE1619">
      <w:pPr>
        <w:pStyle w:val="Caption"/>
        <w:jc w:val="center"/>
        <w:rPr>
          <w:color w:val="auto"/>
          <w:sz w:val="24"/>
          <w:szCs w:val="24"/>
          <w:lang w:val="en-US"/>
        </w:rPr>
      </w:pPr>
      <w:r w:rsidRPr="00CE1619">
        <w:rPr>
          <w:color w:val="auto"/>
          <w:sz w:val="24"/>
          <w:szCs w:val="24"/>
        </w:rPr>
        <w:t xml:space="preserve">Figure </w:t>
      </w:r>
      <w:r w:rsidRPr="00CE1619">
        <w:rPr>
          <w:color w:val="auto"/>
          <w:sz w:val="24"/>
          <w:szCs w:val="24"/>
        </w:rPr>
        <w:fldChar w:fldCharType="begin"/>
      </w:r>
      <w:r w:rsidRPr="00CE1619">
        <w:rPr>
          <w:color w:val="auto"/>
          <w:sz w:val="24"/>
          <w:szCs w:val="24"/>
        </w:rPr>
        <w:instrText xml:space="preserve"> SEQ Figure \* ARABIC </w:instrText>
      </w:r>
      <w:r w:rsidRPr="00CE1619">
        <w:rPr>
          <w:color w:val="auto"/>
          <w:sz w:val="24"/>
          <w:szCs w:val="24"/>
        </w:rPr>
        <w:fldChar w:fldCharType="separate"/>
      </w:r>
      <w:r w:rsidR="009C2312">
        <w:rPr>
          <w:noProof/>
          <w:color w:val="auto"/>
          <w:sz w:val="24"/>
          <w:szCs w:val="24"/>
        </w:rPr>
        <w:t>22</w:t>
      </w:r>
      <w:r w:rsidRPr="00CE1619">
        <w:rPr>
          <w:color w:val="auto"/>
          <w:sz w:val="24"/>
          <w:szCs w:val="24"/>
        </w:rPr>
        <w:fldChar w:fldCharType="end"/>
      </w:r>
      <w:r>
        <w:rPr>
          <w:color w:val="auto"/>
          <w:sz w:val="24"/>
          <w:szCs w:val="24"/>
        </w:rPr>
        <w:t>: A large-scale, lower-triangular heatmap visualizing the complex feature correlation matrix (79 x 79) for full demand model, covering targets, temporal, external, lag, and static variables.</w:t>
      </w:r>
    </w:p>
    <w:p w14:paraId="36CC07E5" w14:textId="69B83700" w:rsidR="00BF5071" w:rsidRDefault="00B154B7">
      <w:pPr>
        <w:pStyle w:val="Heading2"/>
        <w:numPr>
          <w:ilvl w:val="1"/>
          <w:numId w:val="3"/>
        </w:numPr>
        <w:rPr>
          <w:b/>
          <w:bCs/>
          <w:sz w:val="24"/>
          <w:szCs w:val="24"/>
          <w:u w:val="single"/>
        </w:rPr>
      </w:pPr>
      <w:bookmarkStart w:id="31" w:name="_Toc230901628"/>
      <w:r w:rsidRPr="00C7720B">
        <w:rPr>
          <w:b/>
          <w:bCs/>
          <w:sz w:val="24"/>
          <w:szCs w:val="24"/>
          <w:u w:val="single"/>
        </w:rPr>
        <w:t>Baseline &amp; Comparative Models</w:t>
      </w:r>
      <w:bookmarkEnd w:id="31"/>
    </w:p>
    <w:p w14:paraId="28475279" w14:textId="003D7E53" w:rsidR="0026078F" w:rsidRDefault="0026078F" w:rsidP="00390074">
      <w:pPr>
        <w:ind w:firstLine="720"/>
      </w:pPr>
      <w:r>
        <w:t xml:space="preserve">The 14 baseline models are selected </w:t>
      </w:r>
      <w:r w:rsidR="007D39AA">
        <w:t>progressively</w:t>
      </w:r>
      <w:r>
        <w:t xml:space="preserve"> </w:t>
      </w:r>
      <w:r w:rsidR="00B17CB9">
        <w:t>which</w:t>
      </w:r>
      <w:r>
        <w:t xml:space="preserve"> isolates the contribution of each architectural component to transit ridership prediction performance. This design ensures that each model answers a specific architectural question: Does adding bidirectionality helps? Does attention over temporal patterns improve upon bidirectionality? Does encoding cross-feature correlations as a graph surpass implicit spatial encoding? Do FFT-based decompositions outperform graph propagation for periodic ridership signal?</w:t>
      </w:r>
      <w:r w:rsidR="0067380B">
        <w:t xml:space="preserve"> The </w:t>
      </w:r>
      <w:r w:rsidR="00840CB7">
        <w:t>technical details for this study</w:t>
      </w:r>
      <w:r w:rsidR="0067380B">
        <w:t xml:space="preserve"> are documented in Appendix</w:t>
      </w:r>
      <w:r w:rsidR="0051770A">
        <w:t xml:space="preserve"> 5</w:t>
      </w:r>
      <w:r w:rsidR="00A84AC4">
        <w:t xml:space="preserve"> for reproducing purposes</w:t>
      </w:r>
      <w:r w:rsidR="0067380B">
        <w:t>.</w:t>
      </w:r>
    </w:p>
    <w:p w14:paraId="4617D32E" w14:textId="51B1F761" w:rsidR="00C27640" w:rsidRPr="0026078F" w:rsidRDefault="00390074" w:rsidP="00FE6449">
      <w:pPr>
        <w:ind w:firstLine="720"/>
      </w:pPr>
      <w:r>
        <w:lastRenderedPageBreak/>
        <w:t>The proposed model, HMT-TSF, is designed to fuse the strongest mechanisms from spatiotemporal, graph, and attention models – multi-scale temporal convolution, feature-correlation graph encoding, and MCO regime-aware gating – into a single end-to-end architecture purpose-built for the distributional properties of Malaysian transit ridership data.</w:t>
      </w:r>
    </w:p>
    <w:p w14:paraId="2E71050B" w14:textId="15A3E3B8" w:rsidR="00BF5071" w:rsidRDefault="00BF5071">
      <w:pPr>
        <w:pStyle w:val="Heading2"/>
        <w:numPr>
          <w:ilvl w:val="2"/>
          <w:numId w:val="3"/>
        </w:numPr>
        <w:rPr>
          <w:b/>
          <w:bCs/>
          <w:sz w:val="24"/>
          <w:szCs w:val="24"/>
          <w:u w:val="single"/>
        </w:rPr>
      </w:pPr>
      <w:r>
        <w:rPr>
          <w:b/>
          <w:bCs/>
          <w:sz w:val="24"/>
          <w:szCs w:val="24"/>
          <w:u w:val="single"/>
        </w:rPr>
        <w:t>Spatiotemporal Models</w:t>
      </w:r>
    </w:p>
    <w:p w14:paraId="01F1ABC6" w14:textId="7801A377" w:rsidR="00FE6449" w:rsidRDefault="00FE6449">
      <w:pPr>
        <w:pStyle w:val="Heading2"/>
        <w:numPr>
          <w:ilvl w:val="3"/>
          <w:numId w:val="3"/>
        </w:numPr>
        <w:rPr>
          <w:b/>
          <w:bCs/>
          <w:sz w:val="24"/>
          <w:szCs w:val="24"/>
          <w:u w:val="single"/>
        </w:rPr>
      </w:pPr>
      <w:r>
        <w:rPr>
          <w:b/>
          <w:bCs/>
          <w:sz w:val="24"/>
          <w:szCs w:val="24"/>
          <w:u w:val="single"/>
        </w:rPr>
        <w:t>LSTM</w:t>
      </w:r>
    </w:p>
    <w:p w14:paraId="7F599424" w14:textId="7D3324B5" w:rsidR="00B20117" w:rsidRPr="00B20117" w:rsidRDefault="001E16CA" w:rsidP="001E16CA">
      <w:pPr>
        <w:ind w:firstLine="720"/>
      </w:pPr>
      <w:r>
        <w:t xml:space="preserve">LSTM is selected as the foundational sequential baseline to establish the minimum performance threshold against which all subsequent architectural innovations are measured. </w:t>
      </w:r>
      <w:r>
        <w:rPr>
          <w:noProof/>
        </w:rPr>
        <w:t>Barath et al. (2026) evaluates LSTM across diverse time series benchmarks and demostrates that it achieves consistently competitive accuracy as a general-purpose sequential model, confirming its suitability as the primary reference point before specialised architectures are introduced. In the context of Malaysian transit ridership, where temporal dependencies span daily commuter cycles and strong weekly patterns, LSTM’s gated memory mechanism provides a principled minimum capability for sequential modelling without imposing additional inductive biases such as graph structure or attention. All 14 subsequent models are directly compared against LSTM, allowing each architectural addition such as bidirectionality, pattern attention, graph convolution, series decomposition, to be expressed as a measurable incremental gain over sequential baseline.</w:t>
      </w:r>
    </w:p>
    <w:p w14:paraId="79E49D38" w14:textId="372AF935" w:rsidR="00FE6449" w:rsidRDefault="00FE6449">
      <w:pPr>
        <w:pStyle w:val="Heading2"/>
        <w:numPr>
          <w:ilvl w:val="3"/>
          <w:numId w:val="3"/>
        </w:numPr>
        <w:rPr>
          <w:b/>
          <w:bCs/>
          <w:sz w:val="24"/>
          <w:szCs w:val="24"/>
          <w:u w:val="single"/>
        </w:rPr>
      </w:pPr>
      <w:r>
        <w:rPr>
          <w:b/>
          <w:bCs/>
          <w:sz w:val="24"/>
          <w:szCs w:val="24"/>
          <w:u w:val="single"/>
        </w:rPr>
        <w:t>BiLSTM</w:t>
      </w:r>
    </w:p>
    <w:p w14:paraId="34B15FAF" w14:textId="43B73A26" w:rsidR="00B20117" w:rsidRPr="00B20117" w:rsidRDefault="00A27795" w:rsidP="001B158A">
      <w:pPr>
        <w:ind w:firstLine="720"/>
      </w:pPr>
      <w:r>
        <w:t xml:space="preserve">BiLSTM is selected to directly isolate the contribution of bidirectional encoding over the observed look-back window relative to the unidirectional LSTM baseline. </w:t>
      </w:r>
      <w:r>
        <w:rPr>
          <w:noProof/>
        </w:rPr>
        <w:t>Krishnasamy et al. (2025) demostrate that BiLSTM achieves measurable improvements over standard LSTM in traffic congestion forecasting by exposing earlier sequence positions to future-within-window context, validating the bidirectional extension for sequential transport demand tasks. In Malaysia transit ridership data, mid-window events such as public holidays or major disruptions that fall several days before the forecast horizon may be more accurately encoded when the model can contextualise them against the ridership response that follows</w:t>
      </w:r>
      <w:r w:rsidR="00FA5E4A">
        <w:rPr>
          <w:noProof/>
        </w:rPr>
        <w:t xml:space="preserve"> – a capability that LSTM’s strictly causal pass precludes by design. BiLSTM isolates precisely this contribution before more complex mechanisms are introduced later.</w:t>
      </w:r>
    </w:p>
    <w:p w14:paraId="7EC74560" w14:textId="02C2CAAC" w:rsidR="00FE6449" w:rsidRDefault="00FE6449">
      <w:pPr>
        <w:pStyle w:val="Heading2"/>
        <w:numPr>
          <w:ilvl w:val="3"/>
          <w:numId w:val="3"/>
        </w:numPr>
        <w:rPr>
          <w:b/>
          <w:bCs/>
          <w:sz w:val="24"/>
          <w:szCs w:val="24"/>
          <w:u w:val="single"/>
        </w:rPr>
      </w:pPr>
      <w:r>
        <w:rPr>
          <w:b/>
          <w:bCs/>
          <w:sz w:val="24"/>
          <w:szCs w:val="24"/>
          <w:u w:val="single"/>
        </w:rPr>
        <w:lastRenderedPageBreak/>
        <w:t>TPA-LSTM</w:t>
      </w:r>
    </w:p>
    <w:p w14:paraId="0799C8AF" w14:textId="51E5BCDD" w:rsidR="001B158A" w:rsidRPr="00B20117" w:rsidRDefault="001B158A" w:rsidP="001B158A">
      <w:pPr>
        <w:ind w:firstLine="720"/>
      </w:pPr>
      <w:r>
        <w:t>TPA-LSTM is selected to determine whether pattern-level attention over recurring temporal shapes in the LSTM hidden-state sequence improves upon positional bidirectionality. Wei et al. (2023) apply TPA-LSTM to subway passenger flow forecasting in Shenzhen and demonstrate that the temporal pattern attention mechanism extracts multi-scale periodic signals – daily, weekly, holiday-driven cycles – more effectively than LSTM alone, validating its application to transit demand prediction. Malaysian transit ridership exhibits pronounced multi-scale periodicity: strict weekday commuter peaks, clear weekday/weekend asymmetry, and sharp holiday suppression events. TPA-LSTM’s 1-D CNN applied over the LSTM hidden-state matrix is designed to detect recurring shapes directly rather than relying on positional proximity, making it architecturally well-matched to periodicity-heavy transit signals. It advances from position-level richness (bidirectionality) to shape-level richness (pattern attention).</w:t>
      </w:r>
    </w:p>
    <w:p w14:paraId="22B65665" w14:textId="6DBE8426" w:rsidR="00FE6449" w:rsidRDefault="00B20117">
      <w:pPr>
        <w:pStyle w:val="Heading2"/>
        <w:numPr>
          <w:ilvl w:val="3"/>
          <w:numId w:val="3"/>
        </w:numPr>
        <w:rPr>
          <w:b/>
          <w:bCs/>
          <w:sz w:val="24"/>
          <w:szCs w:val="24"/>
          <w:u w:val="single"/>
        </w:rPr>
      </w:pPr>
      <w:r>
        <w:rPr>
          <w:b/>
          <w:bCs/>
          <w:sz w:val="24"/>
          <w:szCs w:val="24"/>
          <w:u w:val="single"/>
        </w:rPr>
        <w:t>CNN-</w:t>
      </w:r>
      <w:r w:rsidR="00FE6449">
        <w:rPr>
          <w:b/>
          <w:bCs/>
          <w:sz w:val="24"/>
          <w:szCs w:val="24"/>
          <w:u w:val="single"/>
        </w:rPr>
        <w:t>LSTM</w:t>
      </w:r>
    </w:p>
    <w:p w14:paraId="6242B072" w14:textId="56C8982C" w:rsidR="00B20117" w:rsidRPr="00B20117" w:rsidRDefault="001D0C3B" w:rsidP="001D0C3B">
      <w:pPr>
        <w:ind w:firstLine="720"/>
      </w:pPr>
      <w:r>
        <w:t xml:space="preserve">CNN-LSTM is selected to test whether hierarchical local feature extraction by a 1-D CNN, prior to recurrent global sequence encoding, improves over attention-augmented recurrence alone. </w:t>
      </w:r>
      <w:r>
        <w:rPr>
          <w:noProof/>
        </w:rPr>
        <w:t>Topilin et al. (2025) demostrate in a traffic flow prediction study that a CNN-LSTM architecture effectively decomposes the forecasting problem into a local pattern extraction stage (CNN) followed by sequential dependency modelling (LSTM), achieving improvements over purelyy recurrent models. In Malaysia transit ridership, short-term local patterns – within-day ridership bursts during morning and evening peaks encoded as consecutive multi-timestep excursions – are more efficiently detected by convolution than by a recurrent cell that must propagate them across the full hidden state. Three independently tested fusion modes (sequential, parallel, augmented) are included to revea</w:t>
      </w:r>
      <w:r w:rsidR="003C7D17">
        <w:rPr>
          <w:noProof/>
        </w:rPr>
        <w:t>l</w:t>
      </w:r>
      <w:r>
        <w:rPr>
          <w:noProof/>
        </w:rPr>
        <w:t xml:space="preserve"> which coupling strategy best suits the flat multivariate feature representation of this dataset, providing additional granularity</w:t>
      </w:r>
      <w:r w:rsidR="003C7D17">
        <w:rPr>
          <w:noProof/>
        </w:rPr>
        <w:t xml:space="preserve"> (Khalil et al., 2021)</w:t>
      </w:r>
      <w:r>
        <w:rPr>
          <w:noProof/>
        </w:rPr>
        <w:t>.</w:t>
      </w:r>
      <w:r w:rsidR="003C7D17">
        <w:rPr>
          <w:noProof/>
        </w:rPr>
        <w:t xml:space="preserve"> </w:t>
      </w:r>
    </w:p>
    <w:p w14:paraId="5F38F9BE" w14:textId="47FB531C" w:rsidR="00FE6449" w:rsidRDefault="00B20117">
      <w:pPr>
        <w:pStyle w:val="Heading2"/>
        <w:numPr>
          <w:ilvl w:val="3"/>
          <w:numId w:val="3"/>
        </w:numPr>
        <w:rPr>
          <w:b/>
          <w:bCs/>
          <w:sz w:val="24"/>
          <w:szCs w:val="24"/>
          <w:u w:val="single"/>
        </w:rPr>
      </w:pPr>
      <w:r>
        <w:rPr>
          <w:b/>
          <w:bCs/>
          <w:sz w:val="24"/>
          <w:szCs w:val="24"/>
          <w:u w:val="single"/>
        </w:rPr>
        <w:t>CNN-Bi</w:t>
      </w:r>
      <w:r w:rsidR="00FE6449">
        <w:rPr>
          <w:b/>
          <w:bCs/>
          <w:sz w:val="24"/>
          <w:szCs w:val="24"/>
          <w:u w:val="single"/>
        </w:rPr>
        <w:t>LSTM</w:t>
      </w:r>
    </w:p>
    <w:p w14:paraId="1AF8988D" w14:textId="2964C7B1" w:rsidR="00B20117" w:rsidRPr="00B20117" w:rsidRDefault="004010AE" w:rsidP="004010AE">
      <w:pPr>
        <w:ind w:firstLine="720"/>
      </w:pPr>
      <w:r>
        <w:t xml:space="preserve">CNN-BiLSTM is selected to combine the two complementary inductive biases already validated individually – CNN local pattern extraction and BiLSTM bidirectional context – and test whether their combination yields addictive or synergistic gains over either component alone. </w:t>
      </w:r>
      <w:r>
        <w:rPr>
          <w:noProof/>
        </w:rPr>
        <w:t xml:space="preserve">Zhuang &amp; Cao (2022) apply CNN-BiLSTM to short-term traffic flow prediction with multi-component sensor inputs and show that bidirectional context over CNN-extracted </w:t>
      </w:r>
      <w:r>
        <w:rPr>
          <w:noProof/>
        </w:rPr>
        <w:lastRenderedPageBreak/>
        <w:t>features reduces prediction errors more than either component in isolation. In Malaysian transit ridership, this combination is particularly relevant for mid-window events: a public holiday falling in the middle of the look-back window creates a local pattern that the CNN can detect spatially, and whose temporal position in the window is best contextualised bidirectionally. CNN-BiLSTM is the most expressive LSTM-family model before explicit spatial stream decoupling is introduced via ST-LSTM.</w:t>
      </w:r>
    </w:p>
    <w:p w14:paraId="10CEBB45" w14:textId="3A4F2E47" w:rsidR="00FE6449" w:rsidRPr="00B20117" w:rsidRDefault="00B20117">
      <w:pPr>
        <w:pStyle w:val="Heading2"/>
        <w:numPr>
          <w:ilvl w:val="3"/>
          <w:numId w:val="3"/>
        </w:numPr>
        <w:rPr>
          <w:b/>
          <w:bCs/>
          <w:sz w:val="24"/>
          <w:szCs w:val="24"/>
          <w:u w:val="single"/>
        </w:rPr>
      </w:pPr>
      <w:r>
        <w:rPr>
          <w:b/>
          <w:bCs/>
          <w:sz w:val="24"/>
          <w:szCs w:val="24"/>
          <w:u w:val="single"/>
        </w:rPr>
        <w:t>ST-</w:t>
      </w:r>
      <w:r w:rsidR="00FE6449">
        <w:rPr>
          <w:b/>
          <w:bCs/>
          <w:sz w:val="24"/>
          <w:szCs w:val="24"/>
          <w:u w:val="single"/>
        </w:rPr>
        <w:t>LSTM</w:t>
      </w:r>
    </w:p>
    <w:p w14:paraId="2BF18160" w14:textId="6FAC7529" w:rsidR="00A55A06" w:rsidRPr="00A55A06" w:rsidRDefault="009434AF" w:rsidP="009434AF">
      <w:pPr>
        <w:ind w:firstLine="720"/>
      </w:pPr>
      <w:r>
        <w:t xml:space="preserve">ST-LSTM is selected as the canonical bridge model between the LSTM-family and graph-based series, introducing explicit spatial encoding as a separate parallel stream rather than forcing the LSTM to encode both temporal dynamics and feature interactions in a single hidden state. </w:t>
      </w:r>
      <w:r>
        <w:rPr>
          <w:noProof/>
        </w:rPr>
        <w:t>Cui et al. (2025) apply a multi-stream approach to urban rail passenger flow prediction using multi-source big data and demostrate that decoupling temporal sequence modelling from cross-sensor spatial feature aggregation improves accuracy for datasets spanning structurally heterogeneous sources. In this study, the 79-features input spans eight structurally distinct sources – ridership, fuel, rainfall, population, GTFS, OSM, GADM, and temporal – and the spatial encoder explicitly captures which feature groups persistently co-activate, a complementary signal to the temporal trajectory captured by the LSTM. ST-LSTM serves as the canonical reference model for the entire codebase: all subsequent model implementations follow its training loop, output structure, and comparison table logic.</w:t>
      </w:r>
    </w:p>
    <w:p w14:paraId="2576AE3F" w14:textId="2457C2C7" w:rsidR="00BF5071" w:rsidRDefault="00BF5071">
      <w:pPr>
        <w:pStyle w:val="Heading2"/>
        <w:numPr>
          <w:ilvl w:val="2"/>
          <w:numId w:val="3"/>
        </w:numPr>
        <w:rPr>
          <w:b/>
          <w:bCs/>
          <w:sz w:val="24"/>
          <w:szCs w:val="24"/>
          <w:u w:val="single"/>
        </w:rPr>
      </w:pPr>
      <w:r>
        <w:rPr>
          <w:b/>
          <w:bCs/>
          <w:sz w:val="24"/>
          <w:szCs w:val="24"/>
          <w:u w:val="single"/>
        </w:rPr>
        <w:t>Graph Models</w:t>
      </w:r>
    </w:p>
    <w:p w14:paraId="09EDC492" w14:textId="05218970" w:rsidR="00B20117" w:rsidRDefault="00B20117">
      <w:pPr>
        <w:pStyle w:val="Heading2"/>
        <w:numPr>
          <w:ilvl w:val="3"/>
          <w:numId w:val="3"/>
        </w:numPr>
        <w:rPr>
          <w:b/>
          <w:bCs/>
          <w:sz w:val="24"/>
          <w:szCs w:val="24"/>
          <w:u w:val="single"/>
        </w:rPr>
      </w:pPr>
      <w:r>
        <w:rPr>
          <w:b/>
          <w:bCs/>
          <w:sz w:val="24"/>
          <w:szCs w:val="24"/>
          <w:u w:val="single"/>
        </w:rPr>
        <w:t>STGCN</w:t>
      </w:r>
    </w:p>
    <w:p w14:paraId="4C3B5EED" w14:textId="428E04BD" w:rsidR="00B20117" w:rsidRPr="00B20117" w:rsidRDefault="00894A83" w:rsidP="00894A83">
      <w:pPr>
        <w:ind w:firstLine="720"/>
      </w:pPr>
      <w:r>
        <w:t xml:space="preserve">STGCN is selected as the foundational graph-based baseline because it establishes how much a fixed, pre-computed inter-feature correlation graph contributes over purely sequential or spatially implicit models. </w:t>
      </w:r>
      <w:r>
        <w:rPr>
          <w:noProof/>
        </w:rPr>
        <w:t xml:space="preserve">Deng (2025) applies STGCN with a spatiotemporal kernel to traffic flow prediction and confirms that interleaving Chebyshev graph convolution with temporal gated convolution captures relational dependencies that purely recurrent models cannot, even when the graph is static and pre-computed. In this study, the 79 features originate from eight structurally different sources whose inter-feature correlations are domain-meaningful: adjacent ridership lines co-vary across the transit network; fuel prices exhibit an inverse correlation with ridership on price-change days; rainfall co-varies with ridership suppression. Encoding these relationships as a Pearson graph allows message passing to propagate signals along correlated feature nodes rather than processing all features uniformly. </w:t>
      </w:r>
      <w:r>
        <w:rPr>
          <w:noProof/>
        </w:rPr>
        <w:lastRenderedPageBreak/>
        <w:t>STGCN marks the transition from implicit spatial encoding (ST-LSTM) to explicit graph-structured encoding.</w:t>
      </w:r>
    </w:p>
    <w:p w14:paraId="3681A7EF" w14:textId="3E524562" w:rsidR="00B20117" w:rsidRDefault="00B20117">
      <w:pPr>
        <w:pStyle w:val="Heading2"/>
        <w:numPr>
          <w:ilvl w:val="3"/>
          <w:numId w:val="3"/>
        </w:numPr>
        <w:rPr>
          <w:b/>
          <w:bCs/>
          <w:sz w:val="24"/>
          <w:szCs w:val="24"/>
          <w:u w:val="single"/>
        </w:rPr>
      </w:pPr>
      <w:r>
        <w:rPr>
          <w:b/>
          <w:bCs/>
          <w:sz w:val="24"/>
          <w:szCs w:val="24"/>
          <w:u w:val="single"/>
        </w:rPr>
        <w:t>ASTGCN</w:t>
      </w:r>
    </w:p>
    <w:p w14:paraId="78E43341" w14:textId="5B9FD143" w:rsidR="00B20117" w:rsidRPr="00B20117" w:rsidRDefault="00560890" w:rsidP="00347B24">
      <w:pPr>
        <w:ind w:firstLine="720"/>
      </w:pPr>
      <w:r>
        <w:t xml:space="preserve">ASTGCN is selected to determine whether learnable multi-head attention over both graph nodes (spatial attention) and timesteps (temporal attention) improves upon the fixed gated convolutions of STGCN. </w:t>
      </w:r>
      <w:r>
        <w:rPr>
          <w:noProof/>
        </w:rPr>
        <w:t xml:space="preserve">Cui et al. (2023) present ADSTGCN, a dynamic adaptive extension of ASTGCN for multi-step traffic forecasting, and demostrate that dual spatial and temporal attention substantially improves sensitivity to non-stationary input patterns compared to static graph message-passing alone. In transit ridership forecasting, the most informative subset of features and the most predictive timesteps vary by context: on a normal weekday the commuter-line ridership and day-of-week encoding are most informative, while during a holiday period the holiday-flag features and fuel-trend features dominate. ASTGCN’s per-layer dynamic re-weighting of which nodes and which timesteps to attend to allows the model to adapt this weighting per input sample. It bridges the graph-based and attention-based series by retaining the graph backbone of STGCN while adding attention on </w:t>
      </w:r>
      <w:r w:rsidR="008E0CBD">
        <w:rPr>
          <w:noProof/>
        </w:rPr>
        <w:t>spatiotemporal</w:t>
      </w:r>
      <w:r>
        <w:rPr>
          <w:noProof/>
        </w:rPr>
        <w:t xml:space="preserve"> dimensions.</w:t>
      </w:r>
    </w:p>
    <w:p w14:paraId="2FBF8E14" w14:textId="456C744C" w:rsidR="00B20117" w:rsidRDefault="00B20117">
      <w:pPr>
        <w:pStyle w:val="Heading2"/>
        <w:numPr>
          <w:ilvl w:val="3"/>
          <w:numId w:val="3"/>
        </w:numPr>
        <w:rPr>
          <w:b/>
          <w:bCs/>
          <w:sz w:val="24"/>
          <w:szCs w:val="24"/>
          <w:u w:val="single"/>
        </w:rPr>
      </w:pPr>
      <w:r>
        <w:rPr>
          <w:b/>
          <w:bCs/>
          <w:sz w:val="24"/>
          <w:szCs w:val="24"/>
          <w:u w:val="single"/>
        </w:rPr>
        <w:t>STSGCN</w:t>
      </w:r>
    </w:p>
    <w:p w14:paraId="2BFC9500" w14:textId="11823ADB" w:rsidR="00B20117" w:rsidRPr="00B20117" w:rsidRDefault="00517D0E" w:rsidP="00517D0E">
      <w:pPr>
        <w:ind w:firstLine="720"/>
      </w:pPr>
      <w:r>
        <w:t xml:space="preserve">STSGCN is selected to test whether fusing spatial and temporal graph operations into a single synchronous adjacency – rather than alternating them in separate blocks as STGCN does – captures joint spatiotemporal correlations more effectively. </w:t>
      </w:r>
      <w:r>
        <w:rPr>
          <w:noProof/>
        </w:rPr>
        <w:t>Chen et al. (2023) apply STSGCN to expressway traffic flow prediction during holiday periods and demonstrate that the synchronous graph approach better captures simultaneous spatial correlation changes and temporal pattern shifts during anomalous events. Malaysian transit ridership during public holidays exhibits precisely this behaviour: multiple feature nodes – ridership lines, holiday flags, fuel price indicators – shift simultaneously rather than sequentially, making joint synchronous encoding more naturally aligned with the data generating process. STSGCN tests whether replacing interleaved ST-Conv blocks with a unified 3N x 3N synchronous graph delivers measurable improvement at comparable parameter count.</w:t>
      </w:r>
    </w:p>
    <w:p w14:paraId="3D61B7B5" w14:textId="71E3451D" w:rsidR="00B20117" w:rsidRDefault="00B20117">
      <w:pPr>
        <w:pStyle w:val="Heading2"/>
        <w:numPr>
          <w:ilvl w:val="3"/>
          <w:numId w:val="3"/>
        </w:numPr>
        <w:rPr>
          <w:b/>
          <w:bCs/>
          <w:sz w:val="24"/>
          <w:szCs w:val="24"/>
          <w:u w:val="single"/>
        </w:rPr>
      </w:pPr>
      <w:r>
        <w:rPr>
          <w:b/>
          <w:bCs/>
          <w:sz w:val="24"/>
          <w:szCs w:val="24"/>
          <w:u w:val="single"/>
        </w:rPr>
        <w:t>STFGNN</w:t>
      </w:r>
    </w:p>
    <w:p w14:paraId="3EDF1633" w14:textId="2CDF9181" w:rsidR="00AC3EE1" w:rsidRPr="00AC3EE1" w:rsidRDefault="00AC3EE1" w:rsidP="00F01E04">
      <w:pPr>
        <w:ind w:firstLine="720"/>
        <w:rPr>
          <w:noProof/>
        </w:rPr>
      </w:pPr>
      <w:r>
        <w:t xml:space="preserve">STFGNN is selected to test whether using two complementary graphs, one capturing cross-feature co-variation at each moment (spatial: </w:t>
      </w:r>
      <m:oMath>
        <m:sSub>
          <m:sSubPr>
            <m:ctrlPr>
              <w:rPr>
                <w:rFonts w:ascii="Cambria Math" w:hAnsi="Cambria Math"/>
              </w:rPr>
            </m:ctrlPr>
          </m:sSubPr>
          <m:e>
            <m:r>
              <w:rPr>
                <w:rFonts w:ascii="Cambria Math" w:hAnsi="Cambria Math"/>
              </w:rPr>
              <m:t>A</m:t>
            </m:r>
          </m:e>
          <m:sub>
            <m:r>
              <w:rPr>
                <w:rFonts w:ascii="Cambria Math" w:hAnsi="Cambria Math"/>
              </w:rPr>
              <m:t>spa</m:t>
            </m:r>
          </m:sub>
        </m:sSub>
      </m:oMath>
      <w:r>
        <w:t xml:space="preserve">) and one capturing similarity of intra-window temporal profiles across features (temporal: </w:t>
      </w:r>
      <m:oMath>
        <m:sSub>
          <m:sSubPr>
            <m:ctrlPr>
              <w:rPr>
                <w:rFonts w:ascii="Cambria Math" w:hAnsi="Cambria Math"/>
              </w:rPr>
            </m:ctrlPr>
          </m:sSubPr>
          <m:e>
            <m:r>
              <w:rPr>
                <w:rFonts w:ascii="Cambria Math" w:hAnsi="Cambria Math"/>
              </w:rPr>
              <m:t>A</m:t>
            </m:r>
          </m:e>
          <m:sub>
            <m:r>
              <w:rPr>
                <w:rFonts w:ascii="Cambria Math" w:hAnsi="Cambria Math"/>
              </w:rPr>
              <m:t>tem</m:t>
            </m:r>
          </m:sub>
        </m:sSub>
      </m:oMath>
      <w:r>
        <w:t xml:space="preserve">) and fusing them via a learnable gate improves over single-graph models. </w:t>
      </w:r>
      <w:r>
        <w:rPr>
          <w:noProof/>
        </w:rPr>
        <w:t xml:space="preserve">Chang et al. (2025) present a related spatiotemporal fusion </w:t>
      </w:r>
      <w:r>
        <w:rPr>
          <w:noProof/>
        </w:rPr>
        <w:lastRenderedPageBreak/>
        <w:t xml:space="preserve">approach with dynamic sparse graph convolution and demostrate that separating spatiotemporal relational priors captures distinct aspects of the data structure that a single static graph conflates. In Malaysian ridership data, two features may co-vary strongly at a single point in time (high spatial correlatino in </w:t>
      </w:r>
      <m:oMath>
        <m:sSub>
          <m:sSubPr>
            <m:ctrlPr>
              <w:rPr>
                <w:rFonts w:ascii="Cambria Math" w:hAnsi="Cambria Math"/>
                <w:noProof/>
              </w:rPr>
            </m:ctrlPr>
          </m:sSubPr>
          <m:e>
            <m:r>
              <w:rPr>
                <w:rFonts w:ascii="Cambria Math" w:hAnsi="Cambria Math"/>
                <w:noProof/>
              </w:rPr>
              <m:t>A</m:t>
            </m:r>
          </m:e>
          <m:sub>
            <m:r>
              <w:rPr>
                <w:rFonts w:ascii="Cambria Math" w:hAnsi="Cambria Math"/>
                <w:noProof/>
              </w:rPr>
              <m:t>spa</m:t>
            </m:r>
          </m:sub>
        </m:sSub>
      </m:oMath>
      <w:r>
        <w:rPr>
          <w:noProof/>
        </w:rPr>
        <w:t xml:space="preserve">) but exhibits different daily profiles across 14-day window (low temporal correlation in </w:t>
      </w:r>
      <m:oMath>
        <m:sSub>
          <m:sSubPr>
            <m:ctrlPr>
              <w:rPr>
                <w:rFonts w:ascii="Cambria Math" w:hAnsi="Cambria Math"/>
              </w:rPr>
            </m:ctrlPr>
          </m:sSubPr>
          <m:e>
            <m:r>
              <w:rPr>
                <w:rFonts w:ascii="Cambria Math" w:hAnsi="Cambria Math"/>
              </w:rPr>
              <m:t>A</m:t>
            </m:r>
          </m:e>
          <m:sub>
            <m:r>
              <w:rPr>
                <w:rFonts w:ascii="Cambria Math" w:hAnsi="Cambria Math"/>
              </w:rPr>
              <m:t>tem</m:t>
            </m:r>
          </m:sub>
        </m:sSub>
      </m:oMath>
      <w:r>
        <w:rPr>
          <w:noProof/>
        </w:rPr>
        <w:t xml:space="preserve">). For instance, a fuel price series and a rainfall series may both dip on the same days due to coincidence, giving moderate </w:t>
      </w:r>
      <m:oMath>
        <m:sSub>
          <m:sSubPr>
            <m:ctrlPr>
              <w:rPr>
                <w:rFonts w:ascii="Cambria Math" w:hAnsi="Cambria Math"/>
                <w:noProof/>
              </w:rPr>
            </m:ctrlPr>
          </m:sSubPr>
          <m:e>
            <m:r>
              <w:rPr>
                <w:rFonts w:ascii="Cambria Math" w:hAnsi="Cambria Math"/>
                <w:noProof/>
              </w:rPr>
              <m:t>A</m:t>
            </m:r>
          </m:e>
          <m:sub>
            <m:r>
              <w:rPr>
                <w:rFonts w:ascii="Cambria Math" w:hAnsi="Cambria Math"/>
                <w:noProof/>
              </w:rPr>
              <m:t>spa</m:t>
            </m:r>
          </m:sub>
        </m:sSub>
      </m:oMath>
      <w:r>
        <w:rPr>
          <w:noProof/>
        </w:rPr>
        <w:t xml:space="preserve"> correlation, while their intra-window temporal trajectories are structurally dissimilar in </w:t>
      </w:r>
      <m:oMath>
        <m:sSub>
          <m:sSubPr>
            <m:ctrlPr>
              <w:rPr>
                <w:rFonts w:ascii="Cambria Math" w:hAnsi="Cambria Math"/>
              </w:rPr>
            </m:ctrlPr>
          </m:sSubPr>
          <m:e>
            <m:r>
              <w:rPr>
                <w:rFonts w:ascii="Cambria Math" w:hAnsi="Cambria Math"/>
              </w:rPr>
              <m:t>A</m:t>
            </m:r>
          </m:e>
          <m:sub>
            <m:r>
              <w:rPr>
                <w:rFonts w:ascii="Cambria Math" w:hAnsi="Cambria Math"/>
              </w:rPr>
              <m:t>tem</m:t>
            </m:r>
          </m:sub>
        </m:sSub>
      </m:oMath>
      <w:r>
        <w:rPr>
          <w:noProof/>
        </w:rPr>
        <w:t>. STFGNN is the only model in the study that encodes both types of inter-feature similarity simultaneously via dedicated separate graphs.</w:t>
      </w:r>
    </w:p>
    <w:p w14:paraId="3B1A1939" w14:textId="2A810774" w:rsidR="00B20117" w:rsidRDefault="00B20117">
      <w:pPr>
        <w:pStyle w:val="Heading2"/>
        <w:numPr>
          <w:ilvl w:val="3"/>
          <w:numId w:val="3"/>
        </w:numPr>
        <w:rPr>
          <w:b/>
          <w:bCs/>
          <w:sz w:val="24"/>
          <w:szCs w:val="24"/>
          <w:u w:val="single"/>
        </w:rPr>
      </w:pPr>
      <w:r>
        <w:rPr>
          <w:b/>
          <w:bCs/>
          <w:sz w:val="24"/>
          <w:szCs w:val="24"/>
          <w:u w:val="single"/>
        </w:rPr>
        <w:t>PDR-STGCN</w:t>
      </w:r>
    </w:p>
    <w:p w14:paraId="5DC6901D" w14:textId="51C8AC4A" w:rsidR="00B20117" w:rsidRPr="00B20117" w:rsidRDefault="003064DD" w:rsidP="008D653A">
      <w:pPr>
        <w:ind w:firstLine="720"/>
      </w:pPr>
      <w:r>
        <w:t xml:space="preserve">PDR-STGCN is a novel architecture developed in this study within the graph-based series, designed to address two key limitations of STGCN: the static graph’s inability to adapt to sample-specific inter-feature relationships, and the single-channel input’s failure to explicitly encode the periodicity intrinsic to transit ridership. The architecture published by </w:t>
      </w:r>
      <w:r>
        <w:rPr>
          <w:noProof/>
        </w:rPr>
        <w:t>Hu et al. (2026) demostrates that combining multi-scale periodic fusion with a dynamic relational graph significantly improves traffic forecasting performance over the static-graph STGCN baseline, motivating its adoption for transit ridership which exhibits particularly strong weekly seasonality driven by Malaysian work and school calendars. The dynamic attention-based adjacency allows the model to construct a different inter-feature graph for each input sample, capturing contextual correlations that a static Pearson graph cannot represent. PDR-STGCN is the most expressive and novel graph model in this research.</w:t>
      </w:r>
    </w:p>
    <w:p w14:paraId="3DF34A07" w14:textId="04EAEF15" w:rsidR="00B20117" w:rsidRPr="00B20117" w:rsidRDefault="00B20117">
      <w:pPr>
        <w:pStyle w:val="Heading2"/>
        <w:numPr>
          <w:ilvl w:val="3"/>
          <w:numId w:val="3"/>
        </w:numPr>
        <w:rPr>
          <w:b/>
          <w:bCs/>
          <w:sz w:val="24"/>
          <w:szCs w:val="24"/>
          <w:u w:val="single"/>
        </w:rPr>
      </w:pPr>
      <w:r>
        <w:rPr>
          <w:b/>
          <w:bCs/>
          <w:sz w:val="24"/>
          <w:szCs w:val="24"/>
          <w:u w:val="single"/>
        </w:rPr>
        <w:t>MTGNN</w:t>
      </w:r>
    </w:p>
    <w:p w14:paraId="2F137D3C" w14:textId="0B59444B" w:rsidR="008D653A" w:rsidRPr="008D653A" w:rsidRDefault="008D653A" w:rsidP="00AB2E7D">
      <w:pPr>
        <w:ind w:firstLine="720"/>
      </w:pPr>
      <w:r>
        <w:t>MTGNN is selected to test whether learning the inter-feature graph adjacency end-to-end from node embedding matrices instead of deriving it from pre-computed Pearson correlation will produce a more task-specific and expressive relational structure. Wu et al. (2025) present a multi-dynamic temporal representation GCN for traffic flow prediction and demonstrate that end-to-end learned adjacency with multi-scale dilated inception outperforms static correlation-based graph models by capturing task-relevant inter-node relationships that correlation alone cannot encode. In this study, the Pearson graph used by STGCN, STSGCN, STFGNN, and ASTGCN approximates inter-feature relationships derived from training statistics. It may miss non-linear or task-specific dependencies that only become apparent during gradient descent optimisation. MTGNN’s asymmetric learned adjacency (</w:t>
      </w:r>
      <m:oMath>
        <m:r>
          <w:rPr>
            <w:rFonts w:ascii="Cambria Math" w:hAnsi="Cambria Math"/>
          </w:rPr>
          <m:t>A≠</m:t>
        </m:r>
        <m:sSup>
          <m:sSupPr>
            <m:ctrlPr>
              <w:rPr>
                <w:rFonts w:ascii="Cambria Math" w:hAnsi="Cambria Math"/>
              </w:rPr>
            </m:ctrlPr>
          </m:sSupPr>
          <m:e>
            <m:r>
              <w:rPr>
                <w:rFonts w:ascii="Cambria Math" w:hAnsi="Cambria Math"/>
              </w:rPr>
              <m:t>A</m:t>
            </m:r>
          </m:e>
          <m:sup>
            <m:r>
              <w:rPr>
                <w:rFonts w:ascii="Cambria Math" w:hAnsi="Cambria Math"/>
              </w:rPr>
              <m:t>T</m:t>
            </m:r>
          </m:sup>
        </m:sSup>
      </m:oMath>
      <w:r>
        <w:t xml:space="preserve">) </w:t>
      </w:r>
      <w:r>
        <w:lastRenderedPageBreak/>
        <w:t>additionally allows asymmetric influence – feature i can influence feature j without the reverse – which is suitable for causally asymmetric relationships such as fuel price affecting ridership but not vice versa</w:t>
      </w:r>
      <w:r w:rsidR="00AB2E7D">
        <w:t>.</w:t>
      </w:r>
    </w:p>
    <w:p w14:paraId="1AFF43F2" w14:textId="60CB4DE7" w:rsidR="00BF5071" w:rsidRDefault="00BF5071">
      <w:pPr>
        <w:pStyle w:val="Heading2"/>
        <w:numPr>
          <w:ilvl w:val="2"/>
          <w:numId w:val="3"/>
        </w:numPr>
        <w:rPr>
          <w:b/>
          <w:bCs/>
          <w:sz w:val="24"/>
          <w:szCs w:val="24"/>
          <w:u w:val="single"/>
        </w:rPr>
      </w:pPr>
      <w:r>
        <w:rPr>
          <w:b/>
          <w:bCs/>
          <w:sz w:val="24"/>
          <w:szCs w:val="24"/>
          <w:u w:val="single"/>
        </w:rPr>
        <w:t>Attention Models</w:t>
      </w:r>
    </w:p>
    <w:p w14:paraId="5D397A87" w14:textId="5B1CCE45" w:rsidR="00B20117" w:rsidRDefault="00B20117">
      <w:pPr>
        <w:pStyle w:val="Heading2"/>
        <w:numPr>
          <w:ilvl w:val="3"/>
          <w:numId w:val="3"/>
        </w:numPr>
        <w:rPr>
          <w:b/>
          <w:bCs/>
          <w:sz w:val="24"/>
          <w:szCs w:val="24"/>
          <w:u w:val="single"/>
        </w:rPr>
      </w:pPr>
      <w:proofErr w:type="spellStart"/>
      <w:r>
        <w:rPr>
          <w:b/>
          <w:bCs/>
          <w:sz w:val="24"/>
          <w:szCs w:val="24"/>
          <w:u w:val="single"/>
        </w:rPr>
        <w:t>Autoformer</w:t>
      </w:r>
      <w:proofErr w:type="spellEnd"/>
    </w:p>
    <w:p w14:paraId="22F4C8F3" w14:textId="1E8D03CF" w:rsidR="00B20117" w:rsidRPr="00B20117" w:rsidRDefault="00480396" w:rsidP="00480396">
      <w:pPr>
        <w:ind w:firstLine="720"/>
      </w:pPr>
      <w:proofErr w:type="spellStart"/>
      <w:r>
        <w:t>Autoformer</w:t>
      </w:r>
      <w:proofErr w:type="spellEnd"/>
      <w:r>
        <w:t xml:space="preserve"> is selected to test whether explicit series decomposition into trend and seasonal components, combined with FFT-based autocorrelation attention, outperforms graph-based models for transit ridership, which is a periodic multi-scale signal. </w:t>
      </w:r>
      <w:r>
        <w:rPr>
          <w:noProof/>
        </w:rPr>
        <w:t>Ma &amp; Zhang (2025) extend Autoformer with multi-scale feature fusion for time series prediction and demostrate that the decompostion-based approach achieves stable performance on strongly periodic signals by cleanly separating trend recovery from seasonal pattern matching, validating the approach for periodic demand signals. Malaysian transit ridership in non-MCO periods exhibits largely stationary weekly and daily preiodicity, making the spectral autocorrelation mechanism theoretically well-suited: it can directly discover the 7-day dominant lag from data rather than assuming it. Autoformer introduces the hypothesis that ridership prediction problem is better framed as signal decomposition than as graph-structured feature propagation.</w:t>
      </w:r>
    </w:p>
    <w:p w14:paraId="619404CC" w14:textId="451B077F" w:rsidR="00B20117" w:rsidRPr="00B20117" w:rsidRDefault="00B20117">
      <w:pPr>
        <w:pStyle w:val="Heading2"/>
        <w:numPr>
          <w:ilvl w:val="3"/>
          <w:numId w:val="3"/>
        </w:numPr>
        <w:rPr>
          <w:b/>
          <w:bCs/>
          <w:sz w:val="24"/>
          <w:szCs w:val="24"/>
          <w:u w:val="single"/>
        </w:rPr>
      </w:pPr>
      <w:r>
        <w:rPr>
          <w:b/>
          <w:bCs/>
          <w:sz w:val="24"/>
          <w:szCs w:val="24"/>
          <w:u w:val="single"/>
        </w:rPr>
        <w:t>Informer</w:t>
      </w:r>
    </w:p>
    <w:p w14:paraId="4FCEDD16" w14:textId="107D5D1F" w:rsidR="003721D3" w:rsidRPr="003721D3" w:rsidRDefault="003721D3" w:rsidP="003721D3">
      <w:pPr>
        <w:ind w:firstLine="720"/>
        <w:rPr>
          <w:noProof/>
        </w:rPr>
      </w:pPr>
      <w:r>
        <w:t xml:space="preserve">Informer is selected as the final comparison model, representing efficient long-sequence transformer forecasting. According to </w:t>
      </w:r>
      <w:r>
        <w:rPr>
          <w:noProof/>
        </w:rPr>
        <w:t xml:space="preserve">Song et al. (2024), they applied a graph attention Informer to long-term traffic flow prediction under event impact and demostrate that ProbSparse attention with distilling achieves competitive accuracy while substantially reducing computational cost relative to full self-attention, validating the approach for transport demand forecasting. In this study at </w:t>
      </w:r>
      <m:oMath>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=14</m:t>
        </m:r>
      </m:oMath>
      <w:r>
        <w:rPr>
          <w:noProof/>
        </w:rPr>
        <w:t xml:space="preserve">, ProbSparse gracefully degenerates to near-full attention (u ~ 13 of 14 queries active), removing approximation error at the cost of no accuracy loss – making the comparison with full-attention models fair. Informer tests whether the generative one-shot decoder, which initialises with recent encoder context and directly produces all </w:t>
      </w:r>
      <m:oMath>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=7</m:t>
        </m:r>
      </m:oMath>
      <w:r>
        <w:rPr>
          <w:noProof/>
        </w:rPr>
        <w:t xml:space="preserve"> steps with autoregression, provides an advantage over the decomposition-decoder approach of Autoformer for multi-step transit ridership prediction.</w:t>
      </w:r>
    </w:p>
    <w:p w14:paraId="04645694" w14:textId="12A70446" w:rsidR="00765625" w:rsidRDefault="00096B40">
      <w:pPr>
        <w:pStyle w:val="Heading2"/>
        <w:numPr>
          <w:ilvl w:val="1"/>
          <w:numId w:val="3"/>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6E900C0B" w14:textId="54990D53" w:rsidR="003F6461" w:rsidRDefault="003F6461" w:rsidP="003F6461">
      <w:pPr>
        <w:ind w:firstLine="720"/>
      </w:pPr>
      <w:r>
        <w:t>HMT-TSF is proposed to address three key limitations identified across 14 baseline models:</w:t>
      </w:r>
    </w:p>
    <w:p w14:paraId="553876B3" w14:textId="4EB19434" w:rsidR="003F6461" w:rsidRDefault="003F6461">
      <w:pPr>
        <w:pStyle w:val="ListParagraph"/>
        <w:numPr>
          <w:ilvl w:val="0"/>
          <w:numId w:val="10"/>
        </w:numPr>
      </w:pPr>
      <w:r>
        <w:rPr>
          <w:b/>
          <w:bCs/>
        </w:rPr>
        <w:lastRenderedPageBreak/>
        <w:t>No model captures all three types of structure simultaneously.</w:t>
      </w:r>
      <w:r>
        <w:t xml:space="preserve"> LSTM family models handle temporal sequences well but have no graph structure and no regime awareness; graph-based models propagate inter-feature correlations but are rigid under distributional shift, attention-based models decompose periodic signals effectively but cannot propagate domain-meaningful feature-to-feature messages.</w:t>
      </w:r>
    </w:p>
    <w:p w14:paraId="222F505A" w14:textId="4FD47513" w:rsidR="00FE7EC6" w:rsidRDefault="0096621B">
      <w:pPr>
        <w:pStyle w:val="ListParagraph"/>
        <w:numPr>
          <w:ilvl w:val="0"/>
          <w:numId w:val="10"/>
        </w:numPr>
      </w:pPr>
      <w:r>
        <w:rPr>
          <w:b/>
          <w:bCs/>
        </w:rPr>
        <w:t xml:space="preserve">No model explicitly handles the MCO regime shift. </w:t>
      </w:r>
      <w:r>
        <w:t>All graph-based models use static. Pearson graphs computed on training data; the MCO pandemic caused a structural break in ridership patterns that invalidates these learned correlations. Static normalisation strategies compound this problem by applying fixed-scale transformations across data from fundamentally different regimes.</w:t>
      </w:r>
    </w:p>
    <w:p w14:paraId="4C1134A6" w14:textId="2FCB3E43" w:rsidR="00207AC7" w:rsidRPr="003F6461" w:rsidRDefault="0096621B">
      <w:pPr>
        <w:pStyle w:val="ListParagraph"/>
        <w:numPr>
          <w:ilvl w:val="0"/>
          <w:numId w:val="10"/>
        </w:numPr>
      </w:pPr>
      <w:r>
        <w:rPr>
          <w:b/>
          <w:bCs/>
        </w:rPr>
        <w:t xml:space="preserve">No model uses domain-aware feature grouping. </w:t>
      </w:r>
      <w:r>
        <w:t>All 14 baselines treat the 79 features as a flat vector, giving equal initial weight to structurally disparate sources.</w:t>
      </w:r>
    </w:p>
    <w:p w14:paraId="557A73E2" w14:textId="2CC72746" w:rsidR="00F80C70" w:rsidRDefault="00F80C70">
      <w:pPr>
        <w:pStyle w:val="Heading2"/>
        <w:numPr>
          <w:ilvl w:val="2"/>
          <w:numId w:val="3"/>
        </w:numPr>
        <w:rPr>
          <w:b/>
          <w:bCs/>
          <w:sz w:val="24"/>
          <w:szCs w:val="24"/>
          <w:u w:val="single"/>
        </w:rPr>
      </w:pPr>
      <w:r>
        <w:rPr>
          <w:b/>
          <w:bCs/>
          <w:sz w:val="24"/>
          <w:szCs w:val="24"/>
          <w:u w:val="single"/>
        </w:rPr>
        <w:t>Feature Selection</w:t>
      </w:r>
    </w:p>
    <w:p w14:paraId="7B59B317" w14:textId="1065E1C6" w:rsidR="009C2312" w:rsidRDefault="009A53AB" w:rsidP="009A53AB">
      <w:pPr>
        <w:ind w:firstLine="720"/>
      </w:pPr>
      <w:r>
        <w:t>All 79 inputs features are organized into five semantic groups. Two groups (temporal, external) are non-contiguous in the aligned column order, so each group is defined as one or more index segments.</w:t>
      </w:r>
    </w:p>
    <w:tbl>
      <w:tblPr>
        <w:tblStyle w:val="TableGrid"/>
        <w:tblW w:w="9067" w:type="dxa"/>
        <w:tblLook w:val="04A0" w:firstRow="1" w:lastRow="0" w:firstColumn="1" w:lastColumn="0" w:noHBand="0" w:noVBand="1"/>
      </w:tblPr>
      <w:tblGrid>
        <w:gridCol w:w="1999"/>
        <w:gridCol w:w="2107"/>
        <w:gridCol w:w="992"/>
        <w:gridCol w:w="3969"/>
      </w:tblGrid>
      <w:tr w:rsidR="009A53AB" w14:paraId="57B087AF" w14:textId="77777777" w:rsidTr="009A53AB">
        <w:tc>
          <w:tcPr>
            <w:tcW w:w="1999" w:type="dxa"/>
            <w:shd w:val="clear" w:color="auto" w:fill="C1E4F5" w:themeFill="accent1" w:themeFillTint="33"/>
          </w:tcPr>
          <w:p w14:paraId="087310CF" w14:textId="1964EC21" w:rsidR="009A53AB" w:rsidRPr="009A53AB" w:rsidRDefault="009A53AB" w:rsidP="009A53AB">
            <w:pPr>
              <w:rPr>
                <w:b/>
                <w:bCs/>
              </w:rPr>
            </w:pPr>
            <w:r>
              <w:rPr>
                <w:b/>
                <w:bCs/>
              </w:rPr>
              <w:t>Group</w:t>
            </w:r>
          </w:p>
        </w:tc>
        <w:tc>
          <w:tcPr>
            <w:tcW w:w="2107" w:type="dxa"/>
            <w:shd w:val="clear" w:color="auto" w:fill="C1E4F5" w:themeFill="accent1" w:themeFillTint="33"/>
          </w:tcPr>
          <w:p w14:paraId="41588D52" w14:textId="4DCE1BD3" w:rsidR="009A53AB" w:rsidRPr="009A53AB" w:rsidRDefault="009A53AB" w:rsidP="009A53AB">
            <w:pPr>
              <w:rPr>
                <w:b/>
                <w:bCs/>
              </w:rPr>
            </w:pPr>
            <w:r>
              <w:rPr>
                <w:b/>
                <w:bCs/>
              </w:rPr>
              <w:t>Indices</w:t>
            </w:r>
          </w:p>
        </w:tc>
        <w:tc>
          <w:tcPr>
            <w:tcW w:w="992" w:type="dxa"/>
            <w:shd w:val="clear" w:color="auto" w:fill="C1E4F5" w:themeFill="accent1" w:themeFillTint="33"/>
          </w:tcPr>
          <w:p w14:paraId="7D325E7F" w14:textId="48C86A90" w:rsidR="009A53AB" w:rsidRPr="009A53AB" w:rsidRDefault="009A53AB" w:rsidP="009A53AB">
            <w:pPr>
              <w:rPr>
                <w:b/>
                <w:bCs/>
              </w:rPr>
            </w:pPr>
            <w:r>
              <w:rPr>
                <w:b/>
                <w:bCs/>
              </w:rPr>
              <w:t>Count</w:t>
            </w:r>
          </w:p>
        </w:tc>
        <w:tc>
          <w:tcPr>
            <w:tcW w:w="3969" w:type="dxa"/>
            <w:shd w:val="clear" w:color="auto" w:fill="C1E4F5" w:themeFill="accent1" w:themeFillTint="33"/>
          </w:tcPr>
          <w:p w14:paraId="10603AEE" w14:textId="388A759C" w:rsidR="009A53AB" w:rsidRPr="009A53AB" w:rsidRDefault="009A53AB" w:rsidP="009A53AB">
            <w:pPr>
              <w:rPr>
                <w:b/>
                <w:bCs/>
              </w:rPr>
            </w:pPr>
            <w:r>
              <w:rPr>
                <w:b/>
                <w:bCs/>
              </w:rPr>
              <w:t>Features</w:t>
            </w:r>
          </w:p>
        </w:tc>
      </w:tr>
      <w:tr w:rsidR="009A53AB" w14:paraId="4EE6CC19" w14:textId="77777777" w:rsidTr="009A53AB">
        <w:tc>
          <w:tcPr>
            <w:tcW w:w="1999" w:type="dxa"/>
            <w:shd w:val="clear" w:color="auto" w:fill="F2F2F2" w:themeFill="background1" w:themeFillShade="F2"/>
          </w:tcPr>
          <w:p w14:paraId="2A522742" w14:textId="61DB3CB8" w:rsidR="009A53AB" w:rsidRDefault="009A53AB" w:rsidP="009A53AB">
            <w:pPr>
              <w:jc w:val="left"/>
            </w:pPr>
            <w:r>
              <w:t>Target Context</w:t>
            </w:r>
          </w:p>
        </w:tc>
        <w:tc>
          <w:tcPr>
            <w:tcW w:w="2107" w:type="dxa"/>
          </w:tcPr>
          <w:p w14:paraId="2CB8CAEC" w14:textId="49AAAF3D" w:rsidR="009A53AB" w:rsidRDefault="009A53AB" w:rsidP="009A53AB">
            <w:pPr>
              <w:jc w:val="left"/>
            </w:pPr>
            <w:r>
              <w:t>0 - 12</w:t>
            </w:r>
          </w:p>
        </w:tc>
        <w:tc>
          <w:tcPr>
            <w:tcW w:w="992" w:type="dxa"/>
          </w:tcPr>
          <w:p w14:paraId="484D7F33" w14:textId="6B2C538A" w:rsidR="009A53AB" w:rsidRDefault="009A53AB" w:rsidP="009A53AB">
            <w:pPr>
              <w:jc w:val="left"/>
            </w:pPr>
            <w:r>
              <w:t>13</w:t>
            </w:r>
          </w:p>
        </w:tc>
        <w:tc>
          <w:tcPr>
            <w:tcW w:w="3969" w:type="dxa"/>
          </w:tcPr>
          <w:p w14:paraId="60159B98" w14:textId="516D87FA" w:rsidR="009A53AB" w:rsidRDefault="009A53AB" w:rsidP="009A53AB">
            <w:pPr>
              <w:jc w:val="left"/>
            </w:pPr>
            <w:r>
              <w:t xml:space="preserve">12 service-line ridership values + </w:t>
            </w:r>
            <w:proofErr w:type="spellStart"/>
            <w:r>
              <w:t>total_ridership</w:t>
            </w:r>
            <w:proofErr w:type="spellEnd"/>
          </w:p>
        </w:tc>
      </w:tr>
      <w:tr w:rsidR="009A53AB" w14:paraId="31D2BBDF" w14:textId="77777777" w:rsidTr="009A53AB">
        <w:tc>
          <w:tcPr>
            <w:tcW w:w="1999" w:type="dxa"/>
            <w:shd w:val="clear" w:color="auto" w:fill="F2F2F2" w:themeFill="background1" w:themeFillShade="F2"/>
          </w:tcPr>
          <w:p w14:paraId="0730B2D4" w14:textId="44E6878E" w:rsidR="009A53AB" w:rsidRDefault="009A53AB" w:rsidP="009A53AB">
            <w:pPr>
              <w:jc w:val="left"/>
            </w:pPr>
            <w:r>
              <w:t>Lag</w:t>
            </w:r>
          </w:p>
        </w:tc>
        <w:tc>
          <w:tcPr>
            <w:tcW w:w="2107" w:type="dxa"/>
          </w:tcPr>
          <w:p w14:paraId="72491706" w14:textId="41DFF0CF" w:rsidR="009A53AB" w:rsidRDefault="009A53AB" w:rsidP="009A53AB">
            <w:pPr>
              <w:jc w:val="left"/>
            </w:pPr>
            <w:r>
              <w:t>13 – 15</w:t>
            </w:r>
          </w:p>
        </w:tc>
        <w:tc>
          <w:tcPr>
            <w:tcW w:w="992" w:type="dxa"/>
          </w:tcPr>
          <w:p w14:paraId="7905413B" w14:textId="1E8DC12F" w:rsidR="009A53AB" w:rsidRDefault="009A53AB" w:rsidP="009A53AB">
            <w:pPr>
              <w:jc w:val="left"/>
            </w:pPr>
            <w:r>
              <w:t>3</w:t>
            </w:r>
          </w:p>
        </w:tc>
        <w:tc>
          <w:tcPr>
            <w:tcW w:w="3969" w:type="dxa"/>
          </w:tcPr>
          <w:p w14:paraId="59A45E9B" w14:textId="4FC74F80" w:rsidR="009A53AB" w:rsidRDefault="009A53AB" w:rsidP="009A53AB">
            <w:pPr>
              <w:jc w:val="left"/>
            </w:pPr>
            <w:r>
              <w:t>ridership_lag_7, ridership_lag_14, ridership_lag_28</w:t>
            </w:r>
          </w:p>
        </w:tc>
      </w:tr>
      <w:tr w:rsidR="009A53AB" w14:paraId="31850BC7" w14:textId="77777777" w:rsidTr="009A53AB">
        <w:tc>
          <w:tcPr>
            <w:tcW w:w="1999" w:type="dxa"/>
            <w:shd w:val="clear" w:color="auto" w:fill="F2F2F2" w:themeFill="background1" w:themeFillShade="F2"/>
          </w:tcPr>
          <w:p w14:paraId="7C7E290F" w14:textId="1FA77B64" w:rsidR="009A53AB" w:rsidRDefault="009A53AB" w:rsidP="009A53AB">
            <w:pPr>
              <w:jc w:val="left"/>
            </w:pPr>
            <w:r>
              <w:t>Temporal/Cyclical</w:t>
            </w:r>
          </w:p>
        </w:tc>
        <w:tc>
          <w:tcPr>
            <w:tcW w:w="2107" w:type="dxa"/>
          </w:tcPr>
          <w:p w14:paraId="0EFA167E" w14:textId="6087DBEE" w:rsidR="009A53AB" w:rsidRDefault="009A53AB" w:rsidP="009A53AB">
            <w:pPr>
              <w:jc w:val="left"/>
            </w:pPr>
            <w:r>
              <w:t xml:space="preserve">16 – 17 </w:t>
            </w:r>
            <w:r w:rsidRPr="009A53AB">
              <w:rPr>
                <w:rFonts w:ascii="Cambria Math" w:hAnsi="Cambria Math" w:cs="Cambria Math"/>
              </w:rPr>
              <w:t>∪</w:t>
            </w:r>
            <w:r>
              <w:t xml:space="preserve"> 33 – 46</w:t>
            </w:r>
          </w:p>
        </w:tc>
        <w:tc>
          <w:tcPr>
            <w:tcW w:w="992" w:type="dxa"/>
          </w:tcPr>
          <w:p w14:paraId="2B3DA4EF" w14:textId="02E4068E" w:rsidR="009A53AB" w:rsidRDefault="009A53AB" w:rsidP="009A53AB">
            <w:pPr>
              <w:jc w:val="left"/>
            </w:pPr>
            <w:r>
              <w:t>16</w:t>
            </w:r>
          </w:p>
        </w:tc>
        <w:tc>
          <w:tcPr>
            <w:tcW w:w="3969" w:type="dxa"/>
          </w:tcPr>
          <w:p w14:paraId="76ED3166" w14:textId="6C8FB9ED" w:rsidR="009A53AB" w:rsidRDefault="009A53AB" w:rsidP="009A53AB">
            <w:pPr>
              <w:jc w:val="left"/>
            </w:pPr>
            <w:r>
              <w:t xml:space="preserve">year, </w:t>
            </w:r>
            <w:proofErr w:type="spellStart"/>
            <w:r>
              <w:t>day_of_year</w:t>
            </w:r>
            <w:proofErr w:type="spellEnd"/>
            <w:r>
              <w:t xml:space="preserve"> + holiday flags, lead-lag holiday, </w:t>
            </w:r>
            <w:proofErr w:type="spellStart"/>
            <w:r>
              <w:t>DoW</w:t>
            </w:r>
            <w:proofErr w:type="spellEnd"/>
            <w:r>
              <w:t>/month, sin/cos encodings</w:t>
            </w:r>
          </w:p>
        </w:tc>
      </w:tr>
      <w:tr w:rsidR="009A53AB" w14:paraId="68127B46" w14:textId="77777777" w:rsidTr="009A53AB">
        <w:tc>
          <w:tcPr>
            <w:tcW w:w="1999" w:type="dxa"/>
            <w:shd w:val="clear" w:color="auto" w:fill="F2F2F2" w:themeFill="background1" w:themeFillShade="F2"/>
          </w:tcPr>
          <w:p w14:paraId="5821B0E6" w14:textId="4DF41637" w:rsidR="009A53AB" w:rsidRDefault="009A53AB" w:rsidP="009A53AB">
            <w:pPr>
              <w:jc w:val="left"/>
            </w:pPr>
            <w:r>
              <w:t>External</w:t>
            </w:r>
          </w:p>
        </w:tc>
        <w:tc>
          <w:tcPr>
            <w:tcW w:w="2107" w:type="dxa"/>
          </w:tcPr>
          <w:p w14:paraId="1F8C5F11" w14:textId="28862397" w:rsidR="009A53AB" w:rsidRDefault="009A53AB" w:rsidP="009A53AB">
            <w:pPr>
              <w:jc w:val="left"/>
            </w:pPr>
            <w:r>
              <w:t xml:space="preserve">18 – 32 </w:t>
            </w:r>
            <w:r w:rsidRPr="009A53AB">
              <w:rPr>
                <w:rFonts w:ascii="Cambria Math" w:hAnsi="Cambria Math" w:cs="Cambria Math"/>
              </w:rPr>
              <w:t>∪</w:t>
            </w:r>
            <w:r>
              <w:t xml:space="preserve"> 47 – 61</w:t>
            </w:r>
          </w:p>
        </w:tc>
        <w:tc>
          <w:tcPr>
            <w:tcW w:w="992" w:type="dxa"/>
          </w:tcPr>
          <w:p w14:paraId="6727DE26" w14:textId="184B660F" w:rsidR="009A53AB" w:rsidRDefault="009A53AB" w:rsidP="009A53AB">
            <w:pPr>
              <w:jc w:val="left"/>
            </w:pPr>
            <w:r>
              <w:t>30</w:t>
            </w:r>
          </w:p>
        </w:tc>
        <w:tc>
          <w:tcPr>
            <w:tcW w:w="3969" w:type="dxa"/>
          </w:tcPr>
          <w:p w14:paraId="7F8242E0" w14:textId="0C57ACD7" w:rsidR="009A53AB" w:rsidRDefault="009A53AB" w:rsidP="009A53AB">
            <w:pPr>
              <w:jc w:val="left"/>
            </w:pPr>
            <w:r>
              <w:t>Fuel prices (15) + rainfall (15)</w:t>
            </w:r>
          </w:p>
        </w:tc>
      </w:tr>
      <w:tr w:rsidR="009A53AB" w14:paraId="19A2AAB2" w14:textId="77777777" w:rsidTr="009A53AB">
        <w:tc>
          <w:tcPr>
            <w:tcW w:w="1999" w:type="dxa"/>
            <w:shd w:val="clear" w:color="auto" w:fill="F2F2F2" w:themeFill="background1" w:themeFillShade="F2"/>
          </w:tcPr>
          <w:p w14:paraId="28102A76" w14:textId="4C5F4028" w:rsidR="009A53AB" w:rsidRDefault="009A53AB" w:rsidP="009A53AB">
            <w:pPr>
              <w:jc w:val="left"/>
            </w:pPr>
            <w:r>
              <w:t>Static</w:t>
            </w:r>
          </w:p>
        </w:tc>
        <w:tc>
          <w:tcPr>
            <w:tcW w:w="2107" w:type="dxa"/>
          </w:tcPr>
          <w:p w14:paraId="0F39B847" w14:textId="440A2C3C" w:rsidR="009A53AB" w:rsidRDefault="009A53AB" w:rsidP="009A53AB">
            <w:pPr>
              <w:jc w:val="left"/>
            </w:pPr>
            <w:r>
              <w:t>62 – 78</w:t>
            </w:r>
          </w:p>
        </w:tc>
        <w:tc>
          <w:tcPr>
            <w:tcW w:w="992" w:type="dxa"/>
          </w:tcPr>
          <w:p w14:paraId="345F333E" w14:textId="022198B8" w:rsidR="009A53AB" w:rsidRDefault="009A53AB" w:rsidP="009A53AB">
            <w:pPr>
              <w:jc w:val="left"/>
            </w:pPr>
            <w:r>
              <w:t>17</w:t>
            </w:r>
          </w:p>
        </w:tc>
        <w:tc>
          <w:tcPr>
            <w:tcW w:w="3969" w:type="dxa"/>
          </w:tcPr>
          <w:p w14:paraId="433D94E2" w14:textId="6CF0A8F9" w:rsidR="009A53AB" w:rsidRDefault="009A53AB" w:rsidP="009A53AB">
            <w:pPr>
              <w:jc w:val="left"/>
            </w:pPr>
            <w:r>
              <w:t>Population + GTFS + OSM POI + GADM</w:t>
            </w:r>
          </w:p>
        </w:tc>
      </w:tr>
    </w:tbl>
    <w:p w14:paraId="3A6D8B2D" w14:textId="1ACD17C1" w:rsidR="009A53AB" w:rsidRDefault="0050272D" w:rsidP="0050272D">
      <w:pPr>
        <w:pStyle w:val="Caption"/>
        <w:spacing w:before="240"/>
        <w:jc w:val="center"/>
        <w:rPr>
          <w:color w:val="auto"/>
          <w:sz w:val="24"/>
          <w:szCs w:val="24"/>
        </w:rPr>
      </w:pPr>
      <w:r w:rsidRPr="0050272D">
        <w:rPr>
          <w:color w:val="auto"/>
          <w:sz w:val="24"/>
          <w:szCs w:val="24"/>
        </w:rPr>
        <w:t xml:space="preserve">Table </w:t>
      </w:r>
      <w:r w:rsidRPr="0050272D">
        <w:rPr>
          <w:color w:val="auto"/>
          <w:sz w:val="24"/>
          <w:szCs w:val="24"/>
        </w:rPr>
        <w:fldChar w:fldCharType="begin"/>
      </w:r>
      <w:r w:rsidRPr="0050272D">
        <w:rPr>
          <w:color w:val="auto"/>
          <w:sz w:val="24"/>
          <w:szCs w:val="24"/>
        </w:rPr>
        <w:instrText xml:space="preserve"> SEQ Table \* ARABIC </w:instrText>
      </w:r>
      <w:r w:rsidRPr="0050272D">
        <w:rPr>
          <w:color w:val="auto"/>
          <w:sz w:val="24"/>
          <w:szCs w:val="24"/>
        </w:rPr>
        <w:fldChar w:fldCharType="separate"/>
      </w:r>
      <w:r w:rsidRPr="0050272D">
        <w:rPr>
          <w:noProof/>
          <w:color w:val="auto"/>
          <w:sz w:val="24"/>
          <w:szCs w:val="24"/>
        </w:rPr>
        <w:t>12</w:t>
      </w:r>
      <w:r w:rsidRPr="0050272D">
        <w:rPr>
          <w:color w:val="auto"/>
          <w:sz w:val="24"/>
          <w:szCs w:val="24"/>
        </w:rPr>
        <w:fldChar w:fldCharType="end"/>
      </w:r>
      <w:r>
        <w:rPr>
          <w:color w:val="auto"/>
          <w:sz w:val="24"/>
          <w:szCs w:val="24"/>
        </w:rPr>
        <w:t>: A detailed breakdown of all 79 features based on five distinct semantic groups along with its corresponding indices.</w:t>
      </w:r>
    </w:p>
    <w:p w14:paraId="78E42F8E" w14:textId="2B8183A9" w:rsidR="00C52D4D" w:rsidRDefault="00F92597" w:rsidP="00C52D4D">
      <w:pPr>
        <w:rPr>
          <w:u w:val="single"/>
        </w:rPr>
      </w:pPr>
      <w:r>
        <w:rPr>
          <w:u w:val="single"/>
        </w:rPr>
        <w:t>How Features are Used</w:t>
      </w:r>
    </w:p>
    <w:p w14:paraId="2109DD05" w14:textId="50CE16F3" w:rsidR="00F92597" w:rsidRDefault="00E822E0" w:rsidP="00C52D4D">
      <w:r>
        <w:rPr>
          <w:b/>
          <w:bCs/>
        </w:rPr>
        <w:t xml:space="preserve">Step 1 – Semantic Group Embedding: </w:t>
      </w:r>
      <w:r>
        <w:t xml:space="preserve">Each group is independently projected by a </w:t>
      </w:r>
      <w:r w:rsidR="00BA28B2">
        <w:t>small to</w:t>
      </w:r>
      <w:r>
        <w:t xml:space="preserve"> a common per-group</w:t>
      </w:r>
      <w:r w:rsidR="006E32A4">
        <w:t xml:space="preserve"> embedding dimension d/2:</w:t>
      </w:r>
    </w:p>
    <w:p w14:paraId="188CFE67" w14:textId="74086E49" w:rsidR="00BB5562" w:rsidRPr="00BB5562" w:rsidRDefault="00BB5562" w:rsidP="00C52D4D">
      <m:oMathPara>
        <m:oMath>
          <m:r>
            <w:rPr>
              <w:rFonts w:ascii="Cambria Math" w:hAnsi="Cambria Math"/>
            </w:rPr>
            <w:lastRenderedPageBreak/>
            <m:t>Group g: </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g</m:t>
                  </m:r>
                </m:sub>
              </m:sSub>
            </m:e>
          </m:d>
          <m:r>
            <w:rPr>
              <w:rFonts w:ascii="Cambria Math" w:hAnsi="Cambria Math"/>
            </w:rPr>
            <m:t> → Linear</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 d/2</m:t>
              </m:r>
            </m:e>
          </m:d>
          <m:r>
            <w:rPr>
              <w:rFonts w:ascii="Cambria Math" w:hAnsi="Cambria Math"/>
            </w:rPr>
            <m:t> → GELU → </m:t>
          </m:r>
          <m:d>
            <m:dPr>
              <m:ctrlPr>
                <w:rPr>
                  <w:rFonts w:ascii="Cambria Math" w:hAnsi="Cambria Math"/>
                </w:rPr>
              </m:ctrlPr>
            </m:dPr>
            <m:e>
              <m:r>
                <w:rPr>
                  <w:rFonts w:ascii="Cambria Math" w:hAnsi="Cambria Math"/>
                </w:rPr>
                <m:t>B, </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 d/2</m:t>
              </m:r>
            </m:e>
          </m:d>
        </m:oMath>
      </m:oMathPara>
    </w:p>
    <w:p w14:paraId="73BEDAF2" w14:textId="3B41922D" w:rsidR="00900BFD" w:rsidRDefault="00900BFD" w:rsidP="00C52D4D">
      <w:r>
        <w:t>Independent embedding allows each group’s internal structure to be learned without cross-group interference at the first projection stage. This is architecturally analogous to how a domain expert analyses each data source on its own before synthesizing insights across sources.</w:t>
      </w:r>
    </w:p>
    <w:p w14:paraId="380A9179" w14:textId="0A814EDD" w:rsidR="00900BFD" w:rsidRDefault="00900BFD" w:rsidP="00C52D4D">
      <w:r>
        <w:rPr>
          <w:b/>
          <w:bCs/>
        </w:rPr>
        <w:t xml:space="preserve">Step 2 – Gated group fusion with learned </w:t>
      </w:r>
      <w:proofErr w:type="spellStart"/>
      <w:r>
        <w:rPr>
          <w:b/>
          <w:bCs/>
        </w:rPr>
        <w:t>softmax</w:t>
      </w:r>
      <w:proofErr w:type="spellEnd"/>
      <w:r>
        <w:rPr>
          <w:b/>
          <w:bCs/>
        </w:rPr>
        <w:t xml:space="preserve"> weights: </w:t>
      </w:r>
      <w:r>
        <w:t xml:space="preserve">All group embeddings are concatenated and passed through a learned </w:t>
      </w:r>
      <w:proofErr w:type="spellStart"/>
      <w:r>
        <w:t>softmax</w:t>
      </w:r>
      <w:proofErr w:type="spellEnd"/>
      <w:r>
        <w:t xml:space="preserve"> group gate, which adaptively weights each group’s contribution at each timestep:</w:t>
      </w:r>
    </w:p>
    <w:p w14:paraId="1F9BA955" w14:textId="46C9958B" w:rsidR="00B8433F" w:rsidRPr="00B8433F" w:rsidRDefault="00000000" w:rsidP="00C52D4D">
      <m:oMathPara>
        <m:oMath>
          <m:sSub>
            <m:sSubPr>
              <m:ctrlPr>
                <w:rPr>
                  <w:rFonts w:ascii="Cambria Math" w:hAnsi="Cambria Math"/>
                </w:rPr>
              </m:ctrlPr>
            </m:sSubPr>
            <m:e>
              <m:r>
                <w:rPr>
                  <w:rFonts w:ascii="Cambria Math" w:hAnsi="Cambria Math"/>
                </w:rPr>
                <m:t>h</m:t>
              </m:r>
            </m:e>
            <m:sub>
              <m:r>
                <w:rPr>
                  <w:rFonts w:ascii="Cambria Math" w:hAnsi="Cambria Math"/>
                </w:rPr>
                <m:t>concat</m:t>
              </m:r>
            </m:sub>
          </m:sSub>
          <m:r>
            <w:rPr>
              <w:rFonts w:ascii="Cambria Math" w:hAnsi="Cambria Math"/>
            </w:rPr>
            <m:t>=cat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5</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0ED2352" w14:textId="4D42C43D" w:rsidR="006E32A4" w:rsidRPr="00900BFD" w:rsidRDefault="00900BFD" w:rsidP="00C52D4D">
      <m:oMathPara>
        <m:oMath>
          <m:r>
            <w:rPr>
              <w:rFonts w:ascii="Cambria Math" w:hAnsi="Cambria Math"/>
            </w:rPr>
            <m:t>gate=softmax</m:t>
          </m:r>
          <m:d>
            <m:dPr>
              <m:ctrlPr>
                <w:rPr>
                  <w:rFonts w:ascii="Cambria Math" w:hAnsi="Cambria Math"/>
                </w:rPr>
              </m:ctrlPr>
            </m:dPr>
            <m:e>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e>
          </m:d>
        </m:oMath>
      </m:oMathPara>
    </w:p>
    <w:p w14:paraId="1DFBE61D" w14:textId="717E814A" w:rsidR="006E32A4" w:rsidRPr="00900BFD" w:rsidRDefault="00000000" w:rsidP="00C52D4D">
      <m:oMathPara>
        <m:oMath>
          <m:sSub>
            <m:sSubPr>
              <m:ctrlPr>
                <w:rPr>
                  <w:rFonts w:ascii="Cambria Math" w:hAnsi="Cambria Math"/>
                </w:rPr>
              </m:ctrlPr>
            </m:sSubPr>
            <m:e>
              <m:r>
                <w:rPr>
                  <w:rFonts w:ascii="Cambria Math" w:hAnsi="Cambria Math"/>
                </w:rPr>
                <m:t>h</m:t>
              </m:r>
            </m:e>
            <m:sub>
              <m:r>
                <w:rPr>
                  <w:rFonts w:ascii="Cambria Math" w:hAnsi="Cambria Math"/>
                </w:rPr>
                <m:t>gated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g</m:t>
              </m:r>
            </m:sub>
          </m:sSub>
          <m:d>
            <m:dPr>
              <m:ctrlPr>
                <w:rPr>
                  <w:rFonts w:ascii="Cambria Math" w:hAnsi="Cambria Math"/>
                </w:rPr>
              </m:ctrlPr>
            </m:dPr>
            <m:e>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m:t>
                  </m:r>
                </m:sub>
              </m:sSub>
            </m:e>
          </m:d>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groups</m:t>
                  </m:r>
                </m:sub>
              </m:sSub>
              <m:r>
                <w:rPr>
                  <w:rFonts w:ascii="Cambria Math" w:hAnsi="Cambria Math"/>
                </w:rPr>
                <m:t>×d/2</m:t>
              </m:r>
            </m:e>
          </m:d>
        </m:oMath>
      </m:oMathPara>
    </w:p>
    <w:p w14:paraId="7705D2AA" w14:textId="59C9A89C" w:rsidR="00900BFD" w:rsidRDefault="00B8433F" w:rsidP="00C52D4D">
      <w:r>
        <w:t xml:space="preserve">The </w:t>
      </w:r>
      <w:proofErr w:type="spellStart"/>
      <w:r>
        <w:t>softmax</w:t>
      </w:r>
      <w:proofErr w:type="spellEnd"/>
      <w:r>
        <w:t xml:space="preserve"> gate forces the model to explicitly allocate attention budget across feature groups at each timestep. On holiday dates, the temporal/cyclical group receives higher weight; on normal weekdays, the target context (recent ridership) and lag groups dominate. The gate learns this allocation from data without manual tuning.</w:t>
      </w:r>
    </w:p>
    <w:p w14:paraId="2C61D4EF" w14:textId="4574F27E" w:rsidR="00A14B9E" w:rsidRDefault="00A14B9E" w:rsidP="00C52D4D">
      <w:r>
        <w:rPr>
          <w:b/>
          <w:bCs/>
        </w:rPr>
        <w:t>Step 3 – Projection to</w:t>
      </w:r>
      <w:r w:rsidR="00E94319">
        <w:rPr>
          <w:b/>
          <w:bCs/>
        </w:rPr>
        <w:t xml:space="preserve"> </w:t>
      </w:r>
      <m:oMath>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model</m:t>
            </m:r>
          </m:sub>
        </m:sSub>
      </m:oMath>
      <w:r>
        <w:rPr>
          <w:b/>
          <w:bCs/>
        </w:rPr>
        <w:t xml:space="preserve">: </w:t>
      </w:r>
      <w:r>
        <w:t>The gated fusion output is projected to</w:t>
      </w:r>
      <w:r w:rsidR="00E94319">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via:</w:t>
      </w:r>
    </w:p>
    <w:p w14:paraId="2441995F" w14:textId="514B30F7" w:rsidR="00A14B9E" w:rsidRPr="00A71581" w:rsidRDefault="00A14B9E" w:rsidP="00A71581">
      <w:pPr>
        <w:jc w:val="center"/>
      </w:pPr>
      <m:oMath>
        <m: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concat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→GELU→Dropout→Linear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→LayerNorm</m:t>
        </m:r>
      </m:oMath>
      <w:r w:rsidR="00A71581">
        <w:t xml:space="preserve"> </w:t>
      </w:r>
    </w:p>
    <w:p w14:paraId="1E9AE232" w14:textId="3BAB317C" w:rsidR="00A14B9E" w:rsidRPr="00A14B9E" w:rsidRDefault="00A14B9E" w:rsidP="00C52D4D">
      <w:r>
        <w:t xml:space="preserve">This two-stage projection with </w:t>
      </w:r>
      <w:proofErr w:type="spellStart"/>
      <w:r>
        <w:t>LayerNorm</w:t>
      </w:r>
      <w:proofErr w:type="spellEnd"/>
      <w:r>
        <w:t xml:space="preserve"> compresses the fused group embeddings into a unified representation of dimension</w:t>
      </w:r>
      <w:r w:rsidR="00E94319">
        <w:t xml:space="preserve">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on which all three parallel encoders then operate.</w:t>
      </w:r>
    </w:p>
    <w:p w14:paraId="00AA93FB" w14:textId="5CF76E38" w:rsidR="009C2312" w:rsidRDefault="00F80C70" w:rsidP="009C2312">
      <w:pPr>
        <w:pStyle w:val="Heading2"/>
        <w:numPr>
          <w:ilvl w:val="2"/>
          <w:numId w:val="3"/>
        </w:numPr>
        <w:rPr>
          <w:b/>
          <w:bCs/>
          <w:sz w:val="24"/>
          <w:szCs w:val="24"/>
          <w:u w:val="single"/>
        </w:rPr>
      </w:pPr>
      <w:r>
        <w:rPr>
          <w:b/>
          <w:bCs/>
          <w:sz w:val="24"/>
          <w:szCs w:val="24"/>
          <w:u w:val="single"/>
        </w:rPr>
        <w:t>Key Architecture Components</w:t>
      </w:r>
    </w:p>
    <w:p w14:paraId="615EB9C2" w14:textId="0809D9B8" w:rsidR="00E963EB" w:rsidRDefault="00E963EB" w:rsidP="00E963EB">
      <w:pPr>
        <w:pStyle w:val="Heading2"/>
        <w:numPr>
          <w:ilvl w:val="3"/>
          <w:numId w:val="3"/>
        </w:numPr>
        <w:rPr>
          <w:b/>
          <w:bCs/>
          <w:sz w:val="24"/>
          <w:szCs w:val="24"/>
          <w:u w:val="single"/>
        </w:rPr>
      </w:pPr>
      <w:r>
        <w:rPr>
          <w:b/>
          <w:bCs/>
          <w:sz w:val="24"/>
          <w:szCs w:val="24"/>
          <w:u w:val="single"/>
        </w:rPr>
        <w:t>RevIN – Reversible Instance Normalisation</w:t>
      </w:r>
    </w:p>
    <w:p w14:paraId="1C43B63B" w14:textId="588EA849" w:rsidR="00E963EB" w:rsidRPr="00E94319" w:rsidRDefault="00E94319" w:rsidP="00E94319">
      <w:pPr>
        <w:ind w:firstLine="720"/>
        <w:rPr>
          <w:noProof/>
        </w:rPr>
      </w:pPr>
      <w:r>
        <w:rPr>
          <w:noProof/>
        </w:rPr>
        <w:t>RevIN (Kim, et al., 2023) is applied to the raw input before feature group embedding. Each sample’s mean and variance are computed per feature and used to normalise the input:</w:t>
      </w:r>
    </w:p>
    <w:p w14:paraId="446530EB" w14:textId="42B8C38C" w:rsidR="00E94319" w:rsidRPr="00DF4D4C" w:rsidRDefault="00000000" w:rsidP="00E94319">
      <w:pPr>
        <w:ind w:firstLine="720"/>
        <w:rPr>
          <w:noProof/>
        </w:rPr>
      </w:pPr>
      <m:oMathPara>
        <m:oMathParaPr>
          <m:jc m:val="center"/>
        </m:oMathParaPr>
        <m:oMath>
          <m:acc>
            <m:accPr>
              <m:chr m:val="ˆ"/>
              <m:ctrlPr>
                <w:rPr>
                  <w:rFonts w:ascii="Cambria Math" w:hAnsi="Cambria Math"/>
                </w:rPr>
              </m:ctrlPr>
            </m:accPr>
            <m:e>
              <m:r>
                <w:rPr>
                  <w:rFonts w:ascii="Cambria Math" w:hAnsi="Cambria Math"/>
                </w:rPr>
                <m:t>x</m:t>
              </m:r>
            </m:e>
          </m:acc>
          <m:r>
            <w:rPr>
              <w:rFonts w:ascii="Cambria Math" w:hAnsi="Cambria Math"/>
            </w:rPr>
            <m:t>=</m:t>
          </m:r>
          <m:d>
            <m:dPr>
              <m:ctrlPr>
                <w:rPr>
                  <w:rFonts w:ascii="Cambria Math" w:hAnsi="Cambria Math"/>
                </w:rPr>
              </m:ctrlPr>
            </m:dPr>
            <m:e>
              <m:r>
                <w:rPr>
                  <w:rFonts w:ascii="Cambria Math" w:hAnsi="Cambria Math"/>
                </w:rPr>
                <m:t>x-</m:t>
              </m:r>
              <m:sSub>
                <m:sSubPr>
                  <m:ctrlPr>
                    <w:rPr>
                      <w:rFonts w:ascii="Cambria Math" w:hAnsi="Cambria Math"/>
                    </w:rPr>
                  </m:ctrlPr>
                </m:sSubPr>
                <m:e>
                  <m:r>
                    <w:rPr>
                      <w:rFonts w:ascii="Cambria Math" w:hAnsi="Cambria Math"/>
                    </w:rPr>
                    <m:t>μ</m:t>
                  </m:r>
                </m:e>
                <m:sub>
                  <m:r>
                    <w:rPr>
                      <w:rFonts w:ascii="Cambria Math" w:hAnsi="Cambria Math"/>
                    </w:rPr>
                    <m:t>sample</m:t>
                  </m:r>
                </m:sub>
              </m:sSub>
            </m:e>
          </m:d>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sample</m:t>
              </m:r>
            </m:sub>
          </m:sSub>
          <m:r>
            <w:rPr>
              <w:rFonts w:ascii="Cambria Math" w:hAnsi="Cambria Math"/>
            </w:rPr>
            <m:t>×γ+β</m:t>
          </m:r>
        </m:oMath>
      </m:oMathPara>
    </w:p>
    <w:p w14:paraId="2A587933" w14:textId="1073007E" w:rsidR="00DF4D4C" w:rsidRPr="00DF4D4C" w:rsidRDefault="00DF4D4C" w:rsidP="00DF4D4C">
      <w:pPr>
        <w:rPr>
          <w:noProof/>
        </w:rPr>
      </w:pPr>
      <w:r>
        <w:rPr>
          <w:noProof/>
        </w:rPr>
        <w:t xml:space="preserve">where </w:t>
      </w:r>
      <m:oMath>
        <m:r>
          <w:rPr>
            <w:rFonts w:ascii="Cambria Math" w:hAnsi="Cambria Math"/>
          </w:rPr>
          <m:t>γ</m:t>
        </m:r>
      </m:oMath>
      <w:r>
        <w:rPr>
          <w:noProof/>
        </w:rPr>
        <w:t xml:space="preserve"> and </w:t>
      </w:r>
      <m:oMath>
        <m:r>
          <w:rPr>
            <w:rFonts w:ascii="Cambria Math" w:hAnsi="Cambria Math"/>
          </w:rPr>
          <m:t>β</m:t>
        </m:r>
      </m:oMath>
      <w:r>
        <w:rPr>
          <w:noProof/>
        </w:rPr>
        <w:t xml:space="preserve"> are learnable per-feature affine parameters. The primary motivation is to reduce within-batch distributio</w:t>
      </w:r>
      <w:r w:rsidR="00702321">
        <w:rPr>
          <w:noProof/>
        </w:rPr>
        <w:t xml:space="preserve">n </w:t>
      </w:r>
      <w:r>
        <w:rPr>
          <w:noProof/>
        </w:rPr>
        <w:t xml:space="preserve">shift caused by the MCO regime change. Without instance-level normalisation, a single minibatch containing samples form multiple regimes causes gradient </w:t>
      </w:r>
      <w:r>
        <w:rPr>
          <w:noProof/>
        </w:rPr>
        <w:lastRenderedPageBreak/>
        <w:t>conflicts that impair convergence. RevIN denormalises predictions after the forecast heads and before loss computation, ensuring the loss is measured in the original MinMax-scaled space where the target scaler was fitted.</w:t>
      </w:r>
    </w:p>
    <w:p w14:paraId="2D27CA4E" w14:textId="76943E85" w:rsidR="00E963EB" w:rsidRDefault="00E963EB" w:rsidP="00E963EB">
      <w:pPr>
        <w:pStyle w:val="Heading2"/>
        <w:numPr>
          <w:ilvl w:val="3"/>
          <w:numId w:val="3"/>
        </w:numPr>
        <w:rPr>
          <w:b/>
          <w:bCs/>
          <w:sz w:val="24"/>
          <w:szCs w:val="24"/>
          <w:u w:val="single"/>
        </w:rPr>
      </w:pPr>
      <w:r>
        <w:rPr>
          <w:b/>
          <w:bCs/>
          <w:sz w:val="24"/>
          <w:szCs w:val="24"/>
          <w:u w:val="single"/>
        </w:rPr>
        <w:t>Feature Group Fusion – Semantic Input Encoder</w:t>
      </w:r>
    </w:p>
    <w:p w14:paraId="322DEB5C" w14:textId="04F5F2E5" w:rsidR="00702321" w:rsidRPr="00702321" w:rsidRDefault="00702321" w:rsidP="00702321">
      <w:pPr>
        <w:ind w:firstLine="720"/>
      </w:pPr>
      <w:r>
        <w:t xml:space="preserve">The </w:t>
      </w:r>
      <w:proofErr w:type="spellStart"/>
      <w:r>
        <w:t>FeatureGroupFusion</w:t>
      </w:r>
      <w:proofErr w:type="spellEnd"/>
      <w:r>
        <w:t xml:space="preserve"> module embeds each semantic feature group independently and outputs a sequence of </w:t>
      </w:r>
      <m:oMath>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that all three parallel encoders subsequently receive. A Temporal Transformer Block (single Multihead Attention layer with learnable positional embeddings, post-LN residual, and FFN) is applied after group fusion and before the Multi-Scale TCN, adding global temporal self-attention across the full look-back window to complement the local pattern extraction of the causal convolutions.</w:t>
      </w:r>
    </w:p>
    <w:p w14:paraId="5121FD59" w14:textId="6FC2C292" w:rsidR="00E963EB" w:rsidRDefault="00E963EB" w:rsidP="00E963EB">
      <w:pPr>
        <w:pStyle w:val="Heading2"/>
        <w:numPr>
          <w:ilvl w:val="3"/>
          <w:numId w:val="3"/>
        </w:numPr>
        <w:rPr>
          <w:b/>
          <w:bCs/>
          <w:sz w:val="24"/>
          <w:szCs w:val="24"/>
          <w:u w:val="single"/>
        </w:rPr>
      </w:pPr>
      <w:r>
        <w:rPr>
          <w:b/>
          <w:bCs/>
          <w:sz w:val="24"/>
          <w:szCs w:val="24"/>
          <w:u w:val="single"/>
        </w:rPr>
        <w:t>Multi-scale TCN – Temporal Encoder</w:t>
      </w:r>
    </w:p>
    <w:p w14:paraId="68A5C9CA" w14:textId="58160B77" w:rsidR="00E963EB" w:rsidRDefault="00702321" w:rsidP="00702321">
      <w:pPr>
        <w:ind w:firstLine="720"/>
      </w:pPr>
      <w:r>
        <w:t>The Multi-scale TCN applies casual dilated convolutions at up to three temporal scales:</w:t>
      </w:r>
    </w:p>
    <w:p w14:paraId="2AF8338B" w14:textId="3D655BA5" w:rsidR="00702321" w:rsidRDefault="00702321">
      <w:pPr>
        <w:pStyle w:val="ListParagraph"/>
        <w:numPr>
          <w:ilvl w:val="0"/>
          <w:numId w:val="13"/>
        </w:numPr>
      </w:pPr>
      <w:r>
        <w:rPr>
          <w:b/>
          <w:bCs/>
        </w:rPr>
        <w:t xml:space="preserve">Scale 1 (full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oMath>
      <w:r w:rsidRPr="00702321">
        <w:rPr>
          <w:b/>
          <w:bCs/>
        </w:rPr>
        <w:t>)</w:t>
      </w:r>
      <w:r>
        <w:rPr>
          <w:b/>
          <w:bCs/>
        </w:rPr>
        <w:t xml:space="preserve">: </w:t>
      </w:r>
      <w:proofErr w:type="spellStart"/>
      <w:r>
        <w:t>CausalConv</w:t>
      </w:r>
      <w:proofErr w:type="spellEnd"/>
      <w:r>
        <w:t xml:space="preserve"> blocks with exponentially increasing dilation capture short-range and medium-range temporal dependencies.</w:t>
      </w:r>
    </w:p>
    <w:p w14:paraId="7672A656" w14:textId="1D8F638F" w:rsidR="00702321" w:rsidRDefault="00702321">
      <w:pPr>
        <w:pStyle w:val="ListParagraph"/>
        <w:numPr>
          <w:ilvl w:val="0"/>
          <w:numId w:val="13"/>
        </w:numPr>
      </w:pPr>
      <w:r>
        <w:rPr>
          <w:b/>
          <w:bCs/>
        </w:rPr>
        <w:t>Scale 2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≥28</m:t>
        </m:r>
      </m:oMath>
      <w:r w:rsidRPr="00702321">
        <w:rPr>
          <w:b/>
          <w:bCs/>
        </w:rPr>
        <w:t>)</w:t>
      </w:r>
      <w:r>
        <w:rPr>
          <w:b/>
          <w:bCs/>
        </w:rPr>
        <w:t xml:space="preserve">: </w:t>
      </w:r>
      <w:proofErr w:type="spellStart"/>
      <w:r>
        <w:t>CausalConv</w:t>
      </w:r>
      <w:proofErr w:type="spellEnd"/>
      <w:r>
        <w:t xml:space="preserve"> on the first half of the window; captures medium-range structures.</w:t>
      </w:r>
    </w:p>
    <w:p w14:paraId="6248FD60" w14:textId="7661B5FB" w:rsidR="00702321" w:rsidRPr="00702321" w:rsidRDefault="00702321">
      <w:pPr>
        <w:pStyle w:val="ListParagraph"/>
        <w:numPr>
          <w:ilvl w:val="0"/>
          <w:numId w:val="13"/>
        </w:numPr>
        <w:rPr>
          <w:b/>
          <w:bCs/>
        </w:rPr>
      </w:pPr>
      <w:r w:rsidRPr="00702321">
        <w:rPr>
          <w:b/>
          <w:bCs/>
        </w:rPr>
        <w:t xml:space="preserve">Scale 3 </w:t>
      </w:r>
      <m:oMath>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//4,</m:t>
        </m:r>
        <m:r>
          <m:rPr>
            <m:nor/>
          </m:rPr>
          <w:rPr>
            <w:rFonts w:ascii="Cambria Math" w:hAnsi="Cambria Math"/>
            <w:b/>
            <w:bCs/>
          </w:rPr>
          <m:t> activated for </m:t>
        </m:r>
        <m:sSub>
          <m:sSubPr>
            <m:ctrlPr>
              <w:rPr>
                <w:rFonts w:ascii="Cambria Math" w:hAnsi="Cambria Math"/>
                <w:b/>
                <w:bCs/>
              </w:rPr>
            </m:ctrlPr>
          </m:sSubPr>
          <m:e>
            <m:r>
              <m:rPr>
                <m:sty m:val="bi"/>
              </m:rPr>
              <w:rPr>
                <w:rFonts w:ascii="Cambria Math" w:hAnsi="Cambria Math"/>
              </w:rPr>
              <m:t>T</m:t>
            </m:r>
          </m:e>
          <m:sub>
            <m:r>
              <m:rPr>
                <m:sty m:val="bi"/>
              </m:rPr>
              <w:rPr>
                <w:rFonts w:ascii="Cambria Math" w:hAnsi="Cambria Math"/>
              </w:rPr>
              <m:t>in</m:t>
            </m:r>
          </m:sub>
        </m:sSub>
        <m:r>
          <m:rPr>
            <m:sty m:val="bi"/>
          </m:rPr>
          <w:rPr>
            <w:rFonts w:ascii="Cambria Math" w:hAnsi="Cambria Math"/>
          </w:rPr>
          <m:t>≥56)</m:t>
        </m:r>
      </m:oMath>
      <w:r>
        <w:rPr>
          <w:b/>
          <w:bCs/>
        </w:rPr>
        <w:t xml:space="preserve">: </w:t>
      </w:r>
      <w:proofErr w:type="spellStart"/>
      <w:r>
        <w:t>CausalConv</w:t>
      </w:r>
      <w:proofErr w:type="spellEnd"/>
      <w:r>
        <w:t xml:space="preserve"> on the first quarter; capture long-range structural baselines.</w:t>
      </w:r>
    </w:p>
    <w:p w14:paraId="3694B015" w14:textId="18877E36" w:rsidR="00641E9D" w:rsidRPr="00641E9D" w:rsidRDefault="00702321" w:rsidP="009144B5">
      <w:pPr>
        <w:ind w:firstLine="720"/>
      </w:pPr>
      <w:proofErr w:type="spellStart"/>
      <w:r>
        <w:t>WaveNet</w:t>
      </w:r>
      <w:proofErr w:type="spellEnd"/>
      <w:r>
        <w:t xml:space="preserve">-style gated activations </w:t>
      </w:r>
      <w:r w:rsidR="00641E9D">
        <w:t>(</w:t>
      </w:r>
      <m:oMath>
        <m:func>
          <m:funcPr>
            <m:ctrlPr>
              <w:rPr>
                <w:rFonts w:ascii="Cambria Math" w:hAnsi="Cambria Math"/>
              </w:rPr>
            </m:ctrlPr>
          </m:funcPr>
          <m:fName>
            <m:r>
              <m:rPr>
                <m:sty m:val="p"/>
              </m:rPr>
              <w:rPr>
                <w:rFonts w:ascii="Cambria Math" w:hAnsi="Cambria Math"/>
              </w:rPr>
              <m:t>tanh</m:t>
            </m:r>
          </m:fName>
          <m:e>
            <m:r>
              <w:rPr>
                <w:rFonts w:ascii="Cambria Math" w:hAnsi="Cambria Math"/>
              </w:rPr>
              <m:t>⊙</m:t>
            </m:r>
          </m:e>
        </m:func>
        <m:r>
          <w:rPr>
            <w:rFonts w:ascii="Cambria Math" w:hAnsi="Cambria Math"/>
          </w:rPr>
          <m:t>σ</m:t>
        </m:r>
      </m:oMath>
      <w:r w:rsidR="00641E9D">
        <w:t xml:space="preserve">) regulate information flow within each causal block. DropPath (stochastic depth) stochastically drops entire residual paths during training, with linearly increasing rates from 0 to –drop-path argument. A learned attention pooling mechanism blends outputs across active scales, producing the final temporal summary </w:t>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rsidR="00641E9D">
        <w:t>.</w:t>
      </w:r>
    </w:p>
    <w:p w14:paraId="1D2D8275" w14:textId="5CFBF48A" w:rsidR="00E963EB" w:rsidRDefault="00E963EB" w:rsidP="00E963EB">
      <w:pPr>
        <w:pStyle w:val="Heading2"/>
        <w:numPr>
          <w:ilvl w:val="3"/>
          <w:numId w:val="3"/>
        </w:numPr>
        <w:rPr>
          <w:b/>
          <w:bCs/>
          <w:sz w:val="24"/>
          <w:szCs w:val="24"/>
          <w:u w:val="single"/>
        </w:rPr>
      </w:pPr>
      <w:r>
        <w:rPr>
          <w:b/>
          <w:bCs/>
          <w:sz w:val="24"/>
          <w:szCs w:val="24"/>
          <w:u w:val="single"/>
        </w:rPr>
        <w:t>Feature Graph Encoder – Spatial Encoder</w:t>
      </w:r>
    </w:p>
    <w:p w14:paraId="058E1106" w14:textId="49704894" w:rsidR="00E963EB" w:rsidRDefault="009144B5" w:rsidP="009144B5">
      <w:pPr>
        <w:ind w:firstLine="720"/>
      </w:pPr>
      <w:r>
        <w:t>Rather than using the raw temporal sequence as node features (as graph-based baselines do), the Feature Graph Encoder first compresses the time dimension via learned temporal attention:</w:t>
      </w:r>
    </w:p>
    <w:p w14:paraId="707D1BE0" w14:textId="2B212AB5" w:rsidR="009144B5" w:rsidRPr="009144B5" w:rsidRDefault="00000000" w:rsidP="009144B5">
      <m:oMathPara>
        <m:oMath>
          <m:acc>
            <m:accPr>
              <m:chr m:val="ˆ"/>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in</m:t>
                  </m:r>
                </m:sub>
              </m:sSub>
              <m:r>
                <w:rPr>
                  <w:rFonts w:ascii="Cambria Math" w:hAnsi="Cambria Math"/>
                </w:rPr>
                <m:t>,F</m:t>
              </m:r>
            </m:e>
          </m:d>
          <m:r>
            <w:rPr>
              <w:rFonts w:ascii="Cambria Math" w:hAnsi="Cambria Math"/>
            </w:rPr>
            <m:t>→</m:t>
          </m:r>
          <m:r>
            <m:rPr>
              <m:nor/>
            </m:rPr>
            <w:rPr>
              <w:rFonts w:ascii="Cambria Math" w:hAnsi="Cambria Math"/>
            </w:rPr>
            <m:t>learned time-attn</m:t>
          </m:r>
          <m:r>
            <w:rPr>
              <w:rFonts w:ascii="Cambria Math" w:hAnsi="Cambria Math"/>
            </w:rPr>
            <m:t>→</m:t>
          </m:r>
          <m:d>
            <m:dPr>
              <m:ctrlPr>
                <w:rPr>
                  <w:rFonts w:ascii="Cambria Math" w:hAnsi="Cambria Math"/>
                </w:rPr>
              </m:ctrlPr>
            </m:dPr>
            <m:e>
              <m:r>
                <w:rPr>
                  <w:rFonts w:ascii="Cambria Math" w:hAnsi="Cambria Math"/>
                </w:rPr>
                <m:t>B,F,1</m:t>
              </m:r>
            </m:e>
          </m:d>
          <m:r>
            <m:rPr>
              <m:nor/>
            </m:rPr>
            <w:rPr>
              <w:rFonts w:ascii="Cambria Math" w:hAnsi="Cambria Math"/>
            </w:rPr>
            <m:t>node feature vectors</m:t>
          </m:r>
        </m:oMath>
      </m:oMathPara>
    </w:p>
    <w:p w14:paraId="071E3404" w14:textId="3C70A3D1" w:rsidR="009144B5" w:rsidRPr="009144B5" w:rsidRDefault="009144B5" w:rsidP="0097276E">
      <w:pPr>
        <w:ind w:firstLine="720"/>
      </w:pPr>
      <w:r>
        <w:t>A 2-layer GCN then propagates signals across the Pearson-correlation adjacency (|</w:t>
      </w:r>
      <w:proofErr w:type="spellStart"/>
      <w:r>
        <w:t>corr</w:t>
      </w:r>
      <w:proofErr w:type="spellEnd"/>
      <w:r>
        <w:t xml:space="preserve">| </w:t>
      </w:r>
      <m:oMath>
        <m:r>
          <w:rPr>
            <w:rFonts w:ascii="Cambria Math" w:hAnsi="Cambria Math"/>
          </w:rPr>
          <m:t>≥</m:t>
        </m:r>
      </m:oMath>
      <w:r>
        <w:t xml:space="preserve"> 0.1, same construction as STGCN/ASTGCN), with global mean pooling over all F feature </w:t>
      </w:r>
      <w:r>
        <w:lastRenderedPageBreak/>
        <w:t xml:space="preserve">nodes producing </w:t>
      </w:r>
      <m:oMath>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model</m:t>
                </m:r>
              </m:sub>
            </m:sSub>
          </m:sup>
        </m:sSup>
      </m:oMath>
      <w:r>
        <w:t xml:space="preserve">. This design decouples graph encoding from temporal encoding: the graph branch receives a temporal summary rather than raw sequence, allowing GCN to focus on cross-feature relational patterns without interference from temporal dynamics. Importantly, this encoder and Regime Gating Embedding both receive raw RevIN-normalised input </w:t>
      </w:r>
      <m:oMath>
        <m:r>
          <w:rPr>
            <w:rFonts w:ascii="Cambria Math" w:hAnsi="Cambria Math"/>
          </w:rPr>
          <m:t>x</m:t>
        </m:r>
      </m:oMath>
      <w:r>
        <w:t xml:space="preserve">, bypassing the Feature Group Fusion and Temporal Transformer Block, so the graph and regime branches see the unprocessed feature signal rather than the projected </w:t>
      </w:r>
      <m:oMath>
        <m:sSub>
          <m:sSubPr>
            <m:ctrlPr>
              <w:rPr>
                <w:rFonts w:ascii="Cambria Math" w:hAnsi="Cambria Math"/>
              </w:rPr>
            </m:ctrlPr>
          </m:sSubPr>
          <m:e>
            <m:r>
              <w:rPr>
                <w:rFonts w:ascii="Cambria Math" w:hAnsi="Cambria Math"/>
              </w:rPr>
              <m:t>d</m:t>
            </m:r>
          </m:e>
          <m:sub>
            <m:r>
              <w:rPr>
                <w:rFonts w:ascii="Cambria Math" w:hAnsi="Cambria Math"/>
              </w:rPr>
              <m:t>model</m:t>
            </m:r>
          </m:sub>
        </m:sSub>
      </m:oMath>
      <w:r>
        <w:t xml:space="preserve"> representation.</w:t>
      </w:r>
    </w:p>
    <w:p w14:paraId="5ED39984" w14:textId="07B14E4C" w:rsidR="00E963EB" w:rsidRDefault="00E963EB" w:rsidP="00E963EB">
      <w:pPr>
        <w:pStyle w:val="Heading2"/>
        <w:numPr>
          <w:ilvl w:val="3"/>
          <w:numId w:val="3"/>
        </w:numPr>
        <w:rPr>
          <w:b/>
          <w:bCs/>
          <w:sz w:val="24"/>
          <w:szCs w:val="24"/>
          <w:u w:val="single"/>
        </w:rPr>
      </w:pPr>
      <w:r>
        <w:rPr>
          <w:b/>
          <w:bCs/>
          <w:sz w:val="24"/>
          <w:szCs w:val="24"/>
          <w:u w:val="single"/>
        </w:rPr>
        <w:t>Regime Gating Embedding</w:t>
      </w:r>
    </w:p>
    <w:p w14:paraId="2A2629BC" w14:textId="6A62D38E" w:rsidR="00E963EB" w:rsidRDefault="004332B3" w:rsidP="004332B3">
      <w:pPr>
        <w:ind w:firstLine="720"/>
      </w:pPr>
      <w:r>
        <w:t>The MCO period represents a structural break in Malaysia transit ridership – not merely a large shock, but a change in which features predict ridership at all. During lockdown, fuel prices and population density features become irrelevant to transit demand (which was prohibited regardless). The Regime Gating Embedding maintains K=3 learnable embedding vectors representing the three operational regimes:</w:t>
      </w:r>
    </w:p>
    <w:p w14:paraId="75FADEE6" w14:textId="3CC42A27" w:rsidR="004332B3" w:rsidRDefault="00C94412">
      <w:pPr>
        <w:pStyle w:val="ListParagraph"/>
        <w:numPr>
          <w:ilvl w:val="0"/>
          <w:numId w:val="15"/>
        </w:numPr>
      </w:pPr>
      <w:r w:rsidRPr="00F8238A">
        <w:rPr>
          <w:b/>
          <w:bCs/>
        </w:rPr>
        <w:t>Pre-COVID:</w:t>
      </w:r>
      <w:r>
        <w:t xml:space="preserve"> 2019-01-01 to 2020-03-17</w:t>
      </w:r>
    </w:p>
    <w:p w14:paraId="14A1558B" w14:textId="033803AA" w:rsidR="00C94412" w:rsidRDefault="00C94412">
      <w:pPr>
        <w:pStyle w:val="ListParagraph"/>
        <w:numPr>
          <w:ilvl w:val="0"/>
          <w:numId w:val="15"/>
        </w:numPr>
      </w:pPr>
      <w:r w:rsidRPr="00F8238A">
        <w:rPr>
          <w:b/>
          <w:bCs/>
        </w:rPr>
        <w:t>MCO:</w:t>
      </w:r>
      <w:r>
        <w:t xml:space="preserve"> 2020-03-18 to 2021-12-31</w:t>
      </w:r>
    </w:p>
    <w:p w14:paraId="419F9A4A" w14:textId="373A1FCC" w:rsidR="00C94412" w:rsidRDefault="00C94412">
      <w:pPr>
        <w:pStyle w:val="ListParagraph"/>
        <w:numPr>
          <w:ilvl w:val="0"/>
          <w:numId w:val="15"/>
        </w:numPr>
      </w:pPr>
      <w:r w:rsidRPr="00F8238A">
        <w:rPr>
          <w:b/>
          <w:bCs/>
        </w:rPr>
        <w:t>Post-MCO:</w:t>
      </w:r>
      <w:r>
        <w:t xml:space="preserve"> 2022-01-01 to 2025-12-31</w:t>
      </w:r>
    </w:p>
    <w:p w14:paraId="7FDC79A3" w14:textId="7EA1FC13" w:rsidR="004332B3" w:rsidRDefault="004332B3" w:rsidP="0010066F">
      <w:pPr>
        <w:ind w:firstLine="720"/>
      </w:pPr>
      <w:r>
        <w:t xml:space="preserve">At each forward pass, the mean-pooled input is projected to K=3 soft logits via a linear layer and </w:t>
      </w:r>
      <w:proofErr w:type="spellStart"/>
      <w:r>
        <w:t>softmax</w:t>
      </w:r>
      <w:proofErr w:type="spellEnd"/>
      <w:r>
        <w:t>, producing a soft mixture of regime embeddings:</w:t>
      </w:r>
    </w:p>
    <w:p w14:paraId="5140DA32" w14:textId="01E7D31F" w:rsidR="004332B3" w:rsidRPr="004332B3" w:rsidRDefault="00000000" w:rsidP="004332B3">
      <m:oMathPara>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gat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i/>
            </w:rPr>
            <m:t> </m:t>
          </m:r>
          <m:r>
            <m:rPr>
              <m:nor/>
            </m:rPr>
            <w:rPr>
              <w:rFonts w:ascii="Cambria Math" w:hAnsi="Cambria Math"/>
            </w:rPr>
            <m:t>gate</m:t>
          </m:r>
          <m:r>
            <w:rPr>
              <w:rFonts w:ascii="Cambria Math" w:hAnsi="Cambria Math"/>
            </w:rPr>
            <m:t>=</m:t>
          </m:r>
          <m:r>
            <m:rPr>
              <m:nor/>
            </m:rPr>
            <w:rPr>
              <w:rFonts w:ascii="Cambria Math" w:hAnsi="Cambria Math"/>
            </w:rPr>
            <m:t>softmax</m:t>
          </m:r>
          <m:d>
            <m:dPr>
              <m:ctrlPr>
                <w:rPr>
                  <w:rFonts w:ascii="Cambria Math" w:hAnsi="Cambria Math"/>
                </w:rPr>
              </m:ctrlPr>
            </m:dPr>
            <m:e>
              <m:r>
                <m:rPr>
                  <m:nor/>
                </m:rPr>
                <w:rPr>
                  <w:rFonts w:ascii="Cambria Math" w:hAnsi="Cambria Math"/>
                </w:rPr>
                <m:t>Linear</m:t>
              </m:r>
              <m:d>
                <m:dPr>
                  <m:ctrlPr>
                    <w:rPr>
                      <w:rFonts w:ascii="Cambria Math" w:hAnsi="Cambria Math"/>
                    </w:rPr>
                  </m:ctrlPr>
                </m:dPr>
                <m:e>
                  <m:acc>
                    <m:accPr>
                      <m:chr m:val="ˆ"/>
                      <m:ctrlPr>
                        <w:rPr>
                          <w:rFonts w:ascii="Cambria Math" w:hAnsi="Cambria Math"/>
                        </w:rPr>
                      </m:ctrlPr>
                    </m:accPr>
                    <m:e>
                      <m:r>
                        <w:rPr>
                          <w:rFonts w:ascii="Cambria Math" w:hAnsi="Cambria Math"/>
                        </w:rPr>
                        <m:t>x</m:t>
                      </m:r>
                    </m:e>
                  </m:acc>
                  <m:r>
                    <w:rPr>
                      <w:rFonts w:ascii="Cambria Math" w:hAnsi="Cambria Math"/>
                    </w:rPr>
                    <m:t>.</m:t>
                  </m:r>
                  <m:r>
                    <m:rPr>
                      <m:nor/>
                    </m:rPr>
                    <w:rPr>
                      <w:rFonts w:ascii="Cambria Math" w:hAnsi="Cambria Math"/>
                    </w:rPr>
                    <m:t>mean</m:t>
                  </m:r>
                  <m:d>
                    <m:dPr>
                      <m:ctrlPr>
                        <w:rPr>
                          <w:rFonts w:ascii="Cambria Math" w:hAnsi="Cambria Math"/>
                        </w:rPr>
                      </m:ctrlPr>
                    </m:dPr>
                    <m:e>
                      <m:r>
                        <w:rPr>
                          <w:rFonts w:ascii="Cambria Math" w:hAnsi="Cambria Math"/>
                        </w:rPr>
                        <m:t>T</m:t>
                      </m:r>
                    </m:e>
                  </m:d>
                </m:e>
              </m:d>
            </m:e>
          </m:d>
        </m:oMath>
      </m:oMathPara>
    </w:p>
    <w:p w14:paraId="16FE3F94" w14:textId="5A19D539" w:rsidR="004332B3" w:rsidRPr="004332B3" w:rsidRDefault="0010066F" w:rsidP="0010066F">
      <w:pPr>
        <w:ind w:firstLine="720"/>
      </w:pPr>
      <w:r>
        <w:t>This soft gating allows the model to blend adjacent regime characteristics for transitional periods (e.g., early MCO easing in 2021) without hard chronological boundaries. Crucially, no date metadata is required at inference – the regime gate is inferred from the observed feature pattern alone.</w:t>
      </w:r>
    </w:p>
    <w:p w14:paraId="2358D5F1" w14:textId="7B6B5F99" w:rsidR="00E963EB" w:rsidRDefault="00E963EB" w:rsidP="00E963EB">
      <w:pPr>
        <w:pStyle w:val="Heading2"/>
        <w:numPr>
          <w:ilvl w:val="3"/>
          <w:numId w:val="3"/>
        </w:numPr>
        <w:rPr>
          <w:b/>
          <w:bCs/>
          <w:sz w:val="24"/>
          <w:szCs w:val="24"/>
          <w:u w:val="single"/>
        </w:rPr>
      </w:pPr>
      <w:r>
        <w:rPr>
          <w:b/>
          <w:bCs/>
          <w:sz w:val="24"/>
          <w:szCs w:val="24"/>
          <w:u w:val="single"/>
        </w:rPr>
        <w:t>Gated Fusion</w:t>
      </w:r>
    </w:p>
    <w:p w14:paraId="5641A9F2" w14:textId="47C42DCA" w:rsidR="00E963EB" w:rsidRDefault="003A5423" w:rsidP="003A5423">
      <w:pPr>
        <w:ind w:firstLine="720"/>
      </w:pPr>
      <w:r>
        <w:t xml:space="preserve">The three encoder outputs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(temporal TCN), </w:t>
      </w:r>
      <m:oMath>
        <m:sSub>
          <m:sSubPr>
            <m:ctrlPr>
              <w:rPr>
                <w:rFonts w:ascii="Cambria Math" w:hAnsi="Cambria Math"/>
              </w:rPr>
            </m:ctrlPr>
          </m:sSubPr>
          <m:e>
            <m:r>
              <w:rPr>
                <w:rFonts w:ascii="Cambria Math" w:hAnsi="Cambria Math"/>
              </w:rPr>
              <m:t>h</m:t>
            </m:r>
          </m:e>
          <m:sub>
            <m:r>
              <w:rPr>
                <w:rFonts w:ascii="Cambria Math" w:hAnsi="Cambria Math"/>
              </w:rPr>
              <m:t>s</m:t>
            </m:r>
          </m:sub>
        </m:sSub>
      </m:oMath>
      <w:r>
        <w:t xml:space="preserve"> (spatial TCN), and </w:t>
      </w:r>
      <m:oMath>
        <m:sSub>
          <m:sSubPr>
            <m:ctrlPr>
              <w:rPr>
                <w:rFonts w:ascii="Cambria Math" w:hAnsi="Cambria Math"/>
              </w:rPr>
            </m:ctrlPr>
          </m:sSubPr>
          <m:e>
            <m:r>
              <w:rPr>
                <w:rFonts w:ascii="Cambria Math" w:hAnsi="Cambria Math"/>
              </w:rPr>
              <m:t>h</m:t>
            </m:r>
          </m:e>
          <m:sub>
            <m:r>
              <w:rPr>
                <w:rFonts w:ascii="Cambria Math" w:hAnsi="Cambria Math"/>
              </w:rPr>
              <m:t>r</m:t>
            </m:r>
          </m:sub>
        </m:sSub>
      </m:oMath>
      <w:r>
        <w:t xml:space="preserve"> (regime gating) are concatenated and passed through a Squeeze-and-Excitation (SE) bottleneck gate:</w:t>
      </w:r>
    </w:p>
    <w:p w14:paraId="22F2E4DD" w14:textId="468B4BB4" w:rsidR="003A5423" w:rsidRPr="003A5423" w:rsidRDefault="003A5423" w:rsidP="003A5423">
      <m:oMathPara>
        <m:oMath>
          <m:r>
            <w:rPr>
              <w:rFonts w:ascii="Cambria Math" w:hAnsi="Cambria Math"/>
            </w:rPr>
            <m:t>h=cat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e>
          </m:d>
          <m:r>
            <w:rPr>
              <w:rFonts w:ascii="Cambria Math" w:hAnsi="Cambria Math"/>
              <w:i/>
            </w:rPr>
            <m:t> </m:t>
          </m:r>
          <m:d>
            <m:dPr>
              <m:ctrlPr>
                <w:rPr>
                  <w:rFonts w:ascii="Cambria Math" w:hAnsi="Cambria Math"/>
                </w:rPr>
              </m:ctrlPr>
            </m:dPr>
            <m:e>
              <m:r>
                <w:rPr>
                  <w:rFonts w:ascii="Cambria Math" w:hAnsi="Cambria Math"/>
                </w:rPr>
                <m:t>B,3⋅</m:t>
              </m:r>
              <m:sSub>
                <m:sSubPr>
                  <m:ctrlPr>
                    <w:rPr>
                      <w:rFonts w:ascii="Cambria Math" w:hAnsi="Cambria Math"/>
                    </w:rPr>
                  </m:ctrlPr>
                </m:sSubPr>
                <m:e>
                  <m:r>
                    <w:rPr>
                      <w:rFonts w:ascii="Cambria Math" w:hAnsi="Cambria Math"/>
                    </w:rPr>
                    <m:t>d</m:t>
                  </m:r>
                </m:e>
                <m:sub>
                  <m:r>
                    <w:rPr>
                      <w:rFonts w:ascii="Cambria Math" w:hAnsi="Cambria Math"/>
                    </w:rPr>
                    <m:t>m</m:t>
                  </m:r>
                  <m:r>
                    <w:rPr>
                      <w:rFonts w:ascii="Cambria Math" w:hAnsi="Cambria Math"/>
                    </w:rPr>
                    <m:t>odel</m:t>
                  </m:r>
                </m:sub>
              </m:sSub>
            </m:e>
          </m:d>
        </m:oMath>
      </m:oMathPara>
    </w:p>
    <w:p w14:paraId="13E0D4FE" w14:textId="2DF08509" w:rsidR="003A5423" w:rsidRPr="003A5423" w:rsidRDefault="003A5423" w:rsidP="003A5423">
      <m:oMathPara>
        <m:oMath>
          <m:r>
            <w:rPr>
              <w:rFonts w:ascii="Cambria Math" w:hAnsi="Cambria Math"/>
            </w:rPr>
            <m:t>g=σ</m:t>
          </m:r>
          <m:d>
            <m:dPr>
              <m:ctrlPr>
                <w:rPr>
                  <w:rFonts w:ascii="Cambria Math" w:hAnsi="Cambria Math"/>
                </w:rPr>
              </m:ctrlPr>
            </m:dPr>
            <m:e>
              <m:r>
                <m:rPr>
                  <m:nor/>
                </m:rPr>
                <w:rPr>
                  <w:rFonts w:ascii="Cambria Math" w:hAnsi="Cambria Math"/>
                </w:rPr>
                <m:t>bottleneck</m:t>
              </m:r>
              <m:d>
                <m:dPr>
                  <m:ctrlPr>
                    <w:rPr>
                      <w:rFonts w:ascii="Cambria Math" w:hAnsi="Cambria Math"/>
                    </w:rPr>
                  </m:ctrlPr>
                </m:dPr>
                <m:e>
                  <m:r>
                    <w:rPr>
                      <w:rFonts w:ascii="Cambria Math" w:hAnsi="Cambria Math"/>
                    </w:rPr>
                    <m:t>h</m:t>
                  </m:r>
                </m:e>
              </m:d>
            </m:e>
          </m:d>
          <m:r>
            <w:rPr>
              <w:rFonts w:ascii="Cambria Math" w:hAnsi="Cambria Math"/>
              <w:i/>
            </w:rPr>
            <m:t> </m:t>
          </m:r>
          <m:r>
            <w:rPr>
              <w:rFonts w:ascii="Cambria Math" w:hAnsi="Cambria Math"/>
            </w:rPr>
            <m:t>SE:3d→3d//4→3d,</m:t>
          </m:r>
          <m:r>
            <m:rPr>
              <m:nor/>
            </m:rPr>
            <w:rPr>
              <w:rFonts w:ascii="Cambria Math" w:hAnsi="Cambria Math"/>
            </w:rPr>
            <m:t> then sigmoid</m:t>
          </m:r>
        </m:oMath>
      </m:oMathPara>
    </w:p>
    <w:p w14:paraId="6503CF53" w14:textId="43035C76" w:rsidR="003A5423" w:rsidRPr="003A5423" w:rsidRDefault="003A5423" w:rsidP="003A5423">
      <m:oMathPara>
        <m:oMath>
          <m:r>
            <w:rPr>
              <w:rFonts w:ascii="Cambria Math" w:hAnsi="Cambria Math"/>
            </w:rPr>
            <m:t>out=</m:t>
          </m:r>
          <m:r>
            <m:rPr>
              <m:nor/>
            </m:rPr>
            <w:rPr>
              <w:rFonts w:ascii="Cambria Math" w:hAnsi="Cambria Math"/>
            </w:rPr>
            <m:t>Linear</m:t>
          </m:r>
          <m:d>
            <m:dPr>
              <m:ctrlPr>
                <w:rPr>
                  <w:rFonts w:ascii="Cambria Math" w:hAnsi="Cambria Math"/>
                </w:rPr>
              </m:ctrlPr>
            </m:dPr>
            <m:e>
              <m:r>
                <w:rPr>
                  <w:rFonts w:ascii="Cambria Math" w:hAnsi="Cambria Math"/>
                </w:rPr>
                <m:t>g⊙h→</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Dropout</m:t>
          </m:r>
          <m:r>
            <w:rPr>
              <w:rFonts w:ascii="Cambria Math" w:hAnsi="Cambria Math"/>
            </w:rPr>
            <m:t>→</m:t>
          </m:r>
          <m:r>
            <m:rPr>
              <m:nor/>
            </m:rPr>
            <w:rPr>
              <w:rFonts w:ascii="Cambria Math" w:hAnsi="Cambria Math"/>
            </w:rPr>
            <m:t>LayerNorm</m:t>
          </m:r>
        </m:oMath>
      </m:oMathPara>
    </w:p>
    <w:p w14:paraId="2B3A0904" w14:textId="1668958B" w:rsidR="003A5423" w:rsidRPr="003A5423" w:rsidRDefault="003A5423" w:rsidP="00E963EB">
      <w:r>
        <w:lastRenderedPageBreak/>
        <w:t>The SE bottleneck avoid a computationally expensive 3d x 3d weight matrix while still learning to calibrate which of the tree encoder streams contributes most for each input context</w:t>
      </w:r>
      <w:r w:rsidR="001E60BE">
        <w:t>.</w:t>
      </w:r>
    </w:p>
    <w:p w14:paraId="596E7164" w14:textId="6FA49134" w:rsidR="00E963EB" w:rsidRDefault="00E963EB" w:rsidP="00E963EB">
      <w:pPr>
        <w:pStyle w:val="Heading2"/>
        <w:numPr>
          <w:ilvl w:val="3"/>
          <w:numId w:val="3"/>
        </w:numPr>
        <w:rPr>
          <w:b/>
          <w:bCs/>
          <w:sz w:val="24"/>
          <w:szCs w:val="24"/>
          <w:u w:val="single"/>
        </w:rPr>
      </w:pPr>
      <w:r>
        <w:rPr>
          <w:b/>
          <w:bCs/>
          <w:sz w:val="24"/>
          <w:szCs w:val="24"/>
          <w:u w:val="single"/>
        </w:rPr>
        <w:t>Dual Forecast Heads and Custom Loss</w:t>
      </w:r>
    </w:p>
    <w:p w14:paraId="121A86D9" w14:textId="688FCF97" w:rsidR="00E963EB" w:rsidRDefault="005A1513" w:rsidP="00672170">
      <w:r>
        <w:t>Two forecast heads are applied to the fused embedding:</w:t>
      </w:r>
    </w:p>
    <w:p w14:paraId="751F0694" w14:textId="2ED80DBC" w:rsidR="005A1513" w:rsidRPr="005A1513" w:rsidRDefault="005A1513">
      <w:pPr>
        <w:pStyle w:val="ListParagraph"/>
        <w:numPr>
          <w:ilvl w:val="0"/>
          <w:numId w:val="14"/>
        </w:numPr>
      </w:pPr>
      <w:r>
        <w:rPr>
          <w:b/>
          <w:bCs/>
        </w:rPr>
        <w:t xml:space="preserve">Primary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model</m:t>
                </m:r>
              </m:sub>
            </m:sSub>
          </m:e>
        </m:d>
        <m:r>
          <w:rPr>
            <w:rFonts w:ascii="Cambria Math" w:hAnsi="Cambria Math"/>
          </w:rPr>
          <m:t>→</m:t>
        </m:r>
        <m:r>
          <m:rPr>
            <m:nor/>
          </m:rPr>
          <w:rPr>
            <w:rFonts w:ascii="Cambria Math" w:hAnsi="Cambria Math"/>
          </w:rPr>
          <m:t>GELU</m:t>
        </m:r>
        <m:r>
          <w:rPr>
            <w:rFonts w:ascii="Cambria Math" w:hAnsi="Cambria Math"/>
          </w:rPr>
          <m:t>→</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oMath>
      <w:r>
        <w:t xml:space="preserve"> with highway residual and LayerNorm.</w:t>
      </w:r>
    </w:p>
    <w:p w14:paraId="0302B37C" w14:textId="07957AB7" w:rsidR="005A1513" w:rsidRPr="005A1513" w:rsidRDefault="005A1513">
      <w:pPr>
        <w:pStyle w:val="ListParagraph"/>
        <w:numPr>
          <w:ilvl w:val="0"/>
          <w:numId w:val="14"/>
        </w:numPr>
      </w:pPr>
      <w:r>
        <w:rPr>
          <w:b/>
          <w:bCs/>
        </w:rPr>
        <w:t xml:space="preserve">Boosting head: </w:t>
      </w:r>
      <m:oMath>
        <m:r>
          <w:rPr>
            <w:rFonts w:ascii="Cambria Math" w:hAnsi="Cambria Math"/>
          </w:rPr>
          <m:t>h→</m:t>
        </m:r>
        <m:r>
          <m:rPr>
            <m:nor/>
          </m:rPr>
          <w:rPr>
            <w:rFonts w:ascii="Cambria Math" w:hAnsi="Cambria Math"/>
          </w:rPr>
          <m:t>Linear</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out</m:t>
                </m:r>
              </m:sub>
            </m:sSub>
          </m:e>
        </m:d>
        <m:r>
          <w:rPr>
            <w:rFonts w:ascii="Cambria Math" w:hAnsi="Cambria Math"/>
          </w:rPr>
          <m:t>×</m:t>
        </m:r>
        <m:r>
          <m:rPr>
            <m:nor/>
          </m:rPr>
          <w:rPr>
            <w:rFonts w:ascii="Cambria Math" w:hAnsi="Cambria Math"/>
          </w:rPr>
          <m:t>sigmoid</m:t>
        </m:r>
        <m:d>
          <m:dPr>
            <m:ctrlPr>
              <w:rPr>
                <w:rFonts w:ascii="Cambria Math" w:hAnsi="Cambria Math"/>
              </w:rPr>
            </m:ctrlPr>
          </m:dPr>
          <m:e>
            <m:r>
              <w:rPr>
                <w:rFonts w:ascii="Cambria Math" w:hAnsi="Cambria Math"/>
              </w:rPr>
              <m:t>α</m:t>
            </m:r>
          </m:e>
        </m:d>
      </m:oMath>
      <w:r>
        <w:t xml:space="preserve"> where </w:t>
      </w:r>
      <m:oMath>
        <m:r>
          <w:rPr>
            <w:rFonts w:ascii="Cambria Math" w:hAnsi="Cambria Math"/>
          </w:rPr>
          <m:t>α</m:t>
        </m:r>
      </m:oMath>
      <w:r>
        <w:t xml:space="preserve"> is initialised to -2.0 so </w:t>
      </w:r>
      <w:proofErr w:type="gramStart"/>
      <w:r>
        <w:t>sigmoid(</w:t>
      </w:r>
      <w:proofErr w:type="gramEnd"/>
      <w:r>
        <w:t>-2.0) ~ 0.12 suppresses the boosting contribution early in training; the head gradually activates as training converges</w:t>
      </w:r>
    </w:p>
    <w:p w14:paraId="6C8D431E" w14:textId="5053D1C2" w:rsidR="005A1513" w:rsidRPr="005A1513" w:rsidRDefault="005A1513" w:rsidP="00672170">
      <w:r>
        <w:t xml:space="preserve">Final prediction: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primary</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boost</m:t>
            </m:r>
          </m:sub>
        </m:sSub>
      </m:oMath>
    </w:p>
    <w:p w14:paraId="14FC0427" w14:textId="2DC5EF45" w:rsidR="005A1513" w:rsidRDefault="005A1513" w:rsidP="00672170">
      <w:r>
        <w:t>The custom loss penalises both prediction accuracy and smoothness:</w:t>
      </w:r>
    </w:p>
    <w:p w14:paraId="4439283E" w14:textId="479973E6" w:rsidR="005A1513" w:rsidRPr="005A1513" w:rsidRDefault="005A1513" w:rsidP="005A1513">
      <m:oMathPara>
        <m:oMath>
          <m:r>
            <w:rPr>
              <w:rFonts w:ascii="Cambria Math" w:hAnsi="Cambria Math"/>
            </w:rPr>
            <m:t>L=</m:t>
          </m:r>
          <m:r>
            <m:rPr>
              <m:nor/>
            </m:rPr>
            <w:rPr>
              <w:rFonts w:ascii="Cambria Math" w:hAnsi="Cambria Math"/>
            </w:rPr>
            <m:t>WeightedHuber(step-decay </m:t>
          </m:r>
          <m:r>
            <w:rPr>
              <w:rFonts w:ascii="Cambria Math" w:hAnsi="Cambria Math"/>
              <w:i/>
            </w:rPr>
            <m:t> </m:t>
          </m:r>
          <m:r>
            <w:rPr>
              <w:rFonts w:ascii="Cambria Math" w:hAnsi="Cambria Math"/>
            </w:rPr>
            <m:t>γ=0.9)+λ⋅</m:t>
          </m:r>
          <m:r>
            <m:rPr>
              <m:nor/>
            </m:rPr>
            <w:rPr>
              <w:rFonts w:ascii="Cambria Math" w:hAnsi="Cambria Math"/>
            </w:rPr>
            <m:t>TemporalSmoothness</m:t>
          </m:r>
        </m:oMath>
      </m:oMathPara>
    </w:p>
    <w:p w14:paraId="149CDBA3" w14:textId="63C9FF34" w:rsidR="006F2C1B" w:rsidRPr="006F2C1B" w:rsidRDefault="005A1513" w:rsidP="008F053F">
      <w:pPr>
        <w:ind w:firstLine="720"/>
      </w:pPr>
      <w:r>
        <w:t>Step 1 (1-day-ahead) has weight 1.0; Step 7 (7-day-ahead) receives weight 0.9</w:t>
      </w:r>
      <w:r>
        <w:rPr>
          <w:vertAlign w:val="superscript"/>
        </w:rPr>
        <w:t>6</w:t>
      </w:r>
      <w:r>
        <w:t xml:space="preserve"> ~ 0.53. </w:t>
      </w:r>
      <w:proofErr w:type="spellStart"/>
      <w:r>
        <w:t>TemporalSmoothness</w:t>
      </w:r>
      <w:proofErr w:type="spellEnd"/>
      <w:r w:rsidR="006F2C1B">
        <w:t xml:space="preserve"> = </w:t>
      </w:r>
      <m:oMath>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e>
            </m:d>
          </m:e>
          <m:sup>
            <m:r>
              <w:rPr>
                <w:rFonts w:ascii="Cambria Math" w:hAnsi="Cambria Math"/>
              </w:rPr>
              <m:t>2</m:t>
            </m:r>
          </m:sup>
        </m:sSup>
      </m:oMath>
      <w:r w:rsidR="006F2C1B">
        <w:t xml:space="preserve"> across </w:t>
      </w:r>
      <m:oMath>
        <m:sSub>
          <m:sSubPr>
            <m:ctrlPr>
              <w:rPr>
                <w:rFonts w:ascii="Cambria Math" w:hAnsi="Cambria Math"/>
              </w:rPr>
            </m:ctrlPr>
          </m:sSubPr>
          <m:e>
            <m:r>
              <w:rPr>
                <w:rFonts w:ascii="Cambria Math" w:hAnsi="Cambria Math"/>
              </w:rPr>
              <m:t>T</m:t>
            </m:r>
          </m:e>
          <m:sub>
            <m:r>
              <w:rPr>
                <w:rFonts w:ascii="Cambria Math" w:hAnsi="Cambria Math"/>
              </w:rPr>
              <m:t>out</m:t>
            </m:r>
          </m:sub>
        </m:sSub>
      </m:oMath>
      <w:r w:rsidR="006F2C1B">
        <w:t xml:space="preserve"> prevents oscillatory day-to-day predictions.</w:t>
      </w:r>
    </w:p>
    <w:p w14:paraId="4FFA2270" w14:textId="0EEA14E8" w:rsidR="00E963EB" w:rsidRDefault="00E963EB" w:rsidP="00E963EB">
      <w:pPr>
        <w:pStyle w:val="Heading2"/>
        <w:numPr>
          <w:ilvl w:val="3"/>
          <w:numId w:val="3"/>
        </w:numPr>
        <w:jc w:val="left"/>
        <w:rPr>
          <w:b/>
          <w:bCs/>
          <w:sz w:val="24"/>
          <w:szCs w:val="24"/>
          <w:u w:val="single"/>
        </w:rPr>
      </w:pPr>
      <w:r>
        <w:rPr>
          <w:b/>
          <w:bCs/>
          <w:sz w:val="24"/>
          <w:szCs w:val="24"/>
          <w:u w:val="single"/>
        </w:rPr>
        <w:t>Future Temporal Projection – Known-Future Calendar Conditioning</w:t>
      </w:r>
    </w:p>
    <w:p w14:paraId="2F954866" w14:textId="6095651D" w:rsidR="005D1354" w:rsidRPr="005D1354" w:rsidRDefault="005D1354" w:rsidP="005D1354">
      <w:pPr>
        <w:ind w:firstLine="720"/>
      </w:pPr>
      <w:r>
        <w:t xml:space="preserve">The 16 temporal features are deterministic for any future calendar date, so it was pre-computed for the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t xml:space="preserve"> forecast steps of each window as </w:t>
      </w:r>
      <m:oMath>
        <m:sSub>
          <m:sSubPr>
            <m:ctrlPr>
              <w:rPr>
                <w:rFonts w:ascii="Cambria Math" w:hAnsi="Cambria Math"/>
              </w:rPr>
            </m:ctrlPr>
          </m:sSubPr>
          <m:e>
            <m:r>
              <w:rPr>
                <w:rFonts w:ascii="Cambria Math" w:hAnsi="Cambria Math"/>
              </w:rPr>
              <m:t>X</m:t>
            </m:r>
          </m:e>
          <m:sub>
            <m:r>
              <w:rPr>
                <w:rFonts w:ascii="Cambria Math" w:hAnsi="Cambria Math"/>
              </w:rPr>
              <m:t>future</m:t>
            </m:r>
          </m:sub>
        </m:sSub>
        <m:r>
          <w:rPr>
            <w:rFonts w:ascii="Cambria Math" w:hAnsi="Cambria Math"/>
          </w:rPr>
          <m:t>:</m:t>
        </m:r>
        <m:d>
          <m:dPr>
            <m:ctrlPr>
              <w:rPr>
                <w:rFonts w:ascii="Cambria Math" w:hAnsi="Cambria Math"/>
              </w:rPr>
            </m:ctrlPr>
          </m:dPr>
          <m:e>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out</m:t>
                </m:r>
              </m:sub>
            </m:sSub>
            <m:r>
              <w:rPr>
                <w:rFonts w:ascii="Cambria Math" w:hAnsi="Cambria Math"/>
              </w:rPr>
              <m:t>,16</m:t>
            </m:r>
          </m:e>
        </m:d>
      </m:oMath>
      <w:r>
        <w:t>. A per-step MLP (</w:t>
      </w:r>
      <m:oMath>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t</m:t>
                    </m:r>
                  </m:sub>
                </m:sSub>
                <m:r>
                  <w:rPr>
                    <w:rFonts w:ascii="Cambria Math" w:hAnsi="Cambria Math"/>
                  </w:rPr>
                  <m:t>,32</m:t>
                </m:r>
              </m:e>
            </m:d>
          </m:e>
        </m:func>
        <m:r>
          <w:rPr>
            <w:rFonts w:ascii="Cambria Math" w:hAnsi="Cambria Math"/>
          </w:rPr>
          <m:t>→1</m:t>
        </m:r>
      </m:oMath>
      <w:r>
        <w:t>, zero-initialised so it starts as a no-op) learns an additive correction from this known-future context – letting the model anticipate weekend dips and holiday effects inside the forecast horizon rather than extrapolating them from the look-back window.</w:t>
      </w:r>
    </w:p>
    <w:p w14:paraId="41838942" w14:textId="40DA68BA" w:rsidR="00E963EB" w:rsidRDefault="00E963EB" w:rsidP="00E963EB">
      <w:pPr>
        <w:pStyle w:val="Heading2"/>
        <w:numPr>
          <w:ilvl w:val="3"/>
          <w:numId w:val="3"/>
        </w:numPr>
        <w:rPr>
          <w:b/>
          <w:bCs/>
          <w:sz w:val="24"/>
          <w:szCs w:val="24"/>
          <w:u w:val="single"/>
        </w:rPr>
      </w:pPr>
      <w:r>
        <w:rPr>
          <w:b/>
          <w:bCs/>
          <w:sz w:val="24"/>
          <w:szCs w:val="24"/>
          <w:u w:val="single"/>
        </w:rPr>
        <w:t>Post-Hoc Residual Boosting</w:t>
      </w:r>
    </w:p>
    <w:p w14:paraId="52A9469D" w14:textId="32382174" w:rsidR="00D10CD2" w:rsidRPr="00D10CD2" w:rsidRDefault="00D10CD2" w:rsidP="008358BA">
      <w:pPr>
        <w:ind w:firstLine="720"/>
      </w:pPr>
      <w:r>
        <w:t xml:space="preserve">After neural training, a </w:t>
      </w:r>
      <w:proofErr w:type="spellStart"/>
      <w:r>
        <w:t>CatBoost</w:t>
      </w:r>
      <w:proofErr w:type="spellEnd"/>
      <w:r>
        <w:t xml:space="preserve"> model is fitted on training set residuals </w:t>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true</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neural</m:t>
            </m:r>
          </m:sub>
        </m:sSub>
      </m:oMath>
      <w:r>
        <w:t xml:space="preserve">. The correction is applied as: </w:t>
      </w:r>
      <m:oMath>
        <m:sSub>
          <m:sSubPr>
            <m:ctrlPr>
              <w:rPr>
                <w:rFonts w:ascii="Cambria Math" w:hAnsi="Cambria Math"/>
              </w:rPr>
            </m:ctrlPr>
          </m:sSubPr>
          <m:e>
            <m:r>
              <w:rPr>
                <w:rFonts w:ascii="Cambria Math" w:hAnsi="Cambria Math"/>
              </w:rPr>
              <m:t>y</m:t>
            </m:r>
          </m:e>
          <m:sub>
            <m:r>
              <w:rPr>
                <w:rFonts w:ascii="Cambria Math" w:hAnsi="Cambria Math"/>
              </w:rPr>
              <m:t>final</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neural</m:t>
            </m:r>
          </m:sub>
        </m:sSub>
        <m:r>
          <w:rPr>
            <w:rFonts w:ascii="Cambria Math" w:hAnsi="Cambria Math"/>
          </w:rPr>
          <m:t>+0.5×</m:t>
        </m:r>
        <m:sSub>
          <m:sSubPr>
            <m:ctrlPr>
              <w:rPr>
                <w:rFonts w:ascii="Cambria Math" w:hAnsi="Cambria Math"/>
              </w:rPr>
            </m:ctrlPr>
          </m:sSubPr>
          <m:e>
            <m:r>
              <w:rPr>
                <w:rFonts w:ascii="Cambria Math" w:hAnsi="Cambria Math"/>
              </w:rPr>
              <m:t>Δ</m:t>
            </m:r>
          </m:e>
          <m:sub>
            <m:r>
              <w:rPr>
                <w:rFonts w:ascii="Cambria Math" w:hAnsi="Cambria Math"/>
              </w:rPr>
              <m:t>boost</m:t>
            </m:r>
          </m:sub>
        </m:sSub>
      </m:oMath>
      <w:r>
        <w:t>, activated only if Combined% improves on the validation set. This provides a non-parametric second-stage correction for systematic prediction biases without modifying the neural model. In the regenerated runs the validation gate activates the boost only at extreme lookbacks.</w:t>
      </w:r>
    </w:p>
    <w:p w14:paraId="4DF64A42" w14:textId="796F564A" w:rsidR="00F80C70" w:rsidRDefault="00F80C70" w:rsidP="00E963EB">
      <w:pPr>
        <w:pStyle w:val="Heading2"/>
        <w:numPr>
          <w:ilvl w:val="2"/>
          <w:numId w:val="3"/>
        </w:numPr>
        <w:rPr>
          <w:b/>
          <w:bCs/>
          <w:sz w:val="24"/>
          <w:szCs w:val="24"/>
          <w:u w:val="single"/>
        </w:rPr>
      </w:pPr>
      <w:r>
        <w:rPr>
          <w:b/>
          <w:bCs/>
          <w:sz w:val="24"/>
          <w:szCs w:val="24"/>
          <w:u w:val="single"/>
        </w:rPr>
        <w:lastRenderedPageBreak/>
        <w:t>Architecture Diagram</w:t>
      </w:r>
    </w:p>
    <w:p w14:paraId="1299E469" w14:textId="465736B4" w:rsidR="009C2312" w:rsidRDefault="00340959" w:rsidP="009C2312">
      <w:r>
        <w:rPr>
          <w:noProof/>
        </w:rPr>
        <w:drawing>
          <wp:inline distT="0" distB="0" distL="0" distR="0" wp14:anchorId="1ADA664B" wp14:editId="49864463">
            <wp:extent cx="5731510" cy="1182370"/>
            <wp:effectExtent l="19050" t="19050" r="21590" b="17780"/>
            <wp:docPr id="666873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73295" name="Picture 666873295"/>
                    <pic:cNvPicPr/>
                  </pic:nvPicPr>
                  <pic:blipFill>
                    <a:blip r:embed="rId30"/>
                    <a:stretch>
                      <a:fillRect/>
                    </a:stretch>
                  </pic:blipFill>
                  <pic:spPr>
                    <a:xfrm>
                      <a:off x="0" y="0"/>
                      <a:ext cx="5731510" cy="1182370"/>
                    </a:xfrm>
                    <a:prstGeom prst="rect">
                      <a:avLst/>
                    </a:prstGeom>
                    <a:ln>
                      <a:solidFill>
                        <a:schemeClr val="tx1"/>
                      </a:solidFill>
                    </a:ln>
                  </pic:spPr>
                </pic:pic>
              </a:graphicData>
            </a:graphic>
          </wp:inline>
        </w:drawing>
      </w:r>
    </w:p>
    <w:p w14:paraId="2BB90FBA" w14:textId="542AF467" w:rsidR="009C2312" w:rsidRPr="009C2312" w:rsidRDefault="009C2312" w:rsidP="009C2312">
      <w:pPr>
        <w:pStyle w:val="Caption"/>
        <w:jc w:val="center"/>
        <w:rPr>
          <w:color w:val="auto"/>
          <w:sz w:val="24"/>
          <w:szCs w:val="24"/>
        </w:rPr>
      </w:pPr>
      <w:r w:rsidRPr="009C2312">
        <w:rPr>
          <w:color w:val="auto"/>
          <w:sz w:val="24"/>
          <w:szCs w:val="24"/>
        </w:rPr>
        <w:t xml:space="preserve">Figure </w:t>
      </w:r>
      <w:r w:rsidRPr="009C2312">
        <w:rPr>
          <w:color w:val="auto"/>
          <w:sz w:val="24"/>
          <w:szCs w:val="24"/>
        </w:rPr>
        <w:fldChar w:fldCharType="begin"/>
      </w:r>
      <w:r w:rsidRPr="009C2312">
        <w:rPr>
          <w:color w:val="auto"/>
          <w:sz w:val="24"/>
          <w:szCs w:val="24"/>
        </w:rPr>
        <w:instrText xml:space="preserve"> SEQ Figure \* ARABIC </w:instrText>
      </w:r>
      <w:r w:rsidRPr="009C2312">
        <w:rPr>
          <w:color w:val="auto"/>
          <w:sz w:val="24"/>
          <w:szCs w:val="24"/>
        </w:rPr>
        <w:fldChar w:fldCharType="separate"/>
      </w:r>
      <w:r w:rsidR="00D856F4">
        <w:rPr>
          <w:noProof/>
          <w:color w:val="auto"/>
          <w:sz w:val="24"/>
          <w:szCs w:val="24"/>
        </w:rPr>
        <w:t>23</w:t>
      </w:r>
      <w:r w:rsidRPr="009C2312">
        <w:rPr>
          <w:color w:val="auto"/>
          <w:sz w:val="24"/>
          <w:szCs w:val="24"/>
        </w:rPr>
        <w:fldChar w:fldCharType="end"/>
      </w:r>
      <w:r>
        <w:rPr>
          <w:color w:val="auto"/>
          <w:sz w:val="24"/>
          <w:szCs w:val="24"/>
        </w:rPr>
        <w:t xml:space="preserve">: HMT-TSF architectural flow diagram illustrating a multi-path technical processing pipeline. It begins with sequential initial steps on the far left, splits into three distinct parallel processing blocks in the </w:t>
      </w:r>
      <w:r w:rsidR="008D3FF0">
        <w:rPr>
          <w:color w:val="auto"/>
          <w:sz w:val="24"/>
          <w:szCs w:val="24"/>
        </w:rPr>
        <w:t>centre</w:t>
      </w:r>
      <w:r>
        <w:rPr>
          <w:color w:val="auto"/>
          <w:sz w:val="24"/>
          <w:szCs w:val="24"/>
        </w:rPr>
        <w:t xml:space="preserve"> (highlighted in green and blue blocks</w:t>
      </w:r>
      <w:r w:rsidR="00BA28B2">
        <w:rPr>
          <w:color w:val="auto"/>
          <w:sz w:val="24"/>
          <w:szCs w:val="24"/>
        </w:rPr>
        <w:t>) and</w:t>
      </w:r>
      <w:r>
        <w:rPr>
          <w:color w:val="auto"/>
          <w:sz w:val="24"/>
          <w:szCs w:val="24"/>
        </w:rPr>
        <w:t xml:space="preserve"> converges back into a single sequence of analytical and output steps on the right.</w:t>
      </w:r>
      <w:r w:rsidR="00845B3D">
        <w:rPr>
          <w:color w:val="auto"/>
          <w:sz w:val="24"/>
          <w:szCs w:val="24"/>
        </w:rPr>
        <w:t xml:space="preserve"> Full training configurations are as listed in Appendix</w:t>
      </w:r>
      <w:r w:rsidR="0051770A">
        <w:rPr>
          <w:color w:val="auto"/>
          <w:sz w:val="24"/>
          <w:szCs w:val="24"/>
        </w:rPr>
        <w:t xml:space="preserve"> </w:t>
      </w:r>
      <w:r w:rsidR="00840CB7">
        <w:rPr>
          <w:color w:val="auto"/>
          <w:sz w:val="24"/>
          <w:szCs w:val="24"/>
        </w:rPr>
        <w:t>5</w:t>
      </w:r>
      <w:r w:rsidR="00845B3D">
        <w:rPr>
          <w:color w:val="auto"/>
          <w:sz w:val="24"/>
          <w:szCs w:val="24"/>
        </w:rPr>
        <w:t>.</w:t>
      </w:r>
    </w:p>
    <w:p w14:paraId="0042B0F3" w14:textId="323FAB9F" w:rsidR="00F80C70" w:rsidRDefault="00846618" w:rsidP="00E963EB">
      <w:pPr>
        <w:pStyle w:val="Heading2"/>
        <w:numPr>
          <w:ilvl w:val="2"/>
          <w:numId w:val="3"/>
        </w:numPr>
        <w:rPr>
          <w:b/>
          <w:bCs/>
          <w:sz w:val="24"/>
          <w:szCs w:val="24"/>
          <w:u w:val="single"/>
        </w:rPr>
      </w:pPr>
      <w:r>
        <w:rPr>
          <w:b/>
          <w:bCs/>
          <w:sz w:val="24"/>
          <w:szCs w:val="24"/>
          <w:u w:val="single"/>
        </w:rPr>
        <w:t>Strengths</w:t>
      </w:r>
    </w:p>
    <w:p w14:paraId="635E45C1" w14:textId="7FD04857" w:rsidR="003431C4" w:rsidRDefault="003431C4">
      <w:pPr>
        <w:pStyle w:val="ListParagraph"/>
        <w:numPr>
          <w:ilvl w:val="0"/>
          <w:numId w:val="11"/>
        </w:numPr>
      </w:pPr>
      <w:r>
        <w:t>Three parallel encoders address all three primary modelling challenges identified from the baseline analysis: temporal dynamics (TCN), inter-feature correlations (GCN), and regime shift (gating).</w:t>
      </w:r>
    </w:p>
    <w:p w14:paraId="29261E42" w14:textId="68DCA837" w:rsidR="003431C4" w:rsidRDefault="003431C4">
      <w:pPr>
        <w:pStyle w:val="ListParagraph"/>
        <w:numPr>
          <w:ilvl w:val="0"/>
          <w:numId w:val="11"/>
        </w:numPr>
      </w:pPr>
      <w:r>
        <w:t xml:space="preserve">Semantic feature group embedding with learned </w:t>
      </w:r>
      <w:proofErr w:type="spellStart"/>
      <w:r>
        <w:t>softmax</w:t>
      </w:r>
      <w:proofErr w:type="spellEnd"/>
      <w:r>
        <w:t xml:space="preserve"> gate provides adaptive feature-source weighting – the model learns which data sources matter most per context</w:t>
      </w:r>
      <w:r w:rsidR="00B20942">
        <w:t>.</w:t>
      </w:r>
    </w:p>
    <w:p w14:paraId="0B9FCC00" w14:textId="61E61A16" w:rsidR="003431C4" w:rsidRDefault="003431C4">
      <w:pPr>
        <w:pStyle w:val="ListParagraph"/>
        <w:numPr>
          <w:ilvl w:val="0"/>
          <w:numId w:val="11"/>
        </w:numPr>
      </w:pPr>
      <w:r>
        <w:t>RevIN and Regime Gating jointly address the MCO distributional shift from two independent directions: instance-level normalisation removes amplitude drift; explicit regime embeddings adjust the prediction bias for each operational regime.</w:t>
      </w:r>
    </w:p>
    <w:p w14:paraId="7EFF2306" w14:textId="74F00A1E" w:rsidR="003431C4" w:rsidRDefault="003431C4">
      <w:pPr>
        <w:pStyle w:val="ListParagraph"/>
        <w:numPr>
          <w:ilvl w:val="0"/>
          <w:numId w:val="11"/>
        </w:numPr>
      </w:pPr>
      <w:r>
        <w:t xml:space="preserve">Multi-scale TCN with </w:t>
      </w:r>
      <w:proofErr w:type="spellStart"/>
      <w:r>
        <w:t>DropPath</w:t>
      </w:r>
      <w:proofErr w:type="spellEnd"/>
      <w:r>
        <w:t xml:space="preserve"> avoids spectral leakage and sequence-length sensitivity in </w:t>
      </w:r>
      <w:proofErr w:type="spellStart"/>
      <w:r>
        <w:t>Autoformer</w:t>
      </w:r>
      <w:proofErr w:type="spellEnd"/>
      <w:r>
        <w:t>.</w:t>
      </w:r>
    </w:p>
    <w:p w14:paraId="03F238B8" w14:textId="31B892B4" w:rsidR="003431C4" w:rsidRPr="009C2312" w:rsidRDefault="003431C4">
      <w:pPr>
        <w:pStyle w:val="ListParagraph"/>
        <w:numPr>
          <w:ilvl w:val="0"/>
          <w:numId w:val="11"/>
        </w:numPr>
      </w:pPr>
      <w:r>
        <w:t>Dual forecast heads with suppressed boosting initialisation ensure stable early training while allowing residual correction to activate progressively.</w:t>
      </w:r>
    </w:p>
    <w:p w14:paraId="2775B3A3" w14:textId="411B252A" w:rsidR="00F80C70" w:rsidRDefault="00846618" w:rsidP="00E963EB">
      <w:pPr>
        <w:pStyle w:val="Heading2"/>
        <w:numPr>
          <w:ilvl w:val="2"/>
          <w:numId w:val="3"/>
        </w:numPr>
        <w:rPr>
          <w:b/>
          <w:bCs/>
          <w:sz w:val="24"/>
          <w:szCs w:val="24"/>
          <w:u w:val="single"/>
        </w:rPr>
      </w:pPr>
      <w:r>
        <w:rPr>
          <w:b/>
          <w:bCs/>
          <w:sz w:val="24"/>
          <w:szCs w:val="24"/>
          <w:u w:val="single"/>
        </w:rPr>
        <w:t>Weaknesses</w:t>
      </w:r>
    </w:p>
    <w:p w14:paraId="0F1044F3" w14:textId="044FC2D5" w:rsidR="003F303F" w:rsidRDefault="00082CFA">
      <w:pPr>
        <w:pStyle w:val="ListParagraph"/>
        <w:numPr>
          <w:ilvl w:val="0"/>
          <w:numId w:val="12"/>
        </w:numPr>
      </w:pPr>
      <w:r>
        <w:t xml:space="preserve">Significantly higher parameter </w:t>
      </w:r>
      <w:r w:rsidR="008667AD">
        <w:t>counts</w:t>
      </w:r>
      <w:r>
        <w:t xml:space="preserve"> and architectural complexity than any single baseline and need careful tuning of RevIN, SE gate, </w:t>
      </w:r>
      <w:proofErr w:type="spellStart"/>
      <w:r>
        <w:t>DropPath</w:t>
      </w:r>
      <w:proofErr w:type="spellEnd"/>
      <w:r>
        <w:t>, and boosting head initialisation.</w:t>
      </w:r>
    </w:p>
    <w:p w14:paraId="249503BF" w14:textId="28E18D9D" w:rsidR="00082CFA" w:rsidRDefault="00082CFA">
      <w:pPr>
        <w:pStyle w:val="ListParagraph"/>
        <w:numPr>
          <w:ilvl w:val="0"/>
          <w:numId w:val="12"/>
        </w:numPr>
      </w:pPr>
      <w:r>
        <w:t xml:space="preserve">Post-hoc </w:t>
      </w:r>
      <w:proofErr w:type="spellStart"/>
      <w:r>
        <w:t>CatBoost</w:t>
      </w:r>
      <w:proofErr w:type="spellEnd"/>
      <w:r>
        <w:t xml:space="preserve"> residual correction adds a second-stage pipeline that is harder to explain and may degrade if neural residuals are not well-structured.</w:t>
      </w:r>
    </w:p>
    <w:p w14:paraId="7E2F5D10" w14:textId="264641CF" w:rsidR="00082CFA" w:rsidRDefault="00082CFA">
      <w:pPr>
        <w:pStyle w:val="ListParagraph"/>
        <w:numPr>
          <w:ilvl w:val="0"/>
          <w:numId w:val="12"/>
        </w:numPr>
      </w:pPr>
      <w:r>
        <w:lastRenderedPageBreak/>
        <w:t xml:space="preserve">The </w:t>
      </w:r>
      <w:r w:rsidR="003D3317">
        <w:t>k</w:t>
      </w:r>
      <w:r>
        <w:t xml:space="preserve">=3 regime embedding boundaries are manually motivated by MCO chronology, a different country or crisis </w:t>
      </w:r>
      <w:r w:rsidR="00870A8E">
        <w:t>timeline</w:t>
      </w:r>
      <w:r>
        <w:t xml:space="preserve"> would require re-specification of regime count and boundary dates.</w:t>
      </w:r>
    </w:p>
    <w:p w14:paraId="61EBA969" w14:textId="6AE5D875" w:rsidR="00082CFA" w:rsidRDefault="00082CFA">
      <w:pPr>
        <w:pStyle w:val="ListParagraph"/>
        <w:numPr>
          <w:ilvl w:val="0"/>
          <w:numId w:val="12"/>
        </w:numPr>
      </w:pPr>
      <w:r>
        <w:t>Static Pearson graph in the Feature Graph Encoder inherits the same MCO-sensitivity limitation as STGCN and ASTGCN, partially offset by RevIN and regime gating but not fully resolved.</w:t>
      </w:r>
    </w:p>
    <w:p w14:paraId="471B449B" w14:textId="57B01762" w:rsidR="003F303F" w:rsidRDefault="003F303F" w:rsidP="00E963EB">
      <w:pPr>
        <w:pStyle w:val="Heading2"/>
        <w:numPr>
          <w:ilvl w:val="1"/>
          <w:numId w:val="3"/>
        </w:numPr>
        <w:rPr>
          <w:b/>
          <w:bCs/>
          <w:sz w:val="24"/>
          <w:szCs w:val="24"/>
          <w:u w:val="single"/>
        </w:rPr>
      </w:pPr>
      <w:r>
        <w:rPr>
          <w:b/>
          <w:bCs/>
          <w:sz w:val="24"/>
          <w:szCs w:val="24"/>
          <w:u w:val="single"/>
        </w:rPr>
        <w:t>Evaluation Metrics</w:t>
      </w:r>
    </w:p>
    <w:p w14:paraId="35175EC5" w14:textId="7C9E7B22" w:rsidR="005D2D4A" w:rsidRDefault="005D2D4A" w:rsidP="00E963EB">
      <w:pPr>
        <w:pStyle w:val="Heading2"/>
        <w:numPr>
          <w:ilvl w:val="2"/>
          <w:numId w:val="3"/>
        </w:numPr>
        <w:rPr>
          <w:b/>
          <w:bCs/>
          <w:sz w:val="24"/>
          <w:szCs w:val="24"/>
          <w:u w:val="single"/>
        </w:rPr>
      </w:pPr>
      <w:r>
        <w:rPr>
          <w:b/>
          <w:bCs/>
          <w:sz w:val="24"/>
          <w:szCs w:val="24"/>
          <w:u w:val="single"/>
        </w:rPr>
        <w:t>Combined Accuracy Percentage (Combined %)</w:t>
      </w:r>
    </w:p>
    <w:p w14:paraId="687988C4" w14:textId="6C7AA762" w:rsidR="00750A89" w:rsidRDefault="00F277F5" w:rsidP="00D376C3">
      <w:pPr>
        <w:ind w:firstLine="720"/>
      </w:pPr>
      <w:r>
        <w:t>Combined% serves as a composite index that aggregates absolute, proportional, and squared error metrics to provide a single performance rank for model comparison. The composite value is computed as:</w:t>
      </w:r>
    </w:p>
    <w:p w14:paraId="21E73C8B" w14:textId="5FE1370E" w:rsidR="00D376C3" w:rsidRPr="004D4432" w:rsidRDefault="004D4432" w:rsidP="00D376C3">
      <m:oMathPara>
        <m:oMath>
          <m:r>
            <m:rPr>
              <m:nor/>
            </m:rPr>
            <w:rPr>
              <w:rFonts w:ascii="Cambria Math" w:hAnsi="Cambria Math"/>
            </w:rPr>
            <m:t>Combined%</m:t>
          </m:r>
          <m:r>
            <w:rPr>
              <w:rFonts w:ascii="Cambria Math" w:hAnsi="Cambria Math"/>
            </w:rPr>
            <m:t>=</m:t>
          </m:r>
          <m:r>
            <m:rPr>
              <m:nor/>
            </m:rPr>
            <w:rPr>
              <w:rFonts w:ascii="Cambria Math" w:hAnsi="Cambria Math"/>
            </w:rPr>
            <m:t>max(0, 100 - MAPE - MAE% - RMSE%)</m:t>
          </m:r>
        </m:oMath>
      </m:oMathPara>
    </w:p>
    <w:p w14:paraId="413269A7" w14:textId="6960AD64" w:rsidR="004D4432" w:rsidRDefault="004D4432">
      <w:pPr>
        <w:pStyle w:val="ListParagraph"/>
        <w:numPr>
          <w:ilvl w:val="0"/>
          <w:numId w:val="9"/>
        </w:numPr>
      </w:pPr>
      <w:r>
        <w:t>Higher is better, clipped, cannot be negative</w:t>
      </w:r>
    </w:p>
    <w:p w14:paraId="3543ACFB" w14:textId="3BFD9D86" w:rsidR="004D4432" w:rsidRDefault="004D4432">
      <w:pPr>
        <w:pStyle w:val="ListParagraph"/>
        <w:numPr>
          <w:ilvl w:val="0"/>
          <w:numId w:val="9"/>
        </w:numPr>
      </w:pPr>
      <w:r>
        <w:t>All three constituent terms are mean-demand-normalized percentages, making them dimensionally homogeneous and directly addable on the same scale.</w:t>
      </w:r>
    </w:p>
    <w:p w14:paraId="5EBCDE6E" w14:textId="780B48D8" w:rsidR="006678AE" w:rsidRPr="004D4432" w:rsidRDefault="00F277F5" w:rsidP="00870A8E">
      <w:pPr>
        <w:ind w:firstLine="720"/>
      </w:pPr>
      <w:r>
        <w:t>Equal weighting reflects the operational reality of transit management, where percentage errors relative to daily volume (MAPE), average absolute passenger discrepancies (MAE%), and large individual forecast failures (RMSE%) are equally critical. To understand the specific error characteristics captured by this index, each constituent metric must be analysed independently.</w:t>
      </w:r>
    </w:p>
    <w:p w14:paraId="030F08D9" w14:textId="1B251249" w:rsidR="005D2D4A" w:rsidRDefault="005D2D4A" w:rsidP="00E963EB">
      <w:pPr>
        <w:pStyle w:val="Heading2"/>
        <w:numPr>
          <w:ilvl w:val="2"/>
          <w:numId w:val="3"/>
        </w:numPr>
        <w:rPr>
          <w:b/>
          <w:bCs/>
          <w:sz w:val="24"/>
          <w:szCs w:val="24"/>
          <w:u w:val="single"/>
        </w:rPr>
      </w:pPr>
      <w:r>
        <w:rPr>
          <w:b/>
          <w:bCs/>
          <w:sz w:val="24"/>
          <w:szCs w:val="24"/>
          <w:u w:val="single"/>
        </w:rPr>
        <w:t>Mean Absolute Percentage Error (MAPE%)</w:t>
      </w:r>
    </w:p>
    <w:p w14:paraId="4290F6BD" w14:textId="1E13DC7B" w:rsidR="00750A89" w:rsidRDefault="00320572" w:rsidP="00655E39">
      <w:pPr>
        <w:ind w:firstLine="720"/>
      </w:pPr>
      <w:r>
        <w:t>MAPE provides a scale-independent measure of forecast accuracy by expressing average prediction errors relative to actual daily demand. The metric is defined mathematically as:</w:t>
      </w:r>
    </w:p>
    <w:p w14:paraId="42B19E74" w14:textId="7C67DC47" w:rsidR="00655E39" w:rsidRPr="003E11BE" w:rsidRDefault="003E11BE" w:rsidP="00655E39">
      <m:oMathPara>
        <m:oMath>
          <m:r>
            <m:rPr>
              <m:nor/>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e>
                  </m:d>
                </m:den>
              </m:f>
            </m:e>
          </m:nary>
          <m:r>
            <w:rPr>
              <w:rFonts w:ascii="Cambria Math" w:hAnsi="Cambria Math"/>
            </w:rPr>
            <m:t>×100</m:t>
          </m:r>
        </m:oMath>
      </m:oMathPara>
    </w:p>
    <w:p w14:paraId="744377C2" w14:textId="615C003E" w:rsidR="003E11BE" w:rsidRPr="003E11BE" w:rsidRDefault="00000000">
      <w:pPr>
        <w:pStyle w:val="ListParagraph"/>
        <w:numPr>
          <w:ilvl w:val="0"/>
          <w:numId w:val="8"/>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3E11BE">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oMath>
      <w:r w:rsidR="003E11BE">
        <w:t xml:space="preserve"> = predicted ridership</w:t>
      </w:r>
    </w:p>
    <w:p w14:paraId="31C2B7B6" w14:textId="7389FB29" w:rsidR="003E11BE" w:rsidRPr="003E11BE" w:rsidRDefault="003E11BE">
      <w:pPr>
        <w:pStyle w:val="ListParagraph"/>
        <w:numPr>
          <w:ilvl w:val="0"/>
          <w:numId w:val="8"/>
        </w:numPr>
      </w:pPr>
      <w:r>
        <w:t>Unit: %, used directly in Combined%</w:t>
      </w:r>
    </w:p>
    <w:p w14:paraId="73A17A7E" w14:textId="59DFA60D" w:rsidR="003E11BE" w:rsidRDefault="003E11BE">
      <w:pPr>
        <w:pStyle w:val="ListParagraph"/>
        <w:numPr>
          <w:ilvl w:val="0"/>
          <w:numId w:val="8"/>
        </w:numPr>
      </w:pPr>
      <w:r>
        <w:t>Lower is better</w:t>
      </w:r>
    </w:p>
    <w:p w14:paraId="27A9243A" w14:textId="13BBEAAF" w:rsidR="00D376C3" w:rsidRPr="003E11BE" w:rsidRDefault="00D376C3" w:rsidP="00870A8E">
      <w:pPr>
        <w:ind w:firstLine="720"/>
      </w:pPr>
      <w:r>
        <w:rPr>
          <w:noProof/>
          <w:lang w:val="en-US"/>
        </w:rPr>
        <w:lastRenderedPageBreak/>
        <w:t xml:space="preserve">Wei et al. (2023) </w:t>
      </w:r>
      <w:r w:rsidR="00320572">
        <w:rPr>
          <w:noProof/>
          <w:lang w:val="en-US"/>
        </w:rPr>
        <w:t>utilize MAPE to benchmark passenger flow adjustments, demostrating its snestivity for ddetecting incremental accuracy gains in DL comparisons</w:t>
      </w:r>
      <w:r>
        <w:rPr>
          <w:noProof/>
          <w:lang w:val="en-US"/>
        </w:rPr>
        <w:t>.</w:t>
      </w:r>
      <w:r w:rsidR="00320572">
        <w:rPr>
          <w:noProof/>
          <w:lang w:val="en-US"/>
        </w:rPr>
        <w:t xml:space="preserve"> Normalizing errors by actual daily volume ensuring that proportional accuracy is weighted equally on low-demand days (weekends, holidays) and high-demand days (weekdays). While MAPE measure proportional error, absolute error magnitude relative to the system throughput is captured via MAE%.</w:t>
      </w:r>
      <w:r>
        <w:rPr>
          <w:noProof/>
          <w:lang w:val="en-US"/>
        </w:rPr>
        <w:t xml:space="preserve"> </w:t>
      </w:r>
    </w:p>
    <w:p w14:paraId="376D1174" w14:textId="66CC422C" w:rsidR="005D2D4A" w:rsidRDefault="005D2D4A" w:rsidP="00E963EB">
      <w:pPr>
        <w:pStyle w:val="Heading2"/>
        <w:numPr>
          <w:ilvl w:val="2"/>
          <w:numId w:val="3"/>
        </w:numPr>
        <w:rPr>
          <w:b/>
          <w:bCs/>
          <w:sz w:val="24"/>
          <w:szCs w:val="24"/>
          <w:u w:val="single"/>
        </w:rPr>
      </w:pPr>
      <w:r>
        <w:rPr>
          <w:b/>
          <w:bCs/>
          <w:sz w:val="24"/>
          <w:szCs w:val="24"/>
          <w:u w:val="single"/>
        </w:rPr>
        <w:t>Mean Absolute Error as Percentage of Mean Demand (MAE%)</w:t>
      </w:r>
    </w:p>
    <w:p w14:paraId="623D923E" w14:textId="170908CD" w:rsidR="005B3203" w:rsidRDefault="0062491F" w:rsidP="000B7A6C">
      <w:pPr>
        <w:ind w:firstLine="720"/>
      </w:pPr>
      <w:r>
        <w:t>MAE% normalizes the absolute passenger error by the mean system demand to create a scale-free metric that quantifies average forecast deviations. The calculation is structured as:</w:t>
      </w:r>
    </w:p>
    <w:p w14:paraId="28C0D815" w14:textId="6E84CD08" w:rsidR="000B7A6C" w:rsidRPr="000B7A6C" w:rsidRDefault="000B7A6C" w:rsidP="000B7A6C">
      <m:oMathPara>
        <m:oMath>
          <m:r>
            <m:rPr>
              <m:nor/>
            </m:rPr>
            <w:rPr>
              <w:rFonts w:ascii="Cambria Math" w:hAnsi="Cambria Math"/>
            </w:rPr>
            <m:t>MAE%</m:t>
          </m:r>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den>
          </m:f>
          <m:r>
            <w:rPr>
              <w:rFonts w:ascii="Cambria Math" w:hAnsi="Cambria Math"/>
            </w:rPr>
            <m:t>×100 = </m:t>
          </m:r>
          <m:f>
            <m:fPr>
              <m:ctrlPr>
                <w:rPr>
                  <w:rFonts w:ascii="Cambria Math" w:hAnsi="Cambria Math"/>
                </w:rPr>
              </m:ctrlPr>
            </m:fPr>
            <m:num>
              <m:r>
                <m:rPr>
                  <m:nor/>
                </m:rPr>
                <w:rPr>
                  <w:rFonts w:ascii="Cambria Math" w:hAnsi="Cambria Math"/>
                </w:rPr>
                <m:t>MAE</m:t>
              </m:r>
            </m:num>
            <m:den>
              <m:acc>
                <m:accPr>
                  <m:chr m:val="̅"/>
                  <m:ctrlPr>
                    <w:rPr>
                      <w:rFonts w:ascii="Cambria Math" w:hAnsi="Cambria Math"/>
                    </w:rPr>
                  </m:ctrlPr>
                </m:accPr>
                <m:e>
                  <m:r>
                    <w:rPr>
                      <w:rFonts w:ascii="Cambria Math" w:hAnsi="Cambria Math"/>
                    </w:rPr>
                    <m:t>y</m:t>
                  </m:r>
                </m:e>
              </m:acc>
            </m:den>
          </m:f>
          <m:r>
            <w:rPr>
              <w:rFonts w:ascii="Cambria Math" w:hAnsi="Cambria Math"/>
            </w:rPr>
            <m:t>×100</m:t>
          </m:r>
        </m:oMath>
      </m:oMathPara>
    </w:p>
    <w:p w14:paraId="4B8F8C34" w14:textId="7CD9DD94" w:rsidR="000B7A6C" w:rsidRDefault="00000000">
      <w:pPr>
        <w:pStyle w:val="ListParagraph"/>
        <w:numPr>
          <w:ilvl w:val="0"/>
          <w:numId w:val="7"/>
        </w:numPr>
      </w:pPr>
      <m:oMath>
        <m:acc>
          <m:accPr>
            <m:chr m:val="̅"/>
            <m:ctrlPr>
              <w:rPr>
                <w:rFonts w:ascii="Cambria Math" w:hAnsi="Cambria Math"/>
              </w:rPr>
            </m:ctrlPr>
          </m:accPr>
          <m:e>
            <m:r>
              <w:rPr>
                <w:rFonts w:ascii="Cambria Math" w:hAnsi="Cambria Math"/>
              </w:rPr>
              <m:t>y</m:t>
            </m:r>
          </m:e>
        </m:acc>
      </m:oMath>
      <w:r w:rsidR="000B7A6C">
        <w:t xml:space="preserve"> = mean actual ridership across all test observations</w:t>
      </w:r>
    </w:p>
    <w:p w14:paraId="738B267E" w14:textId="4799F837" w:rsidR="000B7A6C" w:rsidRDefault="000B7A6C">
      <w:pPr>
        <w:pStyle w:val="ListParagraph"/>
        <w:numPr>
          <w:ilvl w:val="0"/>
          <w:numId w:val="7"/>
        </w:numPr>
      </w:pPr>
      <w:r>
        <w:t>Unit: % - scale-free; used directly in Combined%</w:t>
      </w:r>
    </w:p>
    <w:p w14:paraId="00B9ABC4" w14:textId="06319DF6" w:rsidR="000B7A6C" w:rsidRDefault="000B7A6C">
      <w:pPr>
        <w:pStyle w:val="ListParagraph"/>
        <w:numPr>
          <w:ilvl w:val="0"/>
          <w:numId w:val="7"/>
        </w:numPr>
      </w:pPr>
      <w:r>
        <w:t>Raw MAE (absolute ridership counts) is report separately as an operational diagnostic.</w:t>
      </w:r>
    </w:p>
    <w:p w14:paraId="7A5FEEA2" w14:textId="3A8697FC" w:rsidR="000B7A6C" w:rsidRDefault="000B7A6C">
      <w:pPr>
        <w:pStyle w:val="ListParagraph"/>
        <w:numPr>
          <w:ilvl w:val="0"/>
          <w:numId w:val="7"/>
        </w:numPr>
      </w:pPr>
      <w:r>
        <w:t>Lower is better</w:t>
      </w:r>
    </w:p>
    <w:p w14:paraId="05D7544C" w14:textId="58545130" w:rsidR="000B7A6C" w:rsidRPr="000B7A6C" w:rsidRDefault="000B7A6C" w:rsidP="004E36E0">
      <w:pPr>
        <w:ind w:firstLine="720"/>
        <w:rPr>
          <w:noProof/>
        </w:rPr>
      </w:pPr>
      <w:r>
        <w:rPr>
          <w:noProof/>
          <w:lang w:val="en-US"/>
        </w:rPr>
        <w:t xml:space="preserve">Krishnasamy, et al. (2025) </w:t>
      </w:r>
      <w:r w:rsidR="005349D6">
        <w:rPr>
          <w:noProof/>
          <w:lang w:val="en-US"/>
        </w:rPr>
        <w:t>note that pairing normalized absolute metrics with percentage error indicators ensures stable model rankings when datasets contain near-zero observations. Including this metric alongside MAPE ensures that models are penalized for both day-specific proportional failures and average absolute variations relative to total network capacity.</w:t>
      </w:r>
      <w:r w:rsidR="004B33AE">
        <w:rPr>
          <w:noProof/>
          <w:lang w:val="en-US"/>
        </w:rPr>
        <w:t xml:space="preserve"> To complement average absolute errors, worst-cast daily variances are captured using RMSE%.</w:t>
      </w:r>
    </w:p>
    <w:p w14:paraId="6615B0B4" w14:textId="36900022" w:rsidR="005D2D4A" w:rsidRDefault="005D2D4A" w:rsidP="00E963EB">
      <w:pPr>
        <w:pStyle w:val="Heading2"/>
        <w:numPr>
          <w:ilvl w:val="2"/>
          <w:numId w:val="3"/>
        </w:numPr>
        <w:rPr>
          <w:b/>
          <w:bCs/>
          <w:sz w:val="24"/>
          <w:szCs w:val="24"/>
          <w:u w:val="single"/>
        </w:rPr>
      </w:pPr>
      <w:r>
        <w:rPr>
          <w:b/>
          <w:bCs/>
          <w:sz w:val="24"/>
          <w:szCs w:val="24"/>
          <w:u w:val="single"/>
        </w:rPr>
        <w:t>Root Mean Squared Error as Percentage of Mean Demand (RMSE%)</w:t>
      </w:r>
    </w:p>
    <w:p w14:paraId="3C00A438" w14:textId="74A88730" w:rsidR="00BD1BBF" w:rsidRDefault="002311A7" w:rsidP="00BD1BBF">
      <w:pPr>
        <w:ind w:firstLine="720"/>
      </w:pPr>
      <w:r>
        <w:t>RMSE% provides a scale-free error measure that penalizes large individual forecast deviations through squaring, capturing tail-error behaviour in the prediction distribution. The metric is computed using the system’s mean demand (</w:t>
      </w:r>
      <m:oMath>
        <m:acc>
          <m:accPr>
            <m:chr m:val="̅"/>
            <m:ctrlPr>
              <w:rPr>
                <w:rFonts w:ascii="Cambria Math" w:hAnsi="Cambria Math"/>
              </w:rPr>
            </m:ctrlPr>
          </m:accPr>
          <m:e>
            <m:r>
              <w:rPr>
                <w:rFonts w:ascii="Cambria Math" w:hAnsi="Cambria Math"/>
              </w:rPr>
              <m:t>y</m:t>
            </m:r>
          </m:e>
        </m:acc>
      </m:oMath>
      <w:r>
        <w:t>) denominator:</w:t>
      </w:r>
    </w:p>
    <w:p w14:paraId="628F899F" w14:textId="632E2C10" w:rsidR="00BD1BBF" w:rsidRPr="00F17AD2" w:rsidRDefault="00F17AD2" w:rsidP="00BD1BBF">
      <m:oMathPara>
        <m:oMath>
          <m:r>
            <m:rPr>
              <m:nor/>
            </m:rPr>
            <w:rPr>
              <w:rFonts w:ascii="Cambria Math" w:hAnsi="Cambria Math"/>
            </w:rPr>
            <m:t>RMSE%</m:t>
          </m:r>
          <m:r>
            <w:rPr>
              <w:rFonts w:ascii="Cambria Math" w:hAnsi="Cambria Math"/>
            </w:rPr>
            <m:t>=</m:t>
          </m:r>
          <m:f>
            <m:fPr>
              <m:ctrlPr>
                <w:rPr>
                  <w:rFonts w:ascii="Cambria Math" w:hAnsi="Cambria Math"/>
                </w:rPr>
              </m:ctrlPr>
            </m:fPr>
            <m:num>
              <m:r>
                <m:rPr>
                  <m:nor/>
                </m:rPr>
                <w:rPr>
                  <w:rFonts w:ascii="Cambria Math" w:hAnsi="Cambria Math"/>
                </w:rPr>
                <m:t>RMSE</m:t>
              </m:r>
            </m:num>
            <m:den>
              <m:acc>
                <m:accPr>
                  <m:chr m:val="̅"/>
                  <m:ctrlPr>
                    <w:rPr>
                      <w:rFonts w:ascii="Cambria Math" w:hAnsi="Cambria Math"/>
                    </w:rPr>
                  </m:ctrlPr>
                </m:accPr>
                <m:e>
                  <m:r>
                    <w:rPr>
                      <w:rFonts w:ascii="Cambria Math" w:hAnsi="Cambria Math"/>
                    </w:rPr>
                    <m:t>y</m:t>
                  </m:r>
                </m:e>
              </m:acc>
            </m:den>
          </m:f>
          <m:r>
            <w:rPr>
              <w:rFonts w:ascii="Cambria Math" w:hAnsi="Cambria Math"/>
            </w:rPr>
            <m:t>×100  </m:t>
          </m:r>
          <m:r>
            <m:rPr>
              <m:nor/>
            </m:rPr>
            <w:rPr>
              <w:rFonts w:ascii="Cambria Math" w:hAnsi="Cambria Math"/>
            </w:rPr>
            <m:t>where</m:t>
          </m:r>
          <m:r>
            <w:rPr>
              <w:rFonts w:ascii="Cambria Math" w:hAnsi="Cambria Math"/>
            </w:rPr>
            <m:t>  </m:t>
          </m:r>
          <m:r>
            <m:rPr>
              <m:nor/>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00809C68" w14:textId="7AC34382" w:rsidR="00F17AD2" w:rsidRDefault="00F17AD2">
      <w:pPr>
        <w:pStyle w:val="ListParagraph"/>
        <w:numPr>
          <w:ilvl w:val="0"/>
          <w:numId w:val="6"/>
        </w:numPr>
      </w:pPr>
      <w:r>
        <w:t xml:space="preserve">Same mean-demand denominator </w:t>
      </w:r>
      <m:oMath>
        <m:acc>
          <m:accPr>
            <m:chr m:val="̅"/>
            <m:ctrlPr>
              <w:rPr>
                <w:rFonts w:ascii="Cambria Math" w:hAnsi="Cambria Math"/>
              </w:rPr>
            </m:ctrlPr>
          </m:accPr>
          <m:e>
            <m:r>
              <w:rPr>
                <w:rFonts w:ascii="Cambria Math" w:hAnsi="Cambria Math"/>
              </w:rPr>
              <m:t>y</m:t>
            </m:r>
          </m:e>
        </m:acc>
      </m:oMath>
      <w:r>
        <w:t xml:space="preserve"> as MAE%</w:t>
      </w:r>
    </w:p>
    <w:p w14:paraId="501541BD" w14:textId="10CDA721" w:rsidR="00F17AD2" w:rsidRDefault="00F17AD2">
      <w:pPr>
        <w:pStyle w:val="ListParagraph"/>
        <w:numPr>
          <w:ilvl w:val="0"/>
          <w:numId w:val="6"/>
        </w:numPr>
      </w:pPr>
      <w:r>
        <w:t>Unit: % - used directly in Combined%</w:t>
      </w:r>
    </w:p>
    <w:p w14:paraId="2D0AFF70" w14:textId="0ABA0D32" w:rsidR="00F17AD2" w:rsidRDefault="00F17AD2">
      <w:pPr>
        <w:pStyle w:val="ListParagraph"/>
        <w:numPr>
          <w:ilvl w:val="0"/>
          <w:numId w:val="6"/>
        </w:numPr>
      </w:pPr>
      <w:r>
        <w:t>Raw RMSE (ridership counts) is reported separately as an operational diagnostic</w:t>
      </w:r>
    </w:p>
    <w:p w14:paraId="69913CB7" w14:textId="354C9CB4" w:rsidR="00F17AD2" w:rsidRDefault="00F17AD2">
      <w:pPr>
        <w:pStyle w:val="ListParagraph"/>
        <w:numPr>
          <w:ilvl w:val="0"/>
          <w:numId w:val="6"/>
        </w:numPr>
      </w:pPr>
      <w:r>
        <w:lastRenderedPageBreak/>
        <w:t>Lower is better.</w:t>
      </w:r>
    </w:p>
    <w:p w14:paraId="2CE45B1C" w14:textId="0B659B64" w:rsidR="00F17AD2" w:rsidRPr="00F17AD2" w:rsidRDefault="00F17AD2" w:rsidP="004E36E0">
      <w:pPr>
        <w:ind w:firstLine="720"/>
      </w:pPr>
      <w:r>
        <w:rPr>
          <w:noProof/>
          <w:lang w:val="en-US"/>
        </w:rPr>
        <w:t xml:space="preserve">Wu et al. (2025) </w:t>
      </w:r>
      <w:r w:rsidR="00E61151">
        <w:rPr>
          <w:noProof/>
          <w:lang w:val="en-US"/>
        </w:rPr>
        <w:t>demostrated that RMSE-based indicators are highly effective for capturing model sensitivity during unexpected peak-period demand spikes</w:t>
      </w:r>
      <w:r w:rsidR="00153CA7">
        <w:rPr>
          <w:noProof/>
          <w:lang w:val="en-US"/>
        </w:rPr>
        <w:t>.</w:t>
      </w:r>
      <w:r w:rsidR="005B31BA">
        <w:rPr>
          <w:noProof/>
          <w:lang w:val="en-US"/>
        </w:rPr>
        <w:t xml:space="preserve"> The squaring operation exponentially penalizes major misjudgements during peak morning or holiday periods, ensuring that models minimizing this metric offer high operati</w:t>
      </w:r>
      <w:r w:rsidR="005F3E24">
        <w:rPr>
          <w:noProof/>
          <w:lang w:val="en-US"/>
        </w:rPr>
        <w:t>on</w:t>
      </w:r>
      <w:r w:rsidR="005B31BA">
        <w:rPr>
          <w:noProof/>
          <w:lang w:val="en-US"/>
        </w:rPr>
        <w:t>al reliability.</w:t>
      </w:r>
      <w:r w:rsidR="005F3E24">
        <w:rPr>
          <w:noProof/>
          <w:lang w:val="en-US"/>
        </w:rPr>
        <w:t xml:space="preserve"> </w:t>
      </w:r>
      <w:r w:rsidR="007A72A5">
        <w:rPr>
          <w:noProof/>
          <w:lang w:val="en-US"/>
        </w:rPr>
        <w:t>While these four metrics quantifyy error magnitudes, the model’s overall explanatory power is validated via the Coefficient of Determination.</w:t>
      </w:r>
    </w:p>
    <w:p w14:paraId="67EDAB06" w14:textId="03EF5DD8" w:rsidR="005D2D4A" w:rsidRDefault="005D2D4A" w:rsidP="00E963EB">
      <w:pPr>
        <w:pStyle w:val="Heading2"/>
        <w:numPr>
          <w:ilvl w:val="2"/>
          <w:numId w:val="3"/>
        </w:numPr>
        <w:rPr>
          <w:b/>
          <w:bCs/>
          <w:sz w:val="24"/>
          <w:szCs w:val="24"/>
          <w:u w:val="single"/>
        </w:rPr>
      </w:pPr>
      <w:r>
        <w:rPr>
          <w:b/>
          <w:bCs/>
          <w:sz w:val="24"/>
          <w:szCs w:val="24"/>
          <w:u w:val="single"/>
        </w:rPr>
        <w:t>Coefficient of Determination (R</w:t>
      </w:r>
      <w:r>
        <w:rPr>
          <w:b/>
          <w:bCs/>
          <w:sz w:val="24"/>
          <w:szCs w:val="24"/>
          <w:u w:val="single"/>
          <w:vertAlign w:val="superscript"/>
        </w:rPr>
        <w:t>2</w:t>
      </w:r>
      <w:r>
        <w:rPr>
          <w:b/>
          <w:bCs/>
          <w:sz w:val="24"/>
          <w:szCs w:val="24"/>
          <w:u w:val="single"/>
        </w:rPr>
        <w:t>)</w:t>
      </w:r>
    </w:p>
    <w:p w14:paraId="5F27AB22" w14:textId="6965227F" w:rsidR="005D2D4A" w:rsidRDefault="00E65EC5" w:rsidP="00E65EC5">
      <w:pPr>
        <w:ind w:firstLine="720"/>
      </w:pPr>
      <w:r w:rsidRPr="00E65EC5">
        <w:t>R</w:t>
      </w:r>
      <w:r w:rsidRPr="00E65EC5">
        <w:rPr>
          <w:vertAlign w:val="superscript"/>
        </w:rPr>
        <w:t>2</w:t>
      </w:r>
      <w:r>
        <w:t xml:space="preserve"> </w:t>
      </w:r>
      <w:r w:rsidR="00691008">
        <w:t>measures the proportion of variance in actual ridership explained by the model’s predictions, indicating how well the forecast tracks the direction and shape of transit dynamics</w:t>
      </w:r>
      <w:r>
        <w:t>.</w:t>
      </w:r>
      <w:r w:rsidR="00691008">
        <w:t xml:space="preserve"> The goodness-of-fit indicator is calculated as:</w:t>
      </w:r>
    </w:p>
    <w:p w14:paraId="77DFD6B2" w14:textId="74AFAD48" w:rsidR="00E65EC5" w:rsidRPr="00E65EC5" w:rsidRDefault="00000000" w:rsidP="00E65EC5">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3196D243" w14:textId="1E899FB8" w:rsidR="00E65EC5" w:rsidRDefault="00000000">
      <w:pPr>
        <w:pStyle w:val="ListParagraph"/>
        <w:numPr>
          <w:ilvl w:val="0"/>
          <w:numId w:val="5"/>
        </w:numPr>
      </w:pPr>
      <m:oMath>
        <m:sSub>
          <m:sSubPr>
            <m:ctrlPr>
              <w:rPr>
                <w:rFonts w:ascii="Cambria Math" w:hAnsi="Cambria Math"/>
              </w:rPr>
            </m:ctrlPr>
          </m:sSubPr>
          <m:e>
            <m:r>
              <w:rPr>
                <w:rFonts w:ascii="Cambria Math" w:hAnsi="Cambria Math"/>
              </w:rPr>
              <m:t>y</m:t>
            </m:r>
          </m:e>
          <m:sub>
            <m:r>
              <w:rPr>
                <w:rFonts w:ascii="Cambria Math" w:hAnsi="Cambria Math"/>
              </w:rPr>
              <m:t>i</m:t>
            </m:r>
          </m:sub>
        </m:sSub>
      </m:oMath>
      <w:r w:rsidR="00E65EC5">
        <w:t xml:space="preserve"> = actual ridership,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 xml:space="preserve"> </m:t>
        </m:r>
      </m:oMath>
      <w:r w:rsidR="00E65EC5">
        <w:t xml:space="preserve">= predicted ridership, </w:t>
      </w:r>
      <m:oMath>
        <m:acc>
          <m:accPr>
            <m:chr m:val="̅"/>
            <m:ctrlPr>
              <w:rPr>
                <w:rFonts w:ascii="Cambria Math" w:hAnsi="Cambria Math"/>
              </w:rPr>
            </m:ctrlPr>
          </m:accPr>
          <m:e>
            <m:r>
              <w:rPr>
                <w:rFonts w:ascii="Cambria Math" w:hAnsi="Cambria Math"/>
              </w:rPr>
              <m:t>y</m:t>
            </m:r>
          </m:e>
        </m:acc>
      </m:oMath>
      <w:r w:rsidR="00E65EC5">
        <w:t xml:space="preserve"> = mean of actual values</w:t>
      </w:r>
    </w:p>
    <w:p w14:paraId="2B8EDDEF" w14:textId="452B8D9D" w:rsidR="00E65EC5" w:rsidRDefault="00E65EC5">
      <w:pPr>
        <w:pStyle w:val="ListParagraph"/>
        <w:numPr>
          <w:ilvl w:val="0"/>
          <w:numId w:val="5"/>
        </w:numPr>
      </w:pPr>
      <w:r>
        <w:t>Numerator = Residual Sum of Squares (SSR) – unexplained variance</w:t>
      </w:r>
    </w:p>
    <w:p w14:paraId="085A27C1" w14:textId="1106F2E3" w:rsidR="00E65EC5" w:rsidRDefault="00E65EC5">
      <w:pPr>
        <w:pStyle w:val="ListParagraph"/>
        <w:numPr>
          <w:ilvl w:val="0"/>
          <w:numId w:val="5"/>
        </w:numPr>
      </w:pPr>
      <w:r>
        <w:t>Denominator = Total Sum of Squares (SST) – total variance in the data</w:t>
      </w:r>
    </w:p>
    <w:p w14:paraId="792C184E" w14:textId="583F7C12" w:rsidR="00E65EC5" w:rsidRDefault="00E65EC5">
      <w:pPr>
        <w:pStyle w:val="ListParagraph"/>
        <w:numPr>
          <w:ilvl w:val="0"/>
          <w:numId w:val="5"/>
        </w:numPr>
      </w:pPr>
      <w:r>
        <w:t>Range: -</w:t>
      </w:r>
      <w:r w:rsidRPr="00E65EC5">
        <w:t>∞</w:t>
      </w:r>
      <w:r>
        <w:t xml:space="preserve"> to 1; R</w:t>
      </w:r>
      <w:r>
        <w:rPr>
          <w:vertAlign w:val="superscript"/>
        </w:rPr>
        <w:t>2</w:t>
      </w:r>
      <w:r>
        <w:t xml:space="preserve"> &lt; 0, indicates performance worse than predicting the mean.</w:t>
      </w:r>
    </w:p>
    <w:p w14:paraId="66491B63" w14:textId="2473366A" w:rsidR="00E65EC5" w:rsidRPr="00E65EC5" w:rsidRDefault="00E65EC5">
      <w:pPr>
        <w:pStyle w:val="ListParagraph"/>
        <w:numPr>
          <w:ilvl w:val="0"/>
          <w:numId w:val="5"/>
        </w:numPr>
      </w:pPr>
      <w:r>
        <w:t>Higher is better.</w:t>
      </w:r>
    </w:p>
    <w:p w14:paraId="1270B85D" w14:textId="6565AE0B" w:rsidR="00020CC2" w:rsidRPr="004969B1" w:rsidRDefault="006C1D7F" w:rsidP="004E36E0">
      <w:pPr>
        <w:ind w:firstLine="720"/>
      </w:pPr>
      <w:r>
        <w:rPr>
          <w:noProof/>
          <w:lang w:val="en-US"/>
        </w:rPr>
        <w:t xml:space="preserve">Zhuang &amp; Cao (2022) </w:t>
      </w:r>
      <w:r w:rsidR="004969B1">
        <w:rPr>
          <w:noProof/>
          <w:lang w:val="en-US"/>
        </w:rPr>
        <w:t>establish that R</w:t>
      </w:r>
      <w:r w:rsidR="004969B1">
        <w:rPr>
          <w:noProof/>
          <w:vertAlign w:val="superscript"/>
          <w:lang w:val="en-US"/>
        </w:rPr>
        <w:t>2</w:t>
      </w:r>
      <w:r w:rsidR="004969B1">
        <w:rPr>
          <w:noProof/>
          <w:lang w:val="en-US"/>
        </w:rPr>
        <w:t xml:space="preserve"> provides critical discriminative power when comparing models with similar error magnitudes but different directional tracking capabilities</w:t>
      </w:r>
      <w:r w:rsidR="004E36E0">
        <w:t>.</w:t>
      </w:r>
      <w:r w:rsidR="004969B1">
        <w:t xml:space="preserve"> While error percentages evaluate magnitude discrepancies, R</w:t>
      </w:r>
      <w:r w:rsidR="004969B1">
        <w:rPr>
          <w:vertAlign w:val="superscript"/>
        </w:rPr>
        <w:t>2</w:t>
      </w:r>
      <w:r w:rsidR="004969B1">
        <w:t xml:space="preserve"> measures explained variance; a negative value indicates that the model performed worse than simply predicting the historical mean. Collectively, these five metrics form a comprehensive validation framework to evaluate the HMT-TSF forecaster against the 14 baseline models under varying look-back horizons and MCO conditions.</w:t>
      </w:r>
    </w:p>
    <w:p w14:paraId="52D89D94" w14:textId="590D90A9" w:rsidR="007D5F0D" w:rsidRPr="001D34FB" w:rsidRDefault="007D5F0D" w:rsidP="00E963EB">
      <w:pPr>
        <w:pStyle w:val="Heading1"/>
        <w:numPr>
          <w:ilvl w:val="0"/>
          <w:numId w:val="3"/>
        </w:numPr>
        <w:jc w:val="left"/>
        <w:rPr>
          <w:b/>
          <w:bCs/>
          <w:sz w:val="24"/>
          <w:szCs w:val="24"/>
          <w:u w:val="single"/>
        </w:rPr>
      </w:pPr>
      <w:bookmarkStart w:id="33" w:name="_Toc230901631"/>
      <w:r w:rsidRPr="001D34FB">
        <w:rPr>
          <w:b/>
          <w:bCs/>
          <w:sz w:val="24"/>
          <w:szCs w:val="24"/>
          <w:u w:val="single"/>
        </w:rPr>
        <w:t>References</w:t>
      </w:r>
      <w:bookmarkEnd w:id="33"/>
    </w:p>
    <w:p w14:paraId="6D1E53EF" w14:textId="77777777" w:rsidR="00986BDD" w:rsidRDefault="005C23CC" w:rsidP="00986BDD">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986BDD">
        <w:rPr>
          <w:noProof/>
        </w:rPr>
        <w:t xml:space="preserve">Ahmad, M., Anwer, I., Yousuf, M. I., Javid, M. A., Ali, N., Tesoriere, G., &amp; Campisi, T. (23 May, 2024). Investigating the Key Factors Affecting Public Transport Ridership in Developing Countries through Structural Equation Modeling. </w:t>
      </w:r>
      <w:r w:rsidR="00986BDD">
        <w:rPr>
          <w:i/>
          <w:iCs/>
          <w:noProof/>
        </w:rPr>
        <w:t>Sustainability, 16</w:t>
      </w:r>
      <w:r w:rsidR="00986BDD">
        <w:rPr>
          <w:noProof/>
        </w:rPr>
        <w:t>(11), 4426. doi:10.3390/su16114426</w:t>
      </w:r>
    </w:p>
    <w:p w14:paraId="3F86D75C" w14:textId="77777777" w:rsidR="00986BDD" w:rsidRDefault="00986BDD" w:rsidP="00986BDD">
      <w:pPr>
        <w:pStyle w:val="Bibliography"/>
        <w:ind w:left="720" w:hanging="720"/>
        <w:rPr>
          <w:noProof/>
        </w:rPr>
      </w:pPr>
      <w:r>
        <w:rPr>
          <w:noProof/>
        </w:rPr>
        <w:lastRenderedPageBreak/>
        <w:t xml:space="preserve">AlKhereibi, A. H., Wakjira, T. G., Kucukvar, M., &amp; Onat, N. C. (16 January, 2023). Predictive Machine Learning Algorithms for Metro Ridership Based on Urban Land Use Policies in Support of Transit-Oriented Development. </w:t>
      </w:r>
      <w:r>
        <w:rPr>
          <w:i/>
          <w:iCs/>
          <w:noProof/>
        </w:rPr>
        <w:t>Sustainability, 15</w:t>
      </w:r>
      <w:r>
        <w:rPr>
          <w:noProof/>
        </w:rPr>
        <w:t>(2), 1718. doi:10.3390/su15021718</w:t>
      </w:r>
    </w:p>
    <w:p w14:paraId="3300AEAD" w14:textId="77777777" w:rsidR="00986BDD" w:rsidRDefault="00986BDD" w:rsidP="00986BDD">
      <w:pPr>
        <w:pStyle w:val="Bibliography"/>
        <w:ind w:left="720" w:hanging="720"/>
        <w:rPr>
          <w:noProof/>
        </w:rPr>
      </w:pPr>
      <w:r>
        <w:rPr>
          <w:noProof/>
        </w:rPr>
        <w:t xml:space="preserve">Amir, N. N., Anuar, N. S., Ismail, B., Azreen, N. A., &amp; Ramli, N. A. (28 December, 2025). Ridership Prediction System for Rapid Bus Kuantan and Penang using Multi-Feature Analysis. </w:t>
      </w:r>
      <w:r>
        <w:rPr>
          <w:i/>
          <w:iCs/>
          <w:noProof/>
        </w:rPr>
        <w:t>Journal of the Malaysian Institute of Planners, 23</w:t>
      </w:r>
      <w:r>
        <w:rPr>
          <w:noProof/>
        </w:rPr>
        <w:t>(6), 332 - 347. doi:10.21837/pm.v23i39.1913</w:t>
      </w:r>
    </w:p>
    <w:p w14:paraId="3C39FCE9" w14:textId="77777777" w:rsidR="00986BDD" w:rsidRDefault="00986BDD" w:rsidP="00986BDD">
      <w:pPr>
        <w:pStyle w:val="Bibliography"/>
        <w:ind w:left="720" w:hanging="720"/>
        <w:rPr>
          <w:noProof/>
        </w:rPr>
      </w:pPr>
      <w:r>
        <w:rPr>
          <w:noProof/>
        </w:rPr>
        <w:t xml:space="preserve">Barath, Z., Veres, P., &amp; Banyai, A. (1 March, 2026). Beyond Traditional Forecasting Methods: Evaluating LSTM Performance on Diverse Time Series. </w:t>
      </w:r>
      <w:r>
        <w:rPr>
          <w:i/>
          <w:iCs/>
          <w:noProof/>
        </w:rPr>
        <w:t>Mathematics, 14</w:t>
      </w:r>
      <w:r>
        <w:rPr>
          <w:noProof/>
        </w:rPr>
        <w:t>(5), 838. doi:10.3390/math14050838</w:t>
      </w:r>
    </w:p>
    <w:p w14:paraId="17A85D39" w14:textId="77777777" w:rsidR="00986BDD" w:rsidRDefault="00986BDD" w:rsidP="00986BDD">
      <w:pPr>
        <w:pStyle w:val="Bibliography"/>
        <w:ind w:left="720" w:hanging="720"/>
        <w:rPr>
          <w:noProof/>
        </w:rPr>
      </w:pPr>
      <w:r>
        <w:rPr>
          <w:noProof/>
        </w:rPr>
        <w:t xml:space="preserve">Casolaro, A., Capone, V., Iannuzzo, G., &amp; Camastra, F. (4 November, 2023). Deep Learning for Time Series Forecasting: Advances and Open Problems. </w:t>
      </w:r>
      <w:r>
        <w:rPr>
          <w:i/>
          <w:iCs/>
          <w:noProof/>
        </w:rPr>
        <w:t>Information, 14</w:t>
      </w:r>
      <w:r>
        <w:rPr>
          <w:noProof/>
        </w:rPr>
        <w:t>(11), 598. doi:10.3390/info14110598</w:t>
      </w:r>
    </w:p>
    <w:p w14:paraId="310D20BC" w14:textId="77777777" w:rsidR="00986BDD" w:rsidRDefault="00986BDD" w:rsidP="00986BDD">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5FAD9BA5" w14:textId="77777777" w:rsidR="00986BDD" w:rsidRDefault="00986BDD" w:rsidP="00986BDD">
      <w:pPr>
        <w:pStyle w:val="Bibliography"/>
        <w:ind w:left="720" w:hanging="720"/>
        <w:rPr>
          <w:noProof/>
        </w:rPr>
      </w:pPr>
      <w:r>
        <w:rPr>
          <w:noProof/>
        </w:rPr>
        <w:t xml:space="preserve">Chang, J., Yin, J., Hao, Y., &amp; Gao, C. (30 May, 2025). STFDSGCN: Spatio-Temporal Fusion Graph Neural Network Based on Dynamic Sparse Graph Convolution GRU for Traffic Flow Forecast. </w:t>
      </w:r>
      <w:r>
        <w:rPr>
          <w:i/>
          <w:iCs/>
          <w:noProof/>
        </w:rPr>
        <w:t>Sensors, 25</w:t>
      </w:r>
      <w:r>
        <w:rPr>
          <w:noProof/>
        </w:rPr>
        <w:t>(11), 3446. doi:10.3390/s25113446</w:t>
      </w:r>
    </w:p>
    <w:p w14:paraId="2238F07F" w14:textId="77777777" w:rsidR="00986BDD" w:rsidRDefault="00986BDD" w:rsidP="00986BDD">
      <w:pPr>
        <w:pStyle w:val="Bibliography"/>
        <w:ind w:left="720" w:hanging="720"/>
        <w:rPr>
          <w:noProof/>
        </w:rPr>
      </w:pPr>
      <w:r>
        <w:rPr>
          <w:noProof/>
        </w:rPr>
        <w:t xml:space="preserve">Chen, L., Ren, Q., Zheng, J., Zou, F., Luo, S., Tian, J., &amp; Xing, Y. (5 April, 2023). CSFPre: Expressway key sections based on CEEMDAN-STSGCN-FCM during the holidays for traffic flow prediction. (T. A. Rashid, Ed.) </w:t>
      </w:r>
      <w:r>
        <w:rPr>
          <w:i/>
          <w:iCs/>
          <w:noProof/>
        </w:rPr>
        <w:t>PLoS One, 18</w:t>
      </w:r>
      <w:r>
        <w:rPr>
          <w:noProof/>
        </w:rPr>
        <w:t>(4), 1 - 22. doi:10.1371/journal.pone.0283898</w:t>
      </w:r>
    </w:p>
    <w:p w14:paraId="7D6EECA8" w14:textId="77777777" w:rsidR="00986BDD" w:rsidRDefault="00986BDD" w:rsidP="00986BDD">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2379F5E6" w14:textId="77777777" w:rsidR="00986BDD" w:rsidRDefault="00986BDD" w:rsidP="00986BDD">
      <w:pPr>
        <w:pStyle w:val="Bibliography"/>
        <w:ind w:left="720" w:hanging="720"/>
        <w:rPr>
          <w:noProof/>
        </w:rPr>
      </w:pPr>
      <w:r>
        <w:rPr>
          <w:noProof/>
        </w:rPr>
        <w:lastRenderedPageBreak/>
        <w:t xml:space="preserve">Chevance, G., Andrieu, B., Koch, N., Tonne, C., Nieuwenhuyijsen, M., &amp; Bernard, P. (30 December, 2024). How gasoline prices influence the effectiveness of interventions targeting sustainable transport modes? </w:t>
      </w:r>
      <w:r>
        <w:rPr>
          <w:i/>
          <w:iCs/>
          <w:noProof/>
        </w:rPr>
        <w:t>Sustainable Mobility and Transport, 1</w:t>
      </w:r>
      <w:r>
        <w:rPr>
          <w:noProof/>
        </w:rPr>
        <w:t>, 1 - 8. doi:10.1038/s44333-024-00017-1</w:t>
      </w:r>
    </w:p>
    <w:p w14:paraId="18DB3E9E" w14:textId="77777777" w:rsidR="00986BDD" w:rsidRDefault="00986BDD" w:rsidP="00986BDD">
      <w:pPr>
        <w:pStyle w:val="Bibliography"/>
        <w:ind w:left="720" w:hanging="720"/>
        <w:rPr>
          <w:noProof/>
        </w:rPr>
      </w:pPr>
      <w:r>
        <w:rPr>
          <w:noProof/>
        </w:rPr>
        <w:t xml:space="preserve">Cui, H., Si, B., Chi, D., Li, Y., Li, G., &amp; Chen, Y. (6 October, 2025). Short-term passenger flow prediction for urban rail systems: A deep learning approach utilizing multi-source big data. (S. Panigrahi, Ed.) </w:t>
      </w:r>
      <w:r>
        <w:rPr>
          <w:i/>
          <w:iCs/>
          <w:noProof/>
        </w:rPr>
        <w:t>PLoS One, 20</w:t>
      </w:r>
      <w:r>
        <w:rPr>
          <w:noProof/>
        </w:rPr>
        <w:t>(10), 1 - 23. doi:10.1371/journal.pone.0333094</w:t>
      </w:r>
    </w:p>
    <w:p w14:paraId="2DFDE082" w14:textId="77777777" w:rsidR="00986BDD" w:rsidRDefault="00986BDD" w:rsidP="00986BDD">
      <w:pPr>
        <w:pStyle w:val="Bibliography"/>
        <w:ind w:left="720" w:hanging="720"/>
        <w:rPr>
          <w:noProof/>
        </w:rPr>
      </w:pPr>
      <w:r>
        <w:rPr>
          <w:noProof/>
        </w:rPr>
        <w:t xml:space="preserve">Cui, Z., Zhang, J., Noh, G., &amp; Park, H. J. (23 August, 2023). ADSTGCN: A Dynamic Adaptive Deeper Spatio-Temporal Graph Convolutional Network for Multi-Step Traffic Forecasting. </w:t>
      </w:r>
      <w:r>
        <w:rPr>
          <w:i/>
          <w:iCs/>
          <w:noProof/>
        </w:rPr>
        <w:t>Sensors, 23</w:t>
      </w:r>
      <w:r>
        <w:rPr>
          <w:noProof/>
        </w:rPr>
        <w:t>(15), 6950. doi:10.3390/s23156950</w:t>
      </w:r>
    </w:p>
    <w:p w14:paraId="7F9A9C09" w14:textId="77777777" w:rsidR="00986BDD" w:rsidRDefault="00986BDD" w:rsidP="00986BDD">
      <w:pPr>
        <w:pStyle w:val="Bibliography"/>
        <w:ind w:left="720" w:hanging="720"/>
        <w:rPr>
          <w:noProof/>
        </w:rPr>
      </w:pPr>
      <w:r>
        <w:rPr>
          <w:noProof/>
        </w:rPr>
        <w:t xml:space="preserve">Deng, H. (31 March, 2025). Traffic-Forecasting Model with Spatio-Temporal Kernel. </w:t>
      </w:r>
      <w:r>
        <w:rPr>
          <w:i/>
          <w:iCs/>
          <w:noProof/>
        </w:rPr>
        <w:t>Electronics, 14</w:t>
      </w:r>
      <w:r>
        <w:rPr>
          <w:noProof/>
        </w:rPr>
        <w:t>(7), 1410. doi:10.3390/electronics14071410</w:t>
      </w:r>
    </w:p>
    <w:p w14:paraId="69610A0A" w14:textId="77777777" w:rsidR="00986BDD" w:rsidRDefault="00986BDD" w:rsidP="00986BDD">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4ACB1CBD" w14:textId="77777777" w:rsidR="00986BDD" w:rsidRDefault="00986BDD" w:rsidP="00986BDD">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6D1A6935" w14:textId="77777777" w:rsidR="00986BDD" w:rsidRDefault="00986BDD" w:rsidP="00986BDD">
      <w:pPr>
        <w:pStyle w:val="Bibliography"/>
        <w:ind w:left="720" w:hanging="720"/>
        <w:rPr>
          <w:noProof/>
        </w:rPr>
      </w:pPr>
      <w:r>
        <w:rPr>
          <w:noProof/>
        </w:rPr>
        <w:t xml:space="preserve">Hashimzai, I. A., &amp; Mohammadi, M. Q. (December, 2024). The Integration of Artificial Intelligence in Project Management: A Systematic Literature Review of Emerging Trends and Challenges. </w:t>
      </w:r>
      <w:r>
        <w:rPr>
          <w:i/>
          <w:iCs/>
          <w:noProof/>
        </w:rPr>
        <w:t>TIERS Information Technology Journal, 5</w:t>
      </w:r>
      <w:r>
        <w:rPr>
          <w:noProof/>
        </w:rPr>
        <w:t>(2), 152 - 164. doi:10.38043/tiers.v5i2.5963</w:t>
      </w:r>
    </w:p>
    <w:p w14:paraId="2942FB55" w14:textId="77777777" w:rsidR="00986BDD" w:rsidRDefault="00986BDD" w:rsidP="00986BDD">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09B0C712" w14:textId="77777777" w:rsidR="00986BDD" w:rsidRDefault="00986BDD" w:rsidP="00986BDD">
      <w:pPr>
        <w:pStyle w:val="Bibliography"/>
        <w:ind w:left="720" w:hanging="720"/>
        <w:rPr>
          <w:noProof/>
        </w:rPr>
      </w:pPr>
      <w:r>
        <w:rPr>
          <w:noProof/>
        </w:rPr>
        <w:t xml:space="preserve">Hu, J., Tang, B., Zhu, L., Li, Y., Hu, J., &amp; Yang, G. (18 January, 2026). PDR-STGCN: An Enhanced STGCN with Multi-Scale Periodic Fusion and a Dynamic Relational Graph for Traffic Forecasting. </w:t>
      </w:r>
      <w:r>
        <w:rPr>
          <w:i/>
          <w:iCs/>
          <w:noProof/>
        </w:rPr>
        <w:t>Systems, 14</w:t>
      </w:r>
      <w:r>
        <w:rPr>
          <w:noProof/>
        </w:rPr>
        <w:t>(1), 102. doi:10.3390/systems14010102</w:t>
      </w:r>
    </w:p>
    <w:p w14:paraId="5DD1B330" w14:textId="77777777" w:rsidR="00986BDD" w:rsidRDefault="00986BDD" w:rsidP="00986BDD">
      <w:pPr>
        <w:pStyle w:val="Bibliography"/>
        <w:ind w:left="720" w:hanging="720"/>
        <w:rPr>
          <w:noProof/>
        </w:rPr>
      </w:pPr>
      <w:r>
        <w:rPr>
          <w:noProof/>
        </w:rPr>
        <w:lastRenderedPageBreak/>
        <w:t xml:space="preserve">Huang, S., Li, W., Wen, J., Zhu, M., Lu, Y., &amp; Wu, N. (2022). Spatiotemporal Variations in Shanghai Metro Commuting Flows during Rainfall Events. </w:t>
      </w:r>
      <w:r>
        <w:rPr>
          <w:i/>
          <w:iCs/>
          <w:noProof/>
        </w:rPr>
        <w:t>Weather, Climate and Society, 14</w:t>
      </w:r>
      <w:r>
        <w:rPr>
          <w:noProof/>
        </w:rPr>
        <w:t>(3), 979 - 991. doi:10.1175/WCAS-D-21-0167.1</w:t>
      </w:r>
    </w:p>
    <w:p w14:paraId="50D41460" w14:textId="77777777" w:rsidR="00986BDD" w:rsidRDefault="00986BDD" w:rsidP="00986BDD">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731E7BD7" w14:textId="77777777" w:rsidR="00986BDD" w:rsidRDefault="00986BDD" w:rsidP="00986BDD">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7381E68E" w14:textId="77777777" w:rsidR="00986BDD" w:rsidRDefault="00986BDD" w:rsidP="00986BDD">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5976D4BD" w14:textId="77777777" w:rsidR="00986BDD" w:rsidRDefault="00986BDD" w:rsidP="00986BDD">
      <w:pPr>
        <w:pStyle w:val="Bibliography"/>
        <w:ind w:left="720" w:hanging="720"/>
        <w:rPr>
          <w:noProof/>
        </w:rPr>
      </w:pPr>
      <w:r>
        <w:rPr>
          <w:noProof/>
        </w:rPr>
        <w:t xml:space="preserve">Jiang, S., &amp; Cai, C. (April, 2023). The impacts of weather conditions on metro ridership: An empirical study from three mega cities in China. </w:t>
      </w:r>
      <w:r>
        <w:rPr>
          <w:i/>
          <w:iCs/>
          <w:noProof/>
        </w:rPr>
        <w:t>Travel Behaviour and Society, 31</w:t>
      </w:r>
      <w:r>
        <w:rPr>
          <w:noProof/>
        </w:rPr>
        <w:t>, 166 - 177. doi:10.1016/j.tbs.2022.12.003</w:t>
      </w:r>
    </w:p>
    <w:p w14:paraId="3ECC39F1" w14:textId="77777777" w:rsidR="00986BDD" w:rsidRDefault="00986BDD" w:rsidP="00986BDD">
      <w:pPr>
        <w:pStyle w:val="Bibliography"/>
        <w:ind w:left="720" w:hanging="720"/>
        <w:rPr>
          <w:noProof/>
        </w:rPr>
      </w:pPr>
      <w:r>
        <w:rPr>
          <w:noProof/>
        </w:rPr>
        <w:t xml:space="preserve">Jin, S., Jing, C., Wang, Y., &amp; Lv, X. (June, 2022). Spatiotemporal Graph Convolutional Neural Networks for Metro Flow Prediction. </w:t>
      </w:r>
      <w:r>
        <w:rPr>
          <w:i/>
          <w:iCs/>
          <w:noProof/>
        </w:rPr>
        <w:t>The International Archives of the Photogrammetry Remote Sensing and Spatial Information Sciences, XLIII</w:t>
      </w:r>
      <w:r>
        <w:rPr>
          <w:noProof/>
        </w:rPr>
        <w:t>, 403 - 409. doi:10.5194/isprs-archives-XLIII-B4-2022-403-2022</w:t>
      </w:r>
    </w:p>
    <w:p w14:paraId="3BD79FE1" w14:textId="77777777" w:rsidR="00986BDD" w:rsidRDefault="00986BDD" w:rsidP="00986BDD">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5A1D3F99" w14:textId="77777777" w:rsidR="00986BDD" w:rsidRDefault="00986BDD" w:rsidP="00986BDD">
      <w:pPr>
        <w:pStyle w:val="Bibliography"/>
        <w:ind w:left="720" w:hanging="720"/>
        <w:rPr>
          <w:noProof/>
        </w:rPr>
      </w:pPr>
      <w:r>
        <w:rPr>
          <w:noProof/>
        </w:rPr>
        <w:t xml:space="preserve">Khalil, S., Amrit, C., Koch, T., &amp; Dugundji, E. R. (May, 2021). Forecasting Public Transport Ridership: Management of Information Systems using CNN and LSTM Architectures. </w:t>
      </w:r>
      <w:r>
        <w:rPr>
          <w:i/>
          <w:iCs/>
          <w:noProof/>
        </w:rPr>
        <w:t>Procedia Computer Science, 184</w:t>
      </w:r>
      <w:r>
        <w:rPr>
          <w:noProof/>
        </w:rPr>
        <w:t>, 283 - 290. doi:10.1016/j.procs.2021.03.037</w:t>
      </w:r>
    </w:p>
    <w:p w14:paraId="2F1DA7A6" w14:textId="77777777" w:rsidR="00986BDD" w:rsidRDefault="00986BDD" w:rsidP="00986BDD">
      <w:pPr>
        <w:pStyle w:val="Bibliography"/>
        <w:ind w:left="720" w:hanging="720"/>
        <w:rPr>
          <w:noProof/>
        </w:rPr>
      </w:pPr>
      <w:r>
        <w:rPr>
          <w:noProof/>
        </w:rPr>
        <w:t xml:space="preserve">Kim, T., Kim, J., Tae, Y., Park, C., Choi, J.-H., &amp; Choo, J. (14 February, 2023). Reversible Instance Normalization for Accurate Time-Series Forecasting against Distribution </w:t>
      </w:r>
      <w:r>
        <w:rPr>
          <w:noProof/>
        </w:rPr>
        <w:lastRenderedPageBreak/>
        <w:t xml:space="preserve">Shift . </w:t>
      </w:r>
      <w:r>
        <w:rPr>
          <w:i/>
          <w:iCs/>
          <w:noProof/>
        </w:rPr>
        <w:t>ICLR 2022 Conference</w:t>
      </w:r>
      <w:r>
        <w:rPr>
          <w:noProof/>
        </w:rPr>
        <w:t>, 1 - 25. Retrieved from https://openreview.net/forum?id=cGDAkQo1C0p</w:t>
      </w:r>
    </w:p>
    <w:p w14:paraId="1FB567B2" w14:textId="77777777" w:rsidR="00986BDD" w:rsidRDefault="00986BDD" w:rsidP="00986BDD">
      <w:pPr>
        <w:pStyle w:val="Bibliography"/>
        <w:ind w:left="720" w:hanging="720"/>
        <w:rPr>
          <w:noProof/>
        </w:rPr>
      </w:pPr>
      <w:r>
        <w:rPr>
          <w:noProof/>
        </w:rPr>
        <w:t xml:space="preserve">Krishnasamy, L., C, S., Dhanaraj, R. K., Al-Khasawneh, M. A., Al-Shehari, T., Alsadhan, N. A., &amp; Selvarajan, S. (26 May, 2025). Intelligent traffic congestion forecasting using BiLSTM and adaptive secretary bird optimizer for sustainable urban transportation. </w:t>
      </w:r>
      <w:r>
        <w:rPr>
          <w:i/>
          <w:iCs/>
          <w:noProof/>
        </w:rPr>
        <w:t>Scientific Reports, 15</w:t>
      </w:r>
      <w:r>
        <w:rPr>
          <w:noProof/>
        </w:rPr>
        <w:t>, 18423. doi:10.1038/s41598-025-02933-9</w:t>
      </w:r>
    </w:p>
    <w:p w14:paraId="0D57C9B8" w14:textId="77777777" w:rsidR="00986BDD" w:rsidRDefault="00986BDD" w:rsidP="00986BDD">
      <w:pPr>
        <w:pStyle w:val="Bibliography"/>
        <w:ind w:left="720" w:hanging="720"/>
        <w:rPr>
          <w:noProof/>
        </w:rPr>
      </w:pPr>
      <w:r>
        <w:rPr>
          <w:noProof/>
        </w:rPr>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7BE25834" w14:textId="77777777" w:rsidR="00986BDD" w:rsidRDefault="00986BDD" w:rsidP="00986BDD">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355EC438" w14:textId="77777777" w:rsidR="00986BDD" w:rsidRDefault="00986BDD" w:rsidP="00986BDD">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0F9A5F9B" w14:textId="77777777" w:rsidR="00986BDD" w:rsidRDefault="00986BDD" w:rsidP="00986BDD">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305266D2" w14:textId="77777777" w:rsidR="00986BDD" w:rsidRDefault="00986BDD" w:rsidP="00986BDD">
      <w:pPr>
        <w:pStyle w:val="Bibliography"/>
        <w:ind w:left="720" w:hanging="720"/>
        <w:rPr>
          <w:noProof/>
        </w:rPr>
      </w:pPr>
      <w:r>
        <w:rPr>
          <w:noProof/>
        </w:rPr>
        <w:t xml:space="preserve">Ma, X., &amp; Zhang, H. (29 March, 2025). Time Series Forecasting Method Based on Multi-Scale Feature Fusion and Autoformer. </w:t>
      </w:r>
      <w:r>
        <w:rPr>
          <w:i/>
          <w:iCs/>
          <w:noProof/>
        </w:rPr>
        <w:t>Applied Science, 15</w:t>
      </w:r>
      <w:r>
        <w:rPr>
          <w:noProof/>
        </w:rPr>
        <w:t>(7), 3768. doi:10.3390/app15073768</w:t>
      </w:r>
    </w:p>
    <w:p w14:paraId="643F51E4" w14:textId="77777777" w:rsidR="00986BDD" w:rsidRDefault="00986BDD" w:rsidP="00986BDD">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6C357C3B" w14:textId="77777777" w:rsidR="00986BDD" w:rsidRDefault="00986BDD" w:rsidP="00986BDD">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5AEBCC8F" w14:textId="77777777" w:rsidR="00986BDD" w:rsidRDefault="00986BDD" w:rsidP="00986BDD">
      <w:pPr>
        <w:pStyle w:val="Bibliography"/>
        <w:ind w:left="720" w:hanging="720"/>
        <w:rPr>
          <w:noProof/>
        </w:rPr>
      </w:pPr>
      <w:r>
        <w:rPr>
          <w:noProof/>
        </w:rPr>
        <w:lastRenderedPageBreak/>
        <w:t xml:space="preserve">Mily, S. N., Haque, M. B., &amp; Islam, M. A. (22 October, 2024 ). Unveiling the consequence of unprecedented fuel price hike in Bangladesh on consumer travel behavior. </w:t>
      </w:r>
      <w:r>
        <w:rPr>
          <w:i/>
          <w:iCs/>
          <w:noProof/>
        </w:rPr>
        <w:t>Sustainable Transport and Livability, 1</w:t>
      </w:r>
      <w:r>
        <w:rPr>
          <w:noProof/>
        </w:rPr>
        <w:t>(1), 1 - 23. doi:10.1080/29941849.2024.2409081</w:t>
      </w:r>
    </w:p>
    <w:p w14:paraId="23135DCC" w14:textId="77777777" w:rsidR="00986BDD" w:rsidRDefault="00986BDD" w:rsidP="00986BDD">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39021867" w14:textId="77777777" w:rsidR="00986BDD" w:rsidRDefault="00986BDD" w:rsidP="00986BDD">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206EF139" w14:textId="77777777" w:rsidR="00986BDD" w:rsidRDefault="00986BDD" w:rsidP="00986BDD">
      <w:pPr>
        <w:pStyle w:val="Bibliography"/>
        <w:ind w:left="720" w:hanging="720"/>
        <w:rPr>
          <w:noProof/>
        </w:rPr>
      </w:pPr>
      <w:r>
        <w:rPr>
          <w:noProof/>
        </w:rPr>
        <w:t xml:space="preserve">Ngo, N. S., &amp; Bashar, S. (December, 2024). The impacts of extreme weather events on U.S. Public transit ridership. </w:t>
      </w:r>
      <w:r>
        <w:rPr>
          <w:i/>
          <w:iCs/>
          <w:noProof/>
        </w:rPr>
        <w:t>Transportation Research Part D: Transport and Environment, 137</w:t>
      </w:r>
      <w:r>
        <w:rPr>
          <w:noProof/>
        </w:rPr>
        <w:t>, 104504. doi:10.1016/j.trd.2024.104504</w:t>
      </w:r>
    </w:p>
    <w:p w14:paraId="5B28EE53" w14:textId="77777777" w:rsidR="00986BDD" w:rsidRDefault="00986BDD" w:rsidP="00986BDD">
      <w:pPr>
        <w:pStyle w:val="Bibliography"/>
        <w:ind w:left="720" w:hanging="720"/>
        <w:rPr>
          <w:noProof/>
        </w:rPr>
      </w:pPr>
      <w:r>
        <w:rPr>
          <w:noProof/>
        </w:rPr>
        <w:t xml:space="preserve">Pour, M. A., Zargari, F., Samimi, A., &amp; Sahebi, S. (March, 2026). Analyzing the influence of fuel price shock on urban public transit and interurban automobile travel demand: Evidence from a country with fixed fuel price regulation. </w:t>
      </w:r>
      <w:r>
        <w:rPr>
          <w:i/>
          <w:iCs/>
          <w:noProof/>
        </w:rPr>
        <w:t>Transportation Research Interdisciplinary Perspectives 36, 36</w:t>
      </w:r>
      <w:r>
        <w:rPr>
          <w:noProof/>
        </w:rPr>
        <w:t>, 101829. doi:10.1016/j.trip.2025.101829</w:t>
      </w:r>
    </w:p>
    <w:p w14:paraId="4C4BBF18" w14:textId="77777777" w:rsidR="00986BDD" w:rsidRDefault="00986BDD" w:rsidP="00986BDD">
      <w:pPr>
        <w:pStyle w:val="Bibliography"/>
        <w:ind w:left="720" w:hanging="720"/>
        <w:rPr>
          <w:noProof/>
        </w:rPr>
      </w:pPr>
      <w:r>
        <w:rPr>
          <w:noProof/>
        </w:rPr>
        <w:t xml:space="preserve">Rahmani, B., Moghaddam, A. M., &amp; Maghrebi, M. (July, 2025). Forecasting demand fluctuations of public bus transit during special events and adverse weather conditions through smart card data analysis. </w:t>
      </w:r>
      <w:r>
        <w:rPr>
          <w:i/>
          <w:iCs/>
          <w:noProof/>
        </w:rPr>
        <w:t>Travel Behaviour and Society, 40</w:t>
      </w:r>
      <w:r>
        <w:rPr>
          <w:noProof/>
        </w:rPr>
        <w:t>, 101033. doi:10.1016/j.tbs.2025.101033</w:t>
      </w:r>
    </w:p>
    <w:p w14:paraId="10EEC680" w14:textId="77777777" w:rsidR="00986BDD" w:rsidRDefault="00986BDD" w:rsidP="00986BDD">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3341DA9E" w14:textId="77777777" w:rsidR="00986BDD" w:rsidRDefault="00986BDD" w:rsidP="00986BDD">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006CA922" w14:textId="77777777" w:rsidR="00986BDD" w:rsidRDefault="00986BDD" w:rsidP="00986BDD">
      <w:pPr>
        <w:pStyle w:val="Bibliography"/>
        <w:ind w:left="720" w:hanging="720"/>
        <w:rPr>
          <w:noProof/>
        </w:rPr>
      </w:pPr>
      <w:r>
        <w:rPr>
          <w:noProof/>
        </w:rPr>
        <w:lastRenderedPageBreak/>
        <w:t xml:space="preserve">Shi, B., Wang, Z., Yan, J., Yang, Q., &amp; Yang, N. (27 February, 2024). A Novel Spatial-Temporal Deep Learning Method for Metro Flow Prediction Considering External Factors and Periodicity. </w:t>
      </w:r>
      <w:r>
        <w:rPr>
          <w:i/>
          <w:iCs/>
          <w:noProof/>
        </w:rPr>
        <w:t>Applied Science, 14</w:t>
      </w:r>
      <w:r>
        <w:rPr>
          <w:noProof/>
        </w:rPr>
        <w:t>(5), 1949. doi:10.3390/app14051949</w:t>
      </w:r>
    </w:p>
    <w:p w14:paraId="63A126A3" w14:textId="77777777" w:rsidR="00986BDD" w:rsidRDefault="00986BDD" w:rsidP="00986BDD">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railways. </w:t>
      </w:r>
      <w:r>
        <w:rPr>
          <w:i/>
          <w:iCs/>
          <w:noProof/>
        </w:rPr>
        <w:t>European Journal of Operational Research, 310</w:t>
      </w:r>
      <w:r>
        <w:rPr>
          <w:noProof/>
        </w:rPr>
        <w:t>(3), 1201 - 1217. doi:10.1016/j.ejor.2023.03.040</w:t>
      </w:r>
    </w:p>
    <w:p w14:paraId="38541847" w14:textId="77777777" w:rsidR="00986BDD" w:rsidRDefault="00986BDD" w:rsidP="00986BDD">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0D3431AA" w14:textId="77777777" w:rsidR="00986BDD" w:rsidRDefault="00986BDD" w:rsidP="00986BDD">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26620061" w14:textId="77777777" w:rsidR="00986BDD" w:rsidRDefault="00986BDD" w:rsidP="00986BDD">
      <w:pPr>
        <w:pStyle w:val="Bibliography"/>
        <w:ind w:left="720" w:hanging="720"/>
        <w:rPr>
          <w:noProof/>
        </w:rPr>
      </w:pPr>
      <w:r>
        <w:rPr>
          <w:noProof/>
        </w:rPr>
        <w:t xml:space="preserve">Song, Y., Luo, R., Zhou, T., Zhou, C., &amp; Su, R. (24 July, 2024). Graph Attention Informer for Long-Term Traffic Flow Prediction under the Impact of Sports Events. </w:t>
      </w:r>
      <w:r>
        <w:rPr>
          <w:i/>
          <w:iCs/>
          <w:noProof/>
        </w:rPr>
        <w:t>Sensors, 24</w:t>
      </w:r>
      <w:r>
        <w:rPr>
          <w:noProof/>
        </w:rPr>
        <w:t>(15), 4796. doi:10.3390/s24154796</w:t>
      </w:r>
    </w:p>
    <w:p w14:paraId="18B556DE" w14:textId="77777777" w:rsidR="00986BDD" w:rsidRDefault="00986BDD" w:rsidP="00986BDD">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Review of Literature. </w:t>
      </w:r>
      <w:r>
        <w:rPr>
          <w:i/>
          <w:iCs/>
          <w:noProof/>
        </w:rPr>
        <w:t>Proceedings of the 5th European International Conference on Industrial Engineering and Operations Management</w:t>
      </w:r>
      <w:r>
        <w:rPr>
          <w:noProof/>
        </w:rPr>
        <w:t>, 1600 - 1616. doi:10.46254/EU05.20220308</w:t>
      </w:r>
    </w:p>
    <w:p w14:paraId="7FD23D04" w14:textId="77777777" w:rsidR="00986BDD" w:rsidRDefault="00986BDD" w:rsidP="00986BDD">
      <w:pPr>
        <w:pStyle w:val="Bibliography"/>
        <w:ind w:left="720" w:hanging="720"/>
        <w:rPr>
          <w:noProof/>
        </w:rPr>
      </w:pPr>
      <w:r>
        <w:rPr>
          <w:noProof/>
        </w:rPr>
        <w:t xml:space="preserve">Topilin, I., Jiang, J., Feofilova, A., &amp; Beskopylny, N. (15 September, 2025). Traffic Flow Prediction via a Hybrid CPO-CNN-LSTM-Attention Architecture. </w:t>
      </w:r>
      <w:r>
        <w:rPr>
          <w:i/>
          <w:iCs/>
          <w:noProof/>
        </w:rPr>
        <w:t>Smart Cities, 8</w:t>
      </w:r>
      <w:r>
        <w:rPr>
          <w:noProof/>
        </w:rPr>
        <w:t>(5), 148. doi:10.3390/smartcities8050148</w:t>
      </w:r>
    </w:p>
    <w:p w14:paraId="3F7BAF66" w14:textId="77777777" w:rsidR="00986BDD" w:rsidRDefault="00986BDD" w:rsidP="00986BDD">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0704BA18" w14:textId="77777777" w:rsidR="00986BDD" w:rsidRDefault="00986BDD" w:rsidP="00986BDD">
      <w:pPr>
        <w:pStyle w:val="Bibliography"/>
        <w:ind w:left="720" w:hanging="720"/>
        <w:rPr>
          <w:noProof/>
        </w:rPr>
      </w:pPr>
      <w:r>
        <w:rPr>
          <w:noProof/>
        </w:rPr>
        <w:lastRenderedPageBreak/>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5B63DC9F" w14:textId="77777777" w:rsidR="00986BDD" w:rsidRDefault="00986BDD" w:rsidP="00986BDD">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2113988E" w14:textId="77777777" w:rsidR="00986BDD" w:rsidRDefault="00986BDD" w:rsidP="00986BDD">
      <w:pPr>
        <w:pStyle w:val="Bibliography"/>
        <w:ind w:left="720" w:hanging="720"/>
        <w:rPr>
          <w:noProof/>
        </w:rPr>
      </w:pPr>
      <w:r>
        <w:rPr>
          <w:noProof/>
        </w:rPr>
        <w:t xml:space="preserve">Wei, L., Guo, D., Chen, Z., Yang, J., &amp; Feng, T. (16 January, 2023). Forecasting Short-Term Passenger Flow of Subway Stations Based on the Temporal Pattern Attention Mechanism and the Long Short-Term Memory Network. </w:t>
      </w:r>
      <w:r>
        <w:rPr>
          <w:i/>
          <w:iCs/>
          <w:noProof/>
        </w:rPr>
        <w:t>Geo-Information, 12</w:t>
      </w:r>
      <w:r>
        <w:rPr>
          <w:noProof/>
        </w:rPr>
        <w:t>(1), 25. doi:10.3390/ijgi12010025</w:t>
      </w:r>
    </w:p>
    <w:p w14:paraId="07D03C6E" w14:textId="77777777" w:rsidR="00986BDD" w:rsidRDefault="00986BDD" w:rsidP="00986BDD">
      <w:pPr>
        <w:pStyle w:val="Bibliography"/>
        <w:ind w:left="720" w:hanging="720"/>
        <w:rPr>
          <w:noProof/>
        </w:rPr>
      </w:pPr>
      <w:r>
        <w:rPr>
          <w:noProof/>
        </w:rPr>
        <w:t xml:space="preserve">Wu, J.-L., Lu, M., &amp; Wang, C.-Y. (2 February, 2023). Forecasting metro rail transit passenger flow with multiple-attention deep neural networks and surrounding vehicle detection devices. </w:t>
      </w:r>
      <w:r>
        <w:rPr>
          <w:i/>
          <w:iCs/>
          <w:noProof/>
        </w:rPr>
        <w:t>Applied Intelligence, 53</w:t>
      </w:r>
      <w:r>
        <w:rPr>
          <w:noProof/>
        </w:rPr>
        <w:t>, 18531 - 18546. doi:10.1007/s10489-023-04483-x</w:t>
      </w:r>
    </w:p>
    <w:p w14:paraId="5AAB0E51" w14:textId="77777777" w:rsidR="00986BDD" w:rsidRDefault="00986BDD" w:rsidP="00986BDD">
      <w:pPr>
        <w:pStyle w:val="Bibliography"/>
        <w:ind w:left="720" w:hanging="720"/>
        <w:rPr>
          <w:noProof/>
        </w:rPr>
      </w:pPr>
      <w:r>
        <w:rPr>
          <w:noProof/>
        </w:rPr>
        <w:t xml:space="preserve">Wu, Z., Liu, X., &amp; Zhang, X. (14 May, 2025). Multi dynamic temporal representation graph convolutional network for traffic flow prediction. </w:t>
      </w:r>
      <w:r>
        <w:rPr>
          <w:i/>
          <w:iCs/>
          <w:noProof/>
        </w:rPr>
        <w:t>Scientific Reports, 15</w:t>
      </w:r>
      <w:r>
        <w:rPr>
          <w:noProof/>
        </w:rPr>
        <w:t>, 16734. doi:10.1038/s41598-025-01157-1</w:t>
      </w:r>
    </w:p>
    <w:p w14:paraId="6F5128C4" w14:textId="77777777" w:rsidR="00986BDD" w:rsidRDefault="00986BDD" w:rsidP="00986BDD">
      <w:pPr>
        <w:pStyle w:val="Bibliography"/>
        <w:ind w:left="720" w:hanging="720"/>
        <w:rPr>
          <w:noProof/>
        </w:rPr>
      </w:pPr>
      <w:r>
        <w:rPr>
          <w:noProof/>
        </w:rPr>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1795E443" w14:textId="77777777" w:rsidR="00986BDD" w:rsidRDefault="00986BDD" w:rsidP="00986BDD">
      <w:pPr>
        <w:pStyle w:val="Bibliography"/>
        <w:ind w:left="720" w:hanging="720"/>
        <w:rPr>
          <w:noProof/>
        </w:rPr>
      </w:pPr>
      <w:r>
        <w:rPr>
          <w:noProof/>
        </w:rPr>
        <w:t xml:space="preserve">Yusuf, O., Rasheed, A., &amp; Lindseth, F. (3 November, 2025). Data-driven predictive modelling of stop-level public transit patterns. </w:t>
      </w:r>
      <w:r>
        <w:rPr>
          <w:i/>
          <w:iCs/>
          <w:noProof/>
        </w:rPr>
        <w:t>Transportation</w:t>
      </w:r>
      <w:r>
        <w:rPr>
          <w:noProof/>
        </w:rPr>
        <w:t>, 1 - 53. doi:10.1007/s11116-025-10689-4</w:t>
      </w:r>
    </w:p>
    <w:p w14:paraId="6C6297F5" w14:textId="77777777" w:rsidR="00986BDD" w:rsidRDefault="00986BDD" w:rsidP="00986BDD">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1D6C85FF" w14:textId="77777777" w:rsidR="00986BDD" w:rsidRDefault="00986BDD" w:rsidP="00986BDD">
      <w:pPr>
        <w:pStyle w:val="Bibliography"/>
        <w:ind w:left="720" w:hanging="720"/>
        <w:rPr>
          <w:noProof/>
        </w:rPr>
      </w:pPr>
      <w:r>
        <w:rPr>
          <w:noProof/>
        </w:rPr>
        <w:t xml:space="preserve">Zhuang, W., &amp; Cao, Y. (30 August, 2022). Short-Term Traffic Flow Prediction Based on CNN-BILSTM with Multicomponent Information. </w:t>
      </w:r>
      <w:r>
        <w:rPr>
          <w:i/>
          <w:iCs/>
          <w:noProof/>
        </w:rPr>
        <w:t>Applied Science, 12</w:t>
      </w:r>
      <w:r>
        <w:rPr>
          <w:noProof/>
        </w:rPr>
        <w:t>(17), 8714. doi:10.3390/app12178714</w:t>
      </w:r>
    </w:p>
    <w:p w14:paraId="0E672F0B" w14:textId="77777777" w:rsidR="007531F3" w:rsidRPr="007531F3" w:rsidRDefault="005C23CC" w:rsidP="00986BDD">
      <w:r>
        <w:fldChar w:fldCharType="end"/>
      </w:r>
    </w:p>
    <w:p w14:paraId="003DEA52" w14:textId="17495AD4" w:rsidR="0051770A" w:rsidRDefault="0051770A" w:rsidP="0051770A">
      <w:pPr>
        <w:pStyle w:val="Heading1"/>
        <w:numPr>
          <w:ilvl w:val="0"/>
          <w:numId w:val="3"/>
        </w:numPr>
        <w:jc w:val="left"/>
        <w:rPr>
          <w:b/>
          <w:bCs/>
          <w:sz w:val="24"/>
          <w:szCs w:val="24"/>
          <w:u w:val="single"/>
        </w:rPr>
      </w:pPr>
      <w:r>
        <w:rPr>
          <w:b/>
          <w:bCs/>
          <w:sz w:val="24"/>
          <w:szCs w:val="24"/>
          <w:u w:val="single"/>
        </w:rPr>
        <w:lastRenderedPageBreak/>
        <w:t>Appendix</w:t>
      </w:r>
      <w:r w:rsidR="00093C8C">
        <w:rPr>
          <w:b/>
          <w:bCs/>
          <w:sz w:val="24"/>
          <w:szCs w:val="24"/>
          <w:u w:val="single"/>
        </w:rPr>
        <w:t xml:space="preserve"> – </w:t>
      </w:r>
      <w:r w:rsidR="00271437">
        <w:rPr>
          <w:b/>
          <w:bCs/>
          <w:sz w:val="24"/>
          <w:szCs w:val="24"/>
          <w:u w:val="single"/>
        </w:rPr>
        <w:t>Technical Details</w:t>
      </w:r>
    </w:p>
    <w:p w14:paraId="48C9E725" w14:textId="70F83544" w:rsidR="00987985" w:rsidRDefault="00987985" w:rsidP="00987985">
      <w:pPr>
        <w:pStyle w:val="Heading1"/>
        <w:numPr>
          <w:ilvl w:val="1"/>
          <w:numId w:val="3"/>
        </w:numPr>
        <w:spacing w:before="0"/>
        <w:jc w:val="left"/>
        <w:rPr>
          <w:b/>
          <w:bCs/>
          <w:sz w:val="24"/>
          <w:szCs w:val="24"/>
          <w:u w:val="single"/>
        </w:rPr>
      </w:pPr>
      <w:r>
        <w:rPr>
          <w:b/>
          <w:bCs/>
          <w:sz w:val="24"/>
          <w:szCs w:val="24"/>
          <w:u w:val="single"/>
        </w:rPr>
        <w:t>Hardware Specifications</w:t>
      </w:r>
    </w:p>
    <w:p w14:paraId="5DF0035C" w14:textId="69CF513B" w:rsidR="00987985" w:rsidRDefault="00987985">
      <w:pPr>
        <w:pStyle w:val="ListParagraph"/>
        <w:numPr>
          <w:ilvl w:val="0"/>
          <w:numId w:val="37"/>
        </w:numPr>
      </w:pPr>
      <w:r>
        <w:t>CPU: 64 cores</w:t>
      </w:r>
    </w:p>
    <w:p w14:paraId="6E8D963F" w14:textId="16BDD4E5" w:rsidR="00987985" w:rsidRDefault="00987985">
      <w:pPr>
        <w:pStyle w:val="ListParagraph"/>
        <w:numPr>
          <w:ilvl w:val="0"/>
          <w:numId w:val="37"/>
        </w:numPr>
      </w:pPr>
      <w:r>
        <w:t>GPU: 1x A100 (</w:t>
      </w:r>
      <w:r w:rsidR="00B84E2D">
        <w:t>UMHPC</w:t>
      </w:r>
      <w:r>
        <w:t>) – 32GB</w:t>
      </w:r>
      <w:r w:rsidR="00766012">
        <w:t xml:space="preserve"> </w:t>
      </w:r>
      <w:proofErr w:type="spellStart"/>
      <w:r w:rsidR="00766012">
        <w:t>vRAM</w:t>
      </w:r>
      <w:proofErr w:type="spellEnd"/>
    </w:p>
    <w:p w14:paraId="55255F59" w14:textId="4CEC6C5B" w:rsidR="00987985" w:rsidRPr="00987985" w:rsidRDefault="00987985">
      <w:pPr>
        <w:pStyle w:val="ListParagraph"/>
        <w:numPr>
          <w:ilvl w:val="0"/>
          <w:numId w:val="37"/>
        </w:numPr>
      </w:pPr>
      <w:r>
        <w:t>No hyperthreading</w:t>
      </w:r>
    </w:p>
    <w:p w14:paraId="1E8ABEA3" w14:textId="77777777" w:rsidR="00271437" w:rsidRDefault="00271437" w:rsidP="00271437">
      <w:pPr>
        <w:pStyle w:val="Heading1"/>
        <w:numPr>
          <w:ilvl w:val="1"/>
          <w:numId w:val="3"/>
        </w:numPr>
        <w:spacing w:before="0"/>
        <w:jc w:val="left"/>
        <w:rPr>
          <w:b/>
          <w:bCs/>
          <w:sz w:val="24"/>
          <w:szCs w:val="24"/>
          <w:u w:val="single"/>
        </w:rPr>
      </w:pPr>
      <w:r>
        <w:rPr>
          <w:b/>
          <w:bCs/>
          <w:sz w:val="24"/>
          <w:szCs w:val="24"/>
          <w:u w:val="single"/>
        </w:rPr>
        <w:t>Data Configuration</w:t>
      </w:r>
    </w:p>
    <w:p w14:paraId="5C540683" w14:textId="03DCDE99" w:rsidR="00271437" w:rsidRDefault="00271437">
      <w:pPr>
        <w:pStyle w:val="ListParagraph"/>
        <w:numPr>
          <w:ilvl w:val="0"/>
          <w:numId w:val="34"/>
        </w:numPr>
      </w:pPr>
      <w:r>
        <w:t>Look-back window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14 / 28 / 56 days for the 14 base models; 7 /14 /28 / 56 / 84 days for HMT-TSF</w:t>
      </w:r>
      <w:r w:rsidR="00A523B8">
        <w:t>.</w:t>
      </w:r>
    </w:p>
    <w:p w14:paraId="7B031E72" w14:textId="40A17C70" w:rsidR="00A523B8" w:rsidRDefault="00A523B8">
      <w:pPr>
        <w:pStyle w:val="ListParagraph"/>
        <w:numPr>
          <w:ilvl w:val="0"/>
          <w:numId w:val="34"/>
        </w:numPr>
      </w:pPr>
      <w:r>
        <w:t>Forecast horizon (</w:t>
      </w:r>
      <m:oMath>
        <m:sSub>
          <m:sSubPr>
            <m:ctrlPr>
              <w:rPr>
                <w:rFonts w:ascii="Cambria Math" w:hAnsi="Cambria Math"/>
              </w:rPr>
            </m:ctrlPr>
          </m:sSubPr>
          <m:e>
            <m:r>
              <w:rPr>
                <w:rFonts w:ascii="Cambria Math" w:hAnsi="Cambria Math"/>
              </w:rPr>
              <m:t>T</m:t>
            </m:r>
          </m:e>
          <m:sub>
            <m:r>
              <w:rPr>
                <w:rFonts w:ascii="Cambria Math" w:hAnsi="Cambria Math"/>
              </w:rPr>
              <m:t>out</m:t>
            </m:r>
          </m:sub>
        </m:sSub>
      </m:oMath>
      <w:r>
        <w:t>): 7 days</w:t>
      </w:r>
    </w:p>
    <w:p w14:paraId="5F0ACE28" w14:textId="35953E92" w:rsidR="00A523B8" w:rsidRDefault="00A523B8">
      <w:pPr>
        <w:pStyle w:val="ListParagraph"/>
        <w:numPr>
          <w:ilvl w:val="0"/>
          <w:numId w:val="34"/>
        </w:numPr>
      </w:pPr>
      <w:r>
        <w:t>Data split: 70% train / 15% test / 15% validation (chronological)</w:t>
      </w:r>
    </w:p>
    <w:p w14:paraId="215EA948" w14:textId="68955675" w:rsidR="00A523B8" w:rsidRDefault="00A523B8">
      <w:pPr>
        <w:pStyle w:val="ListParagraph"/>
        <w:numPr>
          <w:ilvl w:val="0"/>
          <w:numId w:val="34"/>
        </w:numPr>
      </w:pPr>
      <w:r>
        <w:t>Precision: Sequences stored as float16, cast to float32 before model input</w:t>
      </w:r>
    </w:p>
    <w:p w14:paraId="3E1D28FB" w14:textId="38B93A2A" w:rsidR="00271437" w:rsidRDefault="00A523B8">
      <w:pPr>
        <w:pStyle w:val="ListParagraph"/>
        <w:numPr>
          <w:ilvl w:val="0"/>
          <w:numId w:val="34"/>
        </w:numPr>
      </w:pPr>
      <w:r>
        <w:t xml:space="preserve">Scaling: </w:t>
      </w:r>
      <w:proofErr w:type="spellStart"/>
      <w:r>
        <w:t>MinMaxScaler</w:t>
      </w:r>
      <w:proofErr w:type="spellEnd"/>
      <w:r>
        <w:t xml:space="preserve"> fitted on training data only</w:t>
      </w:r>
    </w:p>
    <w:p w14:paraId="3ACA4F55" w14:textId="20F9F3AD" w:rsidR="00B97903" w:rsidRDefault="00B97903" w:rsidP="00B97903">
      <w:pPr>
        <w:pStyle w:val="Heading1"/>
        <w:numPr>
          <w:ilvl w:val="1"/>
          <w:numId w:val="3"/>
        </w:numPr>
        <w:spacing w:before="0"/>
        <w:jc w:val="left"/>
        <w:rPr>
          <w:b/>
          <w:bCs/>
          <w:sz w:val="24"/>
          <w:szCs w:val="24"/>
          <w:u w:val="single"/>
        </w:rPr>
      </w:pPr>
      <w:r>
        <w:rPr>
          <w:b/>
          <w:bCs/>
          <w:sz w:val="24"/>
          <w:szCs w:val="24"/>
          <w:u w:val="single"/>
        </w:rPr>
        <w:t>Baseline Models Hyperparameters</w:t>
      </w:r>
    </w:p>
    <w:p w14:paraId="712E62CA" w14:textId="79EC31F2" w:rsidR="00B97903" w:rsidRDefault="00B97903">
      <w:pPr>
        <w:pStyle w:val="ListParagraph"/>
        <w:numPr>
          <w:ilvl w:val="0"/>
          <w:numId w:val="35"/>
        </w:numPr>
      </w:pPr>
      <w:r>
        <w:t>Epochs: 150</w:t>
      </w:r>
    </w:p>
    <w:p w14:paraId="7352D8CD" w14:textId="4C3BE966" w:rsidR="00B97903" w:rsidRDefault="00B97903">
      <w:pPr>
        <w:pStyle w:val="ListParagraph"/>
        <w:numPr>
          <w:ilvl w:val="0"/>
          <w:numId w:val="35"/>
        </w:numPr>
      </w:pPr>
      <w:r>
        <w:t>Batch size: 32</w:t>
      </w:r>
    </w:p>
    <w:p w14:paraId="11372EB3" w14:textId="04D36612" w:rsidR="00B97903" w:rsidRDefault="00B97903">
      <w:pPr>
        <w:pStyle w:val="ListParagraph"/>
        <w:numPr>
          <w:ilvl w:val="0"/>
          <w:numId w:val="35"/>
        </w:numPr>
      </w:pPr>
      <w:r>
        <w:t>LR: 1e-3</w:t>
      </w:r>
    </w:p>
    <w:p w14:paraId="2EA833E9" w14:textId="5DD013FE" w:rsidR="00B97903" w:rsidRDefault="00B97903">
      <w:pPr>
        <w:pStyle w:val="ListParagraph"/>
        <w:numPr>
          <w:ilvl w:val="0"/>
          <w:numId w:val="35"/>
        </w:numPr>
      </w:pPr>
      <w:r>
        <w:t>Patience: 15</w:t>
      </w:r>
    </w:p>
    <w:p w14:paraId="00A080F8" w14:textId="53C79058" w:rsidR="00B97903" w:rsidRDefault="00B97903">
      <w:pPr>
        <w:pStyle w:val="ListParagraph"/>
        <w:numPr>
          <w:ilvl w:val="0"/>
          <w:numId w:val="35"/>
        </w:numPr>
      </w:pPr>
      <w:r>
        <w:t>Dropout: 0.1</w:t>
      </w:r>
    </w:p>
    <w:p w14:paraId="5E58E779" w14:textId="251659A9" w:rsidR="00B97903" w:rsidRDefault="00B97903">
      <w:pPr>
        <w:pStyle w:val="ListParagraph"/>
        <w:numPr>
          <w:ilvl w:val="0"/>
          <w:numId w:val="35"/>
        </w:numPr>
      </w:pPr>
      <w:r>
        <w:t>Weight decay: 1e-4</w:t>
      </w:r>
    </w:p>
    <w:p w14:paraId="22CA042F" w14:textId="4E72D282" w:rsidR="00B97903" w:rsidRDefault="00B97903" w:rsidP="00B97903">
      <w:r>
        <w:t>Some per-model deviations are fixed to minimize overfitting</w:t>
      </w:r>
      <w:r w:rsidR="008F0372">
        <w:t>/</w:t>
      </w:r>
      <w:r>
        <w:t>underfitting:</w:t>
      </w:r>
    </w:p>
    <w:p w14:paraId="194A5348" w14:textId="0755BA1A" w:rsidR="00B97903" w:rsidRDefault="00B97903">
      <w:pPr>
        <w:pStyle w:val="ListParagraph"/>
        <w:numPr>
          <w:ilvl w:val="0"/>
          <w:numId w:val="36"/>
        </w:numPr>
      </w:pPr>
      <w:r>
        <w:t>STGCN (Dropout: 0.20, Weight decay = 2e-4)</w:t>
      </w:r>
    </w:p>
    <w:p w14:paraId="3AC721A1" w14:textId="2FCFAA3F" w:rsidR="00B97903" w:rsidRDefault="00B97903">
      <w:pPr>
        <w:pStyle w:val="ListParagraph"/>
        <w:numPr>
          <w:ilvl w:val="0"/>
          <w:numId w:val="36"/>
        </w:numPr>
      </w:pPr>
      <w:r>
        <w:t>STSGCN (Epochs: 200, LR: 5e-4, Patience = 25)</w:t>
      </w:r>
    </w:p>
    <w:p w14:paraId="6F706866" w14:textId="1A764063" w:rsidR="00B97903" w:rsidRDefault="00B97903">
      <w:pPr>
        <w:pStyle w:val="ListParagraph"/>
        <w:numPr>
          <w:ilvl w:val="0"/>
          <w:numId w:val="36"/>
        </w:numPr>
      </w:pPr>
      <w:r>
        <w:t>STFGNN (Dropout: 0.20, Weight decay = 3e-4)</w:t>
      </w:r>
    </w:p>
    <w:p w14:paraId="627AD875" w14:textId="2745FA1B" w:rsidR="00B97903" w:rsidRDefault="00B97903">
      <w:pPr>
        <w:pStyle w:val="ListParagraph"/>
        <w:numPr>
          <w:ilvl w:val="0"/>
          <w:numId w:val="36"/>
        </w:numPr>
      </w:pPr>
      <w:r>
        <w:t>PDR-STGCN (Dropout: 0.15, Weight decay = 2e-4)</w:t>
      </w:r>
    </w:p>
    <w:p w14:paraId="74439595" w14:textId="126C4BAD" w:rsidR="00B97903" w:rsidRDefault="00B97903">
      <w:pPr>
        <w:pStyle w:val="ListParagraph"/>
        <w:numPr>
          <w:ilvl w:val="0"/>
          <w:numId w:val="36"/>
        </w:numPr>
      </w:pPr>
      <w:r>
        <w:t>ASTGCN (</w:t>
      </w:r>
      <w:r w:rsidR="008256F8">
        <w:t>Dropout: 0.15, Weight decay = 2e-4)</w:t>
      </w:r>
    </w:p>
    <w:p w14:paraId="7BBD81E1" w14:textId="2F073FF6" w:rsidR="00B97903" w:rsidRPr="00271437" w:rsidRDefault="008256F8">
      <w:pPr>
        <w:pStyle w:val="ListParagraph"/>
        <w:numPr>
          <w:ilvl w:val="0"/>
          <w:numId w:val="36"/>
        </w:numPr>
      </w:pPr>
      <w:proofErr w:type="spellStart"/>
      <w:r>
        <w:t>Autoformer</w:t>
      </w:r>
      <w:proofErr w:type="spellEnd"/>
      <w:r>
        <w:t xml:space="preserve"> (Dropout: 0.15, Weight decay = 2e-4)</w:t>
      </w:r>
    </w:p>
    <w:p w14:paraId="0029A77C" w14:textId="246D2E1E" w:rsidR="003351FA" w:rsidRDefault="003351FA" w:rsidP="003351FA">
      <w:pPr>
        <w:pStyle w:val="Heading1"/>
        <w:numPr>
          <w:ilvl w:val="1"/>
          <w:numId w:val="3"/>
        </w:numPr>
        <w:spacing w:before="0"/>
        <w:jc w:val="left"/>
        <w:rPr>
          <w:b/>
          <w:bCs/>
          <w:sz w:val="24"/>
          <w:szCs w:val="24"/>
          <w:u w:val="single"/>
        </w:rPr>
      </w:pPr>
      <w:r>
        <w:rPr>
          <w:b/>
          <w:bCs/>
          <w:sz w:val="24"/>
          <w:szCs w:val="24"/>
          <w:u w:val="single"/>
        </w:rPr>
        <w:t>Baseline Models Training Optimization</w:t>
      </w:r>
    </w:p>
    <w:p w14:paraId="09CDBEFE" w14:textId="6A202AAE" w:rsidR="003351FA" w:rsidRDefault="003351FA">
      <w:pPr>
        <w:pStyle w:val="ListParagraph"/>
        <w:numPr>
          <w:ilvl w:val="0"/>
          <w:numId w:val="34"/>
        </w:numPr>
      </w:pPr>
      <w:r>
        <w:t xml:space="preserve">Optimiser: </w:t>
      </w:r>
      <w:proofErr w:type="spellStart"/>
      <w:r>
        <w:t>AdamW</w:t>
      </w:r>
      <w:proofErr w:type="spellEnd"/>
      <w:r>
        <w:t xml:space="preserve"> (decoupled weight decay)</w:t>
      </w:r>
    </w:p>
    <w:p w14:paraId="29DCFDCA" w14:textId="64D1929E" w:rsidR="003351FA" w:rsidRDefault="003351FA">
      <w:pPr>
        <w:pStyle w:val="ListParagraph"/>
        <w:numPr>
          <w:ilvl w:val="0"/>
          <w:numId w:val="34"/>
        </w:numPr>
      </w:pPr>
      <w:r>
        <w:t xml:space="preserve">Loss: </w:t>
      </w:r>
      <w:proofErr w:type="spellStart"/>
      <w:r>
        <w:t>HuberLoss</w:t>
      </w:r>
      <w:proofErr w:type="spellEnd"/>
      <w:r>
        <w:t xml:space="preserve"> (delta = 1.0, default) – robust to ridership outliers</w:t>
      </w:r>
    </w:p>
    <w:p w14:paraId="1652380D" w14:textId="291B822B" w:rsidR="00271437" w:rsidRPr="003351FA" w:rsidRDefault="003351FA">
      <w:pPr>
        <w:pStyle w:val="ListParagraph"/>
        <w:numPr>
          <w:ilvl w:val="0"/>
          <w:numId w:val="34"/>
        </w:numPr>
      </w:pPr>
      <w:r>
        <w:t xml:space="preserve">LR schedule: Linear warmup </w:t>
      </w:r>
      <m:oMath>
        <m:r>
          <w:rPr>
            <w:rFonts w:ascii="Cambria Math" w:hAnsi="Cambria Math"/>
          </w:rPr>
          <m:t>→</m:t>
        </m:r>
      </m:oMath>
      <w:r>
        <w:t xml:space="preserve"> Reduce</w:t>
      </w:r>
      <w:proofErr w:type="spellStart"/>
      <w:r>
        <w:t>LROnPlateau</w:t>
      </w:r>
      <w:proofErr w:type="spellEnd"/>
    </w:p>
    <w:p w14:paraId="090CA848" w14:textId="72BB46CA" w:rsidR="007531F3" w:rsidRDefault="007531F3" w:rsidP="00271437">
      <w:pPr>
        <w:pStyle w:val="Heading1"/>
        <w:numPr>
          <w:ilvl w:val="1"/>
          <w:numId w:val="3"/>
        </w:numPr>
        <w:spacing w:before="0"/>
        <w:jc w:val="left"/>
        <w:rPr>
          <w:b/>
          <w:bCs/>
          <w:sz w:val="24"/>
          <w:szCs w:val="24"/>
          <w:u w:val="single"/>
        </w:rPr>
      </w:pPr>
      <w:r>
        <w:rPr>
          <w:b/>
          <w:bCs/>
          <w:sz w:val="24"/>
          <w:szCs w:val="24"/>
          <w:u w:val="single"/>
        </w:rPr>
        <w:lastRenderedPageBreak/>
        <w:t>Spatiotemporal Models</w:t>
      </w:r>
    </w:p>
    <w:p w14:paraId="3DD23FCB" w14:textId="6D5A45FE" w:rsidR="007531F3" w:rsidRDefault="007531F3" w:rsidP="00271437">
      <w:pPr>
        <w:pStyle w:val="Heading1"/>
        <w:numPr>
          <w:ilvl w:val="2"/>
          <w:numId w:val="3"/>
        </w:numPr>
        <w:spacing w:before="0"/>
        <w:jc w:val="left"/>
        <w:rPr>
          <w:b/>
          <w:bCs/>
          <w:sz w:val="24"/>
          <w:szCs w:val="24"/>
          <w:u w:val="single"/>
        </w:rPr>
      </w:pPr>
      <w:r>
        <w:rPr>
          <w:b/>
          <w:bCs/>
          <w:sz w:val="24"/>
          <w:szCs w:val="24"/>
          <w:u w:val="single"/>
        </w:rPr>
        <w:t>LSTM</w:t>
      </w:r>
    </w:p>
    <w:p w14:paraId="1138FEB2" w14:textId="1217526E" w:rsidR="004541D3" w:rsidRDefault="00C80302" w:rsidP="009140E2">
      <w:pPr>
        <w:ind w:firstLine="720"/>
      </w:pPr>
      <w:r>
        <w:t xml:space="preserve">A stacked LSTM reads the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xml:space="preserve">-step look-back window left-to-right, compressing the entire input sequence into a single final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This hidden state is passed directly to a two-layer MLP head to produce </w:t>
      </w:r>
      <m:oMath>
        <m:sSub>
          <m:sSubPr>
            <m:ctrlPr>
              <w:rPr>
                <w:rFonts w:ascii="Cambria Math" w:hAnsi="Cambria Math"/>
              </w:rPr>
            </m:ctrlPr>
          </m:sSubPr>
          <m:e>
            <m:r>
              <w:rPr>
                <w:rFonts w:ascii="Cambria Math" w:hAnsi="Cambria Math"/>
              </w:rPr>
              <m:t>T</m:t>
            </m:r>
          </m:e>
          <m:sub>
            <m:r>
              <w:rPr>
                <w:rFonts w:ascii="Cambria Math" w:hAnsi="Cambria Math"/>
              </w:rPr>
              <m:t>out</m:t>
            </m:r>
          </m:sub>
        </m:sSub>
      </m:oMath>
      <w:r>
        <w:t xml:space="preserve"> simultaneous predictions. When layers &gt; 1, dropout is applied between stacked LSTM layers.</w:t>
      </w:r>
    </w:p>
    <w:p w14:paraId="65F7F36C" w14:textId="24CF50B6" w:rsidR="00C80302" w:rsidRDefault="00AF76FE" w:rsidP="004541D3">
      <w:r w:rsidRPr="00AF76FE">
        <w:drawing>
          <wp:inline distT="0" distB="0" distL="0" distR="0" wp14:anchorId="40581B47" wp14:editId="10DB9291">
            <wp:extent cx="5731510" cy="335280"/>
            <wp:effectExtent l="19050" t="19050" r="21590" b="26670"/>
            <wp:docPr id="14098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66336" name=""/>
                    <pic:cNvPicPr/>
                  </pic:nvPicPr>
                  <pic:blipFill>
                    <a:blip r:embed="rId31"/>
                    <a:stretch>
                      <a:fillRect/>
                    </a:stretch>
                  </pic:blipFill>
                  <pic:spPr>
                    <a:xfrm>
                      <a:off x="0" y="0"/>
                      <a:ext cx="5731510" cy="335280"/>
                    </a:xfrm>
                    <a:prstGeom prst="rect">
                      <a:avLst/>
                    </a:prstGeom>
                    <a:ln>
                      <a:solidFill>
                        <a:schemeClr val="tx1"/>
                      </a:solidFill>
                    </a:ln>
                  </pic:spPr>
                </pic:pic>
              </a:graphicData>
            </a:graphic>
          </wp:inline>
        </w:drawing>
      </w:r>
    </w:p>
    <w:p w14:paraId="61AC3F6F" w14:textId="28E4CA56" w:rsidR="00C80302" w:rsidRDefault="00C80302" w:rsidP="004541D3">
      <w:r>
        <w:t>Hyperparameter changes for tuned variant:</w:t>
      </w:r>
    </w:p>
    <w:p w14:paraId="597978F4" w14:textId="77777777" w:rsidR="00C80302" w:rsidRPr="00C80302" w:rsidRDefault="00C80302">
      <w:pPr>
        <w:pStyle w:val="ListParagraph"/>
        <w:numPr>
          <w:ilvl w:val="0"/>
          <w:numId w:val="19"/>
        </w:numPr>
      </w:pPr>
      <w:r>
        <w:t xml:space="preserve">hidden </w:t>
      </w:r>
      <m:oMath>
        <m:r>
          <w:rPr>
            <w:rFonts w:ascii="Cambria Math" w:hAnsi="Cambria Math"/>
          </w:rPr>
          <m:t>64→128</m:t>
        </m:r>
      </m:oMath>
    </w:p>
    <w:p w14:paraId="578794ED" w14:textId="77777777" w:rsidR="00C80302" w:rsidRPr="00C80302" w:rsidRDefault="00C80302">
      <w:pPr>
        <w:pStyle w:val="ListParagraph"/>
        <w:numPr>
          <w:ilvl w:val="0"/>
          <w:numId w:val="19"/>
        </w:numPr>
      </w:pPr>
      <w:r>
        <w:t xml:space="preserve">layers </w:t>
      </w:r>
      <m:oMath>
        <m:r>
          <w:rPr>
            <w:rFonts w:ascii="Cambria Math" w:hAnsi="Cambria Math"/>
          </w:rPr>
          <m:t>1→2</m:t>
        </m:r>
      </m:oMath>
    </w:p>
    <w:p w14:paraId="6439AB1F" w14:textId="77777777" w:rsidR="00C80302" w:rsidRPr="00C80302" w:rsidRDefault="00C80302">
      <w:pPr>
        <w:pStyle w:val="ListParagraph"/>
        <w:numPr>
          <w:ilvl w:val="0"/>
          <w:numId w:val="19"/>
        </w:numPr>
      </w:pPr>
      <w:r>
        <w:t xml:space="preserve">dropout </w:t>
      </w:r>
      <m:oMath>
        <m:r>
          <w:rPr>
            <w:rFonts w:ascii="Cambria Math" w:hAnsi="Cambria Math"/>
          </w:rPr>
          <m:t>0.10→0.20</m:t>
        </m:r>
      </m:oMath>
    </w:p>
    <w:p w14:paraId="099CFB98" w14:textId="5B42A6F1" w:rsidR="00C80302" w:rsidRDefault="00C80302">
      <w:pPr>
        <w:pStyle w:val="ListParagraph"/>
        <w:numPr>
          <w:ilvl w:val="0"/>
          <w:numId w:val="19"/>
        </w:numPr>
      </w:pPr>
      <w:proofErr w:type="spellStart"/>
      <w:r>
        <w:t>weight_decay</w:t>
      </w:r>
      <w:proofErr w:type="spellEnd"/>
      <w:r>
        <w:t xml:space="preserve"> </w:t>
      </w:r>
      <m:oMath>
        <m:r>
          <w:rPr>
            <w:rFonts w:ascii="Cambria Math" w:hAnsi="Cambria Math"/>
          </w:rPr>
          <m:t>1e-4→2e-4</m:t>
        </m:r>
      </m:oMath>
    </w:p>
    <w:p w14:paraId="654A333F" w14:textId="2F488E1F" w:rsidR="00AE579A" w:rsidRPr="00AF734E" w:rsidRDefault="00AE579A">
      <w:pPr>
        <w:pStyle w:val="ListParagraph"/>
        <w:numPr>
          <w:ilvl w:val="0"/>
          <w:numId w:val="19"/>
        </w:numPr>
      </w:pPr>
      <w:r>
        <w:t>Structure unchanged</w:t>
      </w:r>
    </w:p>
    <w:p w14:paraId="6062D54B" w14:textId="3D6CE4C3" w:rsidR="00697B9C" w:rsidRDefault="00697B9C" w:rsidP="00271437">
      <w:pPr>
        <w:pStyle w:val="Heading1"/>
        <w:numPr>
          <w:ilvl w:val="2"/>
          <w:numId w:val="3"/>
        </w:numPr>
        <w:spacing w:before="0"/>
        <w:jc w:val="left"/>
        <w:rPr>
          <w:b/>
          <w:bCs/>
          <w:sz w:val="24"/>
          <w:szCs w:val="24"/>
          <w:u w:val="single"/>
        </w:rPr>
      </w:pPr>
      <w:r>
        <w:rPr>
          <w:b/>
          <w:bCs/>
          <w:sz w:val="24"/>
          <w:szCs w:val="24"/>
          <w:u w:val="single"/>
        </w:rPr>
        <w:t>BiLSTM</w:t>
      </w:r>
    </w:p>
    <w:p w14:paraId="76CAFAFD" w14:textId="56BBC3DD" w:rsidR="00AF734E" w:rsidRPr="003445FC" w:rsidRDefault="003445FC" w:rsidP="00AE579A">
      <w:pPr>
        <w:ind w:firstLine="720"/>
      </w:pPr>
      <w:r>
        <w:t xml:space="preserve">Extends LSTM with a reversed recurrent pass over the same look-back window. The forward final hidden state </w:t>
      </w:r>
      <m:oMath>
        <m:sSub>
          <m:sSubPr>
            <m:ctrlPr>
              <w:rPr>
                <w:rFonts w:ascii="Cambria Math" w:hAnsi="Cambria Math"/>
              </w:rPr>
            </m:ctrlPr>
          </m:sSubPr>
          <m:e>
            <m:r>
              <w:rPr>
                <w:rFonts w:ascii="Cambria Math" w:hAnsi="Cambria Math"/>
              </w:rPr>
              <m:t>h</m:t>
            </m:r>
          </m:e>
          <m:sub>
            <m:r>
              <w:rPr>
                <w:rFonts w:ascii="Cambria Math" w:hAnsi="Cambria Math"/>
              </w:rPr>
              <m:t>fwd</m:t>
            </m:r>
          </m:sub>
        </m:sSub>
      </m:oMath>
      <w:r>
        <w:t xml:space="preserve"> and backward final hidden state </w:t>
      </w:r>
      <m:oMath>
        <m:sSub>
          <m:sSubPr>
            <m:ctrlPr>
              <w:rPr>
                <w:rFonts w:ascii="Cambria Math" w:hAnsi="Cambria Math"/>
              </w:rPr>
            </m:ctrlPr>
          </m:sSubPr>
          <m:e>
            <m:r>
              <w:rPr>
                <w:rFonts w:ascii="Cambria Math" w:hAnsi="Cambria Math"/>
              </w:rPr>
              <m:t>h</m:t>
            </m:r>
          </m:e>
          <m:sub>
            <m:r>
              <w:rPr>
                <w:rFonts w:ascii="Cambria Math" w:hAnsi="Cambria Math"/>
              </w:rPr>
              <m:t>bwd</m:t>
            </m:r>
          </m:sub>
        </m:sSub>
      </m:oMath>
      <w:r>
        <w:t xml:space="preserve"> (both from the last layer) are concatenated before the MLP head, doubling representational capacity.</w:t>
      </w:r>
    </w:p>
    <w:p w14:paraId="025B00ED" w14:textId="7F8DD68B" w:rsidR="003445FC" w:rsidRPr="003445FC" w:rsidRDefault="00A8627A" w:rsidP="00C57298">
      <w:r w:rsidRPr="00A8627A">
        <w:drawing>
          <wp:inline distT="0" distB="0" distL="0" distR="0" wp14:anchorId="7F6C86DB" wp14:editId="3F53FB87">
            <wp:extent cx="5731510" cy="702945"/>
            <wp:effectExtent l="19050" t="19050" r="21590" b="20955"/>
            <wp:docPr id="213153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39325" name=""/>
                    <pic:cNvPicPr/>
                  </pic:nvPicPr>
                  <pic:blipFill>
                    <a:blip r:embed="rId32"/>
                    <a:stretch>
                      <a:fillRect/>
                    </a:stretch>
                  </pic:blipFill>
                  <pic:spPr>
                    <a:xfrm>
                      <a:off x="0" y="0"/>
                      <a:ext cx="5731510" cy="702945"/>
                    </a:xfrm>
                    <a:prstGeom prst="rect">
                      <a:avLst/>
                    </a:prstGeom>
                    <a:ln>
                      <a:solidFill>
                        <a:schemeClr val="tx1"/>
                      </a:solidFill>
                    </a:ln>
                  </pic:spPr>
                </pic:pic>
              </a:graphicData>
            </a:graphic>
          </wp:inline>
        </w:drawing>
      </w:r>
    </w:p>
    <w:p w14:paraId="7E94402D" w14:textId="374B86FA" w:rsidR="003445FC" w:rsidRDefault="00AE579A" w:rsidP="003445FC">
      <w:r>
        <w:t>Hyperparameter changes for tuned variant:</w:t>
      </w:r>
    </w:p>
    <w:p w14:paraId="1A340ED2" w14:textId="486D8780" w:rsidR="00AE579A" w:rsidRPr="00AE579A" w:rsidRDefault="00AE579A">
      <w:pPr>
        <w:pStyle w:val="ListParagraph"/>
        <w:numPr>
          <w:ilvl w:val="0"/>
          <w:numId w:val="20"/>
        </w:numPr>
      </w:pPr>
      <w:r>
        <w:t xml:space="preserve">hidden </w:t>
      </w:r>
      <m:oMath>
        <m:r>
          <w:rPr>
            <w:rFonts w:ascii="Cambria Math" w:hAnsi="Cambria Math"/>
          </w:rPr>
          <m:t>64→256</m:t>
        </m:r>
      </m:oMath>
    </w:p>
    <w:p w14:paraId="28497CCA" w14:textId="6D185F13" w:rsidR="00AE579A" w:rsidRPr="00AE579A" w:rsidRDefault="00AE579A">
      <w:pPr>
        <w:pStyle w:val="ListParagraph"/>
        <w:numPr>
          <w:ilvl w:val="0"/>
          <w:numId w:val="20"/>
        </w:numPr>
      </w:pPr>
      <w:r>
        <w:t xml:space="preserve">layers </w:t>
      </w:r>
      <m:oMath>
        <m:r>
          <w:rPr>
            <w:rFonts w:ascii="Cambria Math" w:hAnsi="Cambria Math"/>
          </w:rPr>
          <m:t>1→3</m:t>
        </m:r>
      </m:oMath>
    </w:p>
    <w:p w14:paraId="51B8A4B2" w14:textId="39AD1132" w:rsidR="00AE579A" w:rsidRDefault="00AE579A">
      <w:pPr>
        <w:pStyle w:val="ListParagraph"/>
        <w:numPr>
          <w:ilvl w:val="0"/>
          <w:numId w:val="20"/>
        </w:numPr>
      </w:pPr>
      <w:r>
        <w:t>dropout unchanged</w:t>
      </w:r>
    </w:p>
    <w:p w14:paraId="35BC3458" w14:textId="77769B41" w:rsidR="00AE579A" w:rsidRDefault="00AE579A">
      <w:pPr>
        <w:pStyle w:val="ListParagraph"/>
        <w:numPr>
          <w:ilvl w:val="0"/>
          <w:numId w:val="20"/>
        </w:numPr>
      </w:pPr>
      <w:r>
        <w:t>MLP head input dimension grows to 512 (bidirectional concatenation).</w:t>
      </w:r>
    </w:p>
    <w:p w14:paraId="53172ABD" w14:textId="6EE7D554" w:rsidR="00AE579A" w:rsidRPr="00AE579A" w:rsidRDefault="00AE579A">
      <w:pPr>
        <w:pStyle w:val="ListParagraph"/>
        <w:numPr>
          <w:ilvl w:val="0"/>
          <w:numId w:val="20"/>
        </w:numPr>
      </w:pPr>
      <w:r>
        <w:t>Structure unchanged</w:t>
      </w:r>
    </w:p>
    <w:p w14:paraId="0D685E29" w14:textId="0D0AA147" w:rsidR="00697B9C" w:rsidRDefault="00697B9C" w:rsidP="00271437">
      <w:pPr>
        <w:pStyle w:val="Heading1"/>
        <w:numPr>
          <w:ilvl w:val="2"/>
          <w:numId w:val="3"/>
        </w:numPr>
        <w:spacing w:before="0"/>
        <w:jc w:val="left"/>
        <w:rPr>
          <w:b/>
          <w:bCs/>
          <w:sz w:val="24"/>
          <w:szCs w:val="24"/>
          <w:u w:val="single"/>
        </w:rPr>
      </w:pPr>
      <w:r>
        <w:rPr>
          <w:b/>
          <w:bCs/>
          <w:sz w:val="24"/>
          <w:szCs w:val="24"/>
          <w:u w:val="single"/>
        </w:rPr>
        <w:lastRenderedPageBreak/>
        <w:t>TPA-LSTM</w:t>
      </w:r>
    </w:p>
    <w:p w14:paraId="7DA5A2B1" w14:textId="158F2B19" w:rsidR="00C57298" w:rsidRPr="00C57298" w:rsidRDefault="00C57298" w:rsidP="00022E77">
      <w:pPr>
        <w:ind w:firstLine="720"/>
      </w:pPr>
      <w:r>
        <w:t xml:space="preserve">A standard LSTM produces both full hidden-state sequence H and the final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The TPA module takes </w:t>
      </w:r>
      <m:oMath>
        <m:sSub>
          <m:sSubPr>
            <m:ctrlPr>
              <w:rPr>
                <w:rFonts w:ascii="Cambria Math" w:hAnsi="Cambria Math"/>
              </w:rPr>
            </m:ctrlPr>
          </m:sSubPr>
          <m:e>
            <m:r>
              <w:rPr>
                <w:rFonts w:ascii="Cambria Math" w:hAnsi="Cambria Math"/>
              </w:rPr>
              <m:t>H</m:t>
            </m:r>
          </m:e>
          <m:sub>
            <m:r>
              <w:rPr>
                <w:rFonts w:ascii="Cambria Math" w:hAnsi="Cambria Math"/>
              </w:rPr>
              <m:t>ctx</m:t>
            </m:r>
          </m:sub>
        </m:sSub>
        <m:r>
          <w:rPr>
            <w:rFonts w:ascii="Cambria Math" w:hAnsi="Cambria Math"/>
          </w:rPr>
          <m:t>=H</m:t>
        </m:r>
        <m:d>
          <m:dPr>
            <m:begChr m:val="["/>
            <m:endChr m:val="]"/>
            <m:ctrlPr>
              <w:rPr>
                <w:rFonts w:ascii="Cambria Math" w:hAnsi="Cambria Math"/>
              </w:rPr>
            </m:ctrlPr>
          </m:dPr>
          <m:e>
            <m:r>
              <w:rPr>
                <w:rFonts w:ascii="Cambria Math" w:hAnsi="Cambria Math"/>
              </w:rPr>
              <m:t>:,:-1,:</m:t>
            </m:r>
          </m:e>
        </m:d>
      </m:oMath>
      <w:r>
        <w:t xml:space="preserve"> (all but the last step), transposes it to treat hidden dimensions as channels over time, applies a 1-D CNN to extract temporal pattern filters, adaptive-average-pools across time, scores each filter against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via a learned scoring matrix </w:t>
      </w:r>
      <m:oMath>
        <m:sSub>
          <m:sSubPr>
            <m:ctrlPr>
              <w:rPr>
                <w:rFonts w:ascii="Cambria Math" w:hAnsi="Cambria Math"/>
              </w:rPr>
            </m:ctrlPr>
          </m:sSubPr>
          <m:e>
            <m:r>
              <w:rPr>
                <w:rFonts w:ascii="Cambria Math" w:hAnsi="Cambria Math"/>
              </w:rPr>
              <m:t>W</m:t>
            </m:r>
          </m:e>
          <m:sub>
            <m:r>
              <w:rPr>
                <w:rFonts w:ascii="Cambria Math" w:hAnsi="Cambria Math"/>
              </w:rPr>
              <m:t>score</m:t>
            </m:r>
          </m:sub>
        </m:sSub>
      </m:oMath>
      <w:r>
        <w:t xml:space="preserve">, and </w:t>
      </w:r>
      <w:proofErr w:type="spellStart"/>
      <w:r>
        <w:t>softmax</w:t>
      </w:r>
      <w:proofErr w:type="spellEnd"/>
      <w:r>
        <w:t xml:space="preserve">-weights the scores to produce a pattern context vector. The concatenation of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and context is passed to the MLP head.</w:t>
      </w:r>
    </w:p>
    <w:p w14:paraId="0566A1B8" w14:textId="7F02841B" w:rsidR="00C57298" w:rsidRPr="00C57298" w:rsidRDefault="00F80970" w:rsidP="00F80970">
      <w:pPr>
        <w:jc w:val="center"/>
      </w:pPr>
      <w:r w:rsidRPr="00F80970">
        <w:drawing>
          <wp:inline distT="0" distB="0" distL="0" distR="0" wp14:anchorId="1E930003" wp14:editId="33E12B16">
            <wp:extent cx="5731510" cy="4655185"/>
            <wp:effectExtent l="19050" t="19050" r="21590" b="12065"/>
            <wp:docPr id="213630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8562" name=""/>
                    <pic:cNvPicPr/>
                  </pic:nvPicPr>
                  <pic:blipFill>
                    <a:blip r:embed="rId33"/>
                    <a:stretch>
                      <a:fillRect/>
                    </a:stretch>
                  </pic:blipFill>
                  <pic:spPr>
                    <a:xfrm>
                      <a:off x="0" y="0"/>
                      <a:ext cx="5731510" cy="4655185"/>
                    </a:xfrm>
                    <a:prstGeom prst="rect">
                      <a:avLst/>
                    </a:prstGeom>
                    <a:ln>
                      <a:solidFill>
                        <a:schemeClr val="tx1"/>
                      </a:solidFill>
                    </a:ln>
                  </pic:spPr>
                </pic:pic>
              </a:graphicData>
            </a:graphic>
          </wp:inline>
        </w:drawing>
      </w:r>
    </w:p>
    <w:p w14:paraId="5B684C10" w14:textId="5C156522" w:rsidR="00C57298" w:rsidRDefault="00C57298" w:rsidP="00AF734E">
      <w:r>
        <w:t>Hyperparameter changes for tuned variant:</w:t>
      </w:r>
    </w:p>
    <w:p w14:paraId="0F04B36A" w14:textId="74A9A11C" w:rsidR="00C57298" w:rsidRPr="00C57298" w:rsidRDefault="00C57298">
      <w:pPr>
        <w:pStyle w:val="ListParagraph"/>
        <w:numPr>
          <w:ilvl w:val="0"/>
          <w:numId w:val="21"/>
        </w:numPr>
      </w:pPr>
      <w:r>
        <w:t xml:space="preserve">hidden </w:t>
      </w:r>
      <m:oMath>
        <m:r>
          <w:rPr>
            <w:rFonts w:ascii="Cambria Math" w:hAnsi="Cambria Math"/>
          </w:rPr>
          <m:t>64→256</m:t>
        </m:r>
      </m:oMath>
    </w:p>
    <w:p w14:paraId="6E96ECDD" w14:textId="01A2C1E8" w:rsidR="00C57298" w:rsidRPr="00C57298" w:rsidRDefault="00C57298">
      <w:pPr>
        <w:pStyle w:val="ListParagraph"/>
        <w:numPr>
          <w:ilvl w:val="0"/>
          <w:numId w:val="21"/>
        </w:numPr>
      </w:pPr>
      <w:r>
        <w:t xml:space="preserve">filters </w:t>
      </w:r>
      <m:oMath>
        <m:r>
          <w:rPr>
            <w:rFonts w:ascii="Cambria Math" w:hAnsi="Cambria Math"/>
          </w:rPr>
          <m:t>32→128</m:t>
        </m:r>
      </m:oMath>
    </w:p>
    <w:p w14:paraId="75AF3B49" w14:textId="3563CE87" w:rsidR="00C57298" w:rsidRPr="00C57298" w:rsidRDefault="00C57298">
      <w:pPr>
        <w:pStyle w:val="ListParagraph"/>
        <w:numPr>
          <w:ilvl w:val="0"/>
          <w:numId w:val="21"/>
        </w:numPr>
      </w:pPr>
      <w:r>
        <w:t xml:space="preserve">dropout </w:t>
      </w:r>
      <m:oMath>
        <m:r>
          <w:rPr>
            <w:rFonts w:ascii="Cambria Math" w:hAnsi="Cambria Math"/>
          </w:rPr>
          <m:t>0.10→0.15</m:t>
        </m:r>
      </m:oMath>
    </w:p>
    <w:p w14:paraId="2A2242D9" w14:textId="4829E578" w:rsidR="00C57298" w:rsidRPr="00C57298" w:rsidRDefault="00C57298">
      <w:pPr>
        <w:pStyle w:val="ListParagraph"/>
        <w:numPr>
          <w:ilvl w:val="0"/>
          <w:numId w:val="21"/>
        </w:numPr>
      </w:pPr>
      <w:r>
        <w:t>Structure unchanged</w:t>
      </w:r>
    </w:p>
    <w:p w14:paraId="0DC231B0" w14:textId="0CD3063A" w:rsidR="00697B9C" w:rsidRDefault="00697B9C" w:rsidP="00271437">
      <w:pPr>
        <w:pStyle w:val="Heading1"/>
        <w:numPr>
          <w:ilvl w:val="2"/>
          <w:numId w:val="3"/>
        </w:numPr>
        <w:spacing w:before="0"/>
        <w:jc w:val="left"/>
        <w:rPr>
          <w:b/>
          <w:bCs/>
          <w:sz w:val="24"/>
          <w:szCs w:val="24"/>
          <w:u w:val="single"/>
        </w:rPr>
      </w:pPr>
      <w:r>
        <w:rPr>
          <w:b/>
          <w:bCs/>
          <w:sz w:val="24"/>
          <w:szCs w:val="24"/>
          <w:u w:val="single"/>
        </w:rPr>
        <w:lastRenderedPageBreak/>
        <w:t>CNN-LSTM</w:t>
      </w:r>
    </w:p>
    <w:p w14:paraId="1C1ABCAF" w14:textId="276FF423" w:rsidR="00AF734E" w:rsidRDefault="00022E77" w:rsidP="00AF734E">
      <w:r>
        <w:rPr>
          <w:b/>
          <w:bCs/>
        </w:rPr>
        <w:t xml:space="preserve">Sequential Mode: </w:t>
      </w:r>
      <w:r>
        <w:t>CNN extracts local temporal features, which the LSTM then processes for global sequential context. LSTM input is CNN output, not raw features.</w:t>
      </w:r>
    </w:p>
    <w:p w14:paraId="5F49E49D" w14:textId="04AECBE4" w:rsidR="003566FA" w:rsidRDefault="005B5AEF" w:rsidP="00AF734E">
      <w:r w:rsidRPr="005B5AEF">
        <w:drawing>
          <wp:inline distT="0" distB="0" distL="0" distR="0" wp14:anchorId="40D09909" wp14:editId="7A1AA62F">
            <wp:extent cx="5731510" cy="381635"/>
            <wp:effectExtent l="19050" t="19050" r="21590" b="18415"/>
            <wp:docPr id="16894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0411" name=""/>
                    <pic:cNvPicPr/>
                  </pic:nvPicPr>
                  <pic:blipFill>
                    <a:blip r:embed="rId34"/>
                    <a:stretch>
                      <a:fillRect/>
                    </a:stretch>
                  </pic:blipFill>
                  <pic:spPr>
                    <a:xfrm>
                      <a:off x="0" y="0"/>
                      <a:ext cx="5731510" cy="381635"/>
                    </a:xfrm>
                    <a:prstGeom prst="rect">
                      <a:avLst/>
                    </a:prstGeom>
                    <a:ln>
                      <a:solidFill>
                        <a:schemeClr val="tx1"/>
                      </a:solidFill>
                    </a:ln>
                  </pic:spPr>
                </pic:pic>
              </a:graphicData>
            </a:graphic>
          </wp:inline>
        </w:drawing>
      </w:r>
    </w:p>
    <w:p w14:paraId="493E518B" w14:textId="04A4C9AE" w:rsidR="00022E77" w:rsidRDefault="00022E77" w:rsidP="00AF734E">
      <w:r>
        <w:rPr>
          <w:b/>
          <w:bCs/>
        </w:rPr>
        <w:t xml:space="preserve">Parallel Mode: </w:t>
      </w:r>
      <w:r>
        <w:t>CNN and LSTM process raw input independently; outputs concatenated.</w:t>
      </w:r>
    </w:p>
    <w:p w14:paraId="5AB207E1" w14:textId="340D30B4" w:rsidR="003566FA" w:rsidRDefault="00AB2B77" w:rsidP="00AB2B77">
      <w:pPr>
        <w:jc w:val="center"/>
      </w:pPr>
      <w:r w:rsidRPr="00AB2B77">
        <w:drawing>
          <wp:inline distT="0" distB="0" distL="0" distR="0" wp14:anchorId="79123404" wp14:editId="3EA709C3">
            <wp:extent cx="5731510" cy="1170940"/>
            <wp:effectExtent l="19050" t="19050" r="21590" b="10160"/>
            <wp:docPr id="1121964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64345" name=""/>
                    <pic:cNvPicPr/>
                  </pic:nvPicPr>
                  <pic:blipFill>
                    <a:blip r:embed="rId35"/>
                    <a:stretch>
                      <a:fillRect/>
                    </a:stretch>
                  </pic:blipFill>
                  <pic:spPr>
                    <a:xfrm>
                      <a:off x="0" y="0"/>
                      <a:ext cx="5731510" cy="1170940"/>
                    </a:xfrm>
                    <a:prstGeom prst="rect">
                      <a:avLst/>
                    </a:prstGeom>
                    <a:ln>
                      <a:solidFill>
                        <a:schemeClr val="tx1"/>
                      </a:solidFill>
                    </a:ln>
                  </pic:spPr>
                </pic:pic>
              </a:graphicData>
            </a:graphic>
          </wp:inline>
        </w:drawing>
      </w:r>
    </w:p>
    <w:p w14:paraId="00593A3D" w14:textId="7AE52065" w:rsidR="00022E77" w:rsidRDefault="00022E77" w:rsidP="00AF734E">
      <w:r>
        <w:rPr>
          <w:b/>
          <w:bCs/>
        </w:rPr>
        <w:t xml:space="preserve">Augmented Mode: </w:t>
      </w:r>
      <w:r>
        <w:t>Sequential CNN-LSTM with raw-input skip connection to prevent information loss from CNN compression</w:t>
      </w:r>
      <w:r w:rsidR="003566FA">
        <w:t>.</w:t>
      </w:r>
    </w:p>
    <w:p w14:paraId="6283D007" w14:textId="719A5C3A" w:rsidR="003566FA" w:rsidRDefault="00AB2B77" w:rsidP="00AF734E">
      <w:r w:rsidRPr="00AB2B77">
        <w:drawing>
          <wp:inline distT="0" distB="0" distL="0" distR="0" wp14:anchorId="49D12464" wp14:editId="275C88E4">
            <wp:extent cx="5731510" cy="904875"/>
            <wp:effectExtent l="19050" t="19050" r="21590" b="28575"/>
            <wp:docPr id="17524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29332" name=""/>
                    <pic:cNvPicPr/>
                  </pic:nvPicPr>
                  <pic:blipFill>
                    <a:blip r:embed="rId36"/>
                    <a:stretch>
                      <a:fillRect/>
                    </a:stretch>
                  </pic:blipFill>
                  <pic:spPr>
                    <a:xfrm>
                      <a:off x="0" y="0"/>
                      <a:ext cx="5731510" cy="904875"/>
                    </a:xfrm>
                    <a:prstGeom prst="rect">
                      <a:avLst/>
                    </a:prstGeom>
                    <a:ln>
                      <a:solidFill>
                        <a:schemeClr val="tx1"/>
                      </a:solidFill>
                    </a:ln>
                  </pic:spPr>
                </pic:pic>
              </a:graphicData>
            </a:graphic>
          </wp:inline>
        </w:drawing>
      </w:r>
    </w:p>
    <w:p w14:paraId="5B2C0A52" w14:textId="3C22E709" w:rsidR="003566FA" w:rsidRDefault="003566FA" w:rsidP="00AF734E">
      <w:r>
        <w:t>Hyperparameter changes for all three tuned variants:</w:t>
      </w:r>
    </w:p>
    <w:p w14:paraId="5E67D93B" w14:textId="2E7CF642" w:rsidR="003566FA" w:rsidRPr="003566FA" w:rsidRDefault="003566FA">
      <w:pPr>
        <w:pStyle w:val="ListParagraph"/>
        <w:numPr>
          <w:ilvl w:val="0"/>
          <w:numId w:val="22"/>
        </w:numPr>
      </w:pPr>
      <w:proofErr w:type="spellStart"/>
      <w:r>
        <w:t>cnn_filters</w:t>
      </w:r>
      <w:proofErr w:type="spellEnd"/>
      <w:r>
        <w:t xml:space="preserve"> </w:t>
      </w:r>
      <m:oMath>
        <m:r>
          <w:rPr>
            <w:rFonts w:ascii="Cambria Math" w:hAnsi="Cambria Math"/>
          </w:rPr>
          <m:t>32→64</m:t>
        </m:r>
      </m:oMath>
    </w:p>
    <w:p w14:paraId="1D0D000D" w14:textId="6474C96C" w:rsidR="003566FA" w:rsidRPr="003566FA" w:rsidRDefault="003566FA">
      <w:pPr>
        <w:pStyle w:val="ListParagraph"/>
        <w:numPr>
          <w:ilvl w:val="0"/>
          <w:numId w:val="22"/>
        </w:numPr>
      </w:pPr>
      <w:r>
        <w:t xml:space="preserve">dropout </w:t>
      </w:r>
      <m:oMath>
        <m:r>
          <w:rPr>
            <w:rFonts w:ascii="Cambria Math" w:hAnsi="Cambria Math"/>
          </w:rPr>
          <m:t>0.10→0.20</m:t>
        </m:r>
      </m:oMath>
    </w:p>
    <w:p w14:paraId="53509D57" w14:textId="3389873B" w:rsidR="003566FA" w:rsidRDefault="003566FA">
      <w:pPr>
        <w:pStyle w:val="ListParagraph"/>
        <w:numPr>
          <w:ilvl w:val="0"/>
          <w:numId w:val="22"/>
        </w:numPr>
      </w:pPr>
      <w:r>
        <w:t>Each mode is trained and evaluated independently</w:t>
      </w:r>
    </w:p>
    <w:p w14:paraId="5441A829" w14:textId="4329BECD" w:rsidR="003566FA" w:rsidRPr="003566FA" w:rsidRDefault="003566FA">
      <w:pPr>
        <w:pStyle w:val="ListParagraph"/>
        <w:numPr>
          <w:ilvl w:val="0"/>
          <w:numId w:val="22"/>
        </w:numPr>
      </w:pPr>
      <w:r>
        <w:t>Structure unchanged</w:t>
      </w:r>
    </w:p>
    <w:p w14:paraId="626B166D" w14:textId="1F89B2F6" w:rsidR="00697B9C" w:rsidRDefault="00697B9C" w:rsidP="00271437">
      <w:pPr>
        <w:pStyle w:val="Heading1"/>
        <w:numPr>
          <w:ilvl w:val="2"/>
          <w:numId w:val="3"/>
        </w:numPr>
        <w:spacing w:before="0"/>
        <w:jc w:val="left"/>
        <w:rPr>
          <w:b/>
          <w:bCs/>
          <w:sz w:val="24"/>
          <w:szCs w:val="24"/>
          <w:u w:val="single"/>
        </w:rPr>
      </w:pPr>
      <w:r>
        <w:rPr>
          <w:b/>
          <w:bCs/>
          <w:sz w:val="24"/>
          <w:szCs w:val="24"/>
          <w:u w:val="single"/>
        </w:rPr>
        <w:t>CNN-BiLSTM</w:t>
      </w:r>
    </w:p>
    <w:p w14:paraId="552CAB39" w14:textId="79AAACD0" w:rsidR="00AF734E" w:rsidRDefault="007769E3" w:rsidP="00AF734E">
      <w:r w:rsidRPr="007769E3">
        <w:drawing>
          <wp:inline distT="0" distB="0" distL="0" distR="0" wp14:anchorId="23B48E37" wp14:editId="47CF962A">
            <wp:extent cx="5731510" cy="516255"/>
            <wp:effectExtent l="19050" t="19050" r="21590" b="17145"/>
            <wp:docPr id="183953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30094" name=""/>
                    <pic:cNvPicPr/>
                  </pic:nvPicPr>
                  <pic:blipFill>
                    <a:blip r:embed="rId37"/>
                    <a:stretch>
                      <a:fillRect/>
                    </a:stretch>
                  </pic:blipFill>
                  <pic:spPr>
                    <a:xfrm>
                      <a:off x="0" y="0"/>
                      <a:ext cx="5731510" cy="516255"/>
                    </a:xfrm>
                    <a:prstGeom prst="rect">
                      <a:avLst/>
                    </a:prstGeom>
                    <a:ln>
                      <a:solidFill>
                        <a:schemeClr val="tx1"/>
                      </a:solidFill>
                    </a:ln>
                  </pic:spPr>
                </pic:pic>
              </a:graphicData>
            </a:graphic>
          </wp:inline>
        </w:drawing>
      </w:r>
    </w:p>
    <w:p w14:paraId="607578BE" w14:textId="5D8D8565" w:rsidR="004D4ED2" w:rsidRDefault="004D4ED2" w:rsidP="00AF734E">
      <w:r>
        <w:t>Hyperparameter changes for tuned variant:</w:t>
      </w:r>
    </w:p>
    <w:p w14:paraId="494F460E" w14:textId="1B5825A2" w:rsidR="004D4ED2" w:rsidRPr="004D4ED2" w:rsidRDefault="004D4ED2">
      <w:pPr>
        <w:pStyle w:val="ListParagraph"/>
        <w:numPr>
          <w:ilvl w:val="0"/>
          <w:numId w:val="23"/>
        </w:numPr>
      </w:pPr>
      <w:r>
        <w:t xml:space="preserve">hidden </w:t>
      </w:r>
      <m:oMath>
        <m:r>
          <w:rPr>
            <w:rFonts w:ascii="Cambria Math" w:hAnsi="Cambria Math"/>
          </w:rPr>
          <m:t>64→128</m:t>
        </m:r>
      </m:oMath>
    </w:p>
    <w:p w14:paraId="1E57C297" w14:textId="70FD4914" w:rsidR="004D4ED2" w:rsidRPr="004D4ED2" w:rsidRDefault="004D4ED2">
      <w:pPr>
        <w:pStyle w:val="ListParagraph"/>
        <w:numPr>
          <w:ilvl w:val="0"/>
          <w:numId w:val="23"/>
        </w:numPr>
      </w:pPr>
      <w:proofErr w:type="spellStart"/>
      <w:r>
        <w:t>cnn_filters</w:t>
      </w:r>
      <w:proofErr w:type="spellEnd"/>
      <w:r>
        <w:t xml:space="preserve"> </w:t>
      </w:r>
      <m:oMath>
        <m:r>
          <w:rPr>
            <w:rFonts w:ascii="Cambria Math" w:hAnsi="Cambria Math"/>
          </w:rPr>
          <m:t>32→64</m:t>
        </m:r>
      </m:oMath>
    </w:p>
    <w:p w14:paraId="7C0D4707" w14:textId="3D9AEC89" w:rsidR="004D4ED2" w:rsidRPr="004D4ED2" w:rsidRDefault="004D4ED2">
      <w:pPr>
        <w:pStyle w:val="ListParagraph"/>
        <w:numPr>
          <w:ilvl w:val="0"/>
          <w:numId w:val="23"/>
        </w:numPr>
      </w:pPr>
      <w:proofErr w:type="spellStart"/>
      <w:r>
        <w:t>cnn_layers</w:t>
      </w:r>
      <w:proofErr w:type="spellEnd"/>
      <w:r>
        <w:t xml:space="preserve"> </w:t>
      </w:r>
      <m:oMath>
        <m:r>
          <w:rPr>
            <w:rFonts w:ascii="Cambria Math" w:hAnsi="Cambria Math"/>
          </w:rPr>
          <m:t>2→1</m:t>
        </m:r>
      </m:oMath>
    </w:p>
    <w:p w14:paraId="3C84271D" w14:textId="367A6A8A" w:rsidR="004D4ED2" w:rsidRPr="004D4ED2" w:rsidRDefault="004D4ED2">
      <w:pPr>
        <w:pStyle w:val="ListParagraph"/>
        <w:numPr>
          <w:ilvl w:val="0"/>
          <w:numId w:val="23"/>
        </w:numPr>
      </w:pPr>
      <w:r>
        <w:lastRenderedPageBreak/>
        <w:t xml:space="preserve">dropout </w:t>
      </w:r>
      <m:oMath>
        <m:r>
          <w:rPr>
            <w:rFonts w:ascii="Cambria Math" w:hAnsi="Cambria Math"/>
          </w:rPr>
          <m:t>0.10→0.25</m:t>
        </m:r>
      </m:oMath>
    </w:p>
    <w:p w14:paraId="294B6F5A" w14:textId="6663B794" w:rsidR="004D4ED2" w:rsidRPr="004D4ED2" w:rsidRDefault="004D4ED2">
      <w:pPr>
        <w:pStyle w:val="ListParagraph"/>
        <w:numPr>
          <w:ilvl w:val="0"/>
          <w:numId w:val="23"/>
        </w:numPr>
      </w:pPr>
      <w:r>
        <w:t>Structure unchanged</w:t>
      </w:r>
    </w:p>
    <w:p w14:paraId="465AFA06" w14:textId="3F89FF90" w:rsidR="00697B9C" w:rsidRDefault="00697B9C" w:rsidP="00271437">
      <w:pPr>
        <w:pStyle w:val="Heading1"/>
        <w:numPr>
          <w:ilvl w:val="2"/>
          <w:numId w:val="3"/>
        </w:numPr>
        <w:spacing w:before="0"/>
        <w:jc w:val="left"/>
        <w:rPr>
          <w:b/>
          <w:bCs/>
          <w:sz w:val="24"/>
          <w:szCs w:val="24"/>
          <w:u w:val="single"/>
        </w:rPr>
      </w:pPr>
      <w:r>
        <w:rPr>
          <w:b/>
          <w:bCs/>
          <w:sz w:val="24"/>
          <w:szCs w:val="24"/>
          <w:u w:val="single"/>
        </w:rPr>
        <w:t>ST-LSTM</w:t>
      </w:r>
    </w:p>
    <w:p w14:paraId="11BC593F" w14:textId="1F3F8F62" w:rsidR="00AF734E" w:rsidRPr="00434871" w:rsidRDefault="00434871" w:rsidP="00434871">
      <w:pPr>
        <w:ind w:firstLine="720"/>
      </w:pPr>
      <w:r>
        <w:t xml:space="preserve">Two parallel streams are computed independently and concatenated before the MLP head. The spatial MLP is weight-shared across all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xml:space="preserve"> timesteps (time-invariant): it captures which features consistently co-activate in the window rather than when. Mean pooling over the time axis collapses temporal order to product a persistent cross-feature summary.</w:t>
      </w:r>
    </w:p>
    <w:p w14:paraId="1BAF84BF" w14:textId="69CE94EE" w:rsidR="00434871" w:rsidRDefault="00587E06" w:rsidP="00AF734E">
      <w:r w:rsidRPr="00587E06">
        <w:drawing>
          <wp:inline distT="0" distB="0" distL="0" distR="0" wp14:anchorId="35344F32" wp14:editId="4EAC03A6">
            <wp:extent cx="5731510" cy="1140460"/>
            <wp:effectExtent l="19050" t="19050" r="21590" b="21590"/>
            <wp:docPr id="97827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74310" name=""/>
                    <pic:cNvPicPr/>
                  </pic:nvPicPr>
                  <pic:blipFill>
                    <a:blip r:embed="rId38"/>
                    <a:stretch>
                      <a:fillRect/>
                    </a:stretch>
                  </pic:blipFill>
                  <pic:spPr>
                    <a:xfrm>
                      <a:off x="0" y="0"/>
                      <a:ext cx="5731510" cy="1140460"/>
                    </a:xfrm>
                    <a:prstGeom prst="rect">
                      <a:avLst/>
                    </a:prstGeom>
                    <a:ln>
                      <a:solidFill>
                        <a:schemeClr val="tx1"/>
                      </a:solidFill>
                    </a:ln>
                  </pic:spPr>
                </pic:pic>
              </a:graphicData>
            </a:graphic>
          </wp:inline>
        </w:drawing>
      </w:r>
    </w:p>
    <w:p w14:paraId="2EA75DFB" w14:textId="4CC0B1A0" w:rsidR="00434871" w:rsidRDefault="00434871" w:rsidP="00AF734E">
      <w:r>
        <w:t>Hyperparameter changes for tuned variant:</w:t>
      </w:r>
    </w:p>
    <w:p w14:paraId="04B6EB94" w14:textId="717AA38B" w:rsidR="00434871" w:rsidRPr="00434871" w:rsidRDefault="00434871">
      <w:pPr>
        <w:pStyle w:val="ListParagraph"/>
        <w:numPr>
          <w:ilvl w:val="0"/>
          <w:numId w:val="24"/>
        </w:numPr>
      </w:pPr>
      <w:r>
        <w:t xml:space="preserve">hidden </w:t>
      </w:r>
      <m:oMath>
        <m:r>
          <w:rPr>
            <w:rFonts w:ascii="Cambria Math" w:hAnsi="Cambria Math"/>
          </w:rPr>
          <m:t>64→128</m:t>
        </m:r>
      </m:oMath>
    </w:p>
    <w:p w14:paraId="3A431DF4" w14:textId="346F50D1" w:rsidR="00434871" w:rsidRPr="00434871" w:rsidRDefault="00434871">
      <w:pPr>
        <w:pStyle w:val="ListParagraph"/>
        <w:numPr>
          <w:ilvl w:val="0"/>
          <w:numId w:val="24"/>
        </w:numPr>
      </w:pPr>
      <w:proofErr w:type="spellStart"/>
      <w:r>
        <w:t>spatial_hidden</w:t>
      </w:r>
      <w:proofErr w:type="spellEnd"/>
      <w:r>
        <w:t xml:space="preserve"> </w:t>
      </w:r>
      <m:oMath>
        <m:r>
          <w:rPr>
            <w:rFonts w:ascii="Cambria Math" w:hAnsi="Cambria Math"/>
          </w:rPr>
          <m:t>32→128</m:t>
        </m:r>
      </m:oMath>
    </w:p>
    <w:p w14:paraId="1207E023" w14:textId="5967DF24" w:rsidR="00434871" w:rsidRPr="00434871" w:rsidRDefault="00434871">
      <w:pPr>
        <w:pStyle w:val="ListParagraph"/>
        <w:numPr>
          <w:ilvl w:val="0"/>
          <w:numId w:val="24"/>
        </w:numPr>
      </w:pPr>
      <w:r>
        <w:t xml:space="preserve">dropout </w:t>
      </w:r>
      <m:oMath>
        <m:r>
          <w:rPr>
            <w:rFonts w:ascii="Cambria Math" w:hAnsi="Cambria Math"/>
          </w:rPr>
          <m:t>0.10→0.30</m:t>
        </m:r>
      </m:oMath>
    </w:p>
    <w:p w14:paraId="6E751F85" w14:textId="4E755457" w:rsidR="00434871" w:rsidRPr="00434871" w:rsidRDefault="00434871">
      <w:pPr>
        <w:pStyle w:val="ListParagraph"/>
        <w:numPr>
          <w:ilvl w:val="0"/>
          <w:numId w:val="24"/>
        </w:numPr>
      </w:pPr>
      <w:r>
        <w:t>Structure unchanged</w:t>
      </w:r>
    </w:p>
    <w:p w14:paraId="21D010AC" w14:textId="489D4387" w:rsidR="00697B9C" w:rsidRDefault="00697B9C" w:rsidP="00271437">
      <w:pPr>
        <w:pStyle w:val="Heading1"/>
        <w:numPr>
          <w:ilvl w:val="1"/>
          <w:numId w:val="3"/>
        </w:numPr>
        <w:spacing w:before="0"/>
        <w:jc w:val="left"/>
        <w:rPr>
          <w:b/>
          <w:bCs/>
          <w:sz w:val="24"/>
          <w:szCs w:val="24"/>
          <w:u w:val="single"/>
        </w:rPr>
      </w:pPr>
      <w:r>
        <w:rPr>
          <w:b/>
          <w:bCs/>
          <w:sz w:val="24"/>
          <w:szCs w:val="24"/>
          <w:u w:val="single"/>
        </w:rPr>
        <w:t>Graph Models</w:t>
      </w:r>
    </w:p>
    <w:p w14:paraId="5647CEEA" w14:textId="5E84B7C7" w:rsidR="00697B9C" w:rsidRDefault="00697B9C" w:rsidP="00271437">
      <w:pPr>
        <w:pStyle w:val="Heading1"/>
        <w:numPr>
          <w:ilvl w:val="2"/>
          <w:numId w:val="3"/>
        </w:numPr>
        <w:spacing w:before="0"/>
        <w:jc w:val="left"/>
        <w:rPr>
          <w:b/>
          <w:bCs/>
          <w:sz w:val="24"/>
          <w:szCs w:val="24"/>
          <w:u w:val="single"/>
        </w:rPr>
      </w:pPr>
      <w:r>
        <w:rPr>
          <w:b/>
          <w:bCs/>
          <w:sz w:val="24"/>
          <w:szCs w:val="24"/>
          <w:u w:val="single"/>
        </w:rPr>
        <w:t>STGCN</w:t>
      </w:r>
    </w:p>
    <w:p w14:paraId="76276C06" w14:textId="795F16D2" w:rsidR="00F46434" w:rsidRDefault="00F46434" w:rsidP="0052138A">
      <w:pPr>
        <w:ind w:firstLine="720"/>
      </w:pPr>
      <w:r>
        <w:t xml:space="preserve">Input features are treated as N = 79 graph nodes each carrying a scalar temporal signal over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xml:space="preserve"> timesteps. The architecture alternates temporal gated convolutions (GLU) and Chebyshev graph convolutions in stacked ST-Conv blocks, with </w:t>
      </w:r>
      <w:proofErr w:type="spellStart"/>
      <w:r>
        <w:t>BatchNorm</w:t>
      </w:r>
      <w:proofErr w:type="spellEnd"/>
      <w:r>
        <w:t xml:space="preserve"> after each block.</w:t>
      </w:r>
    </w:p>
    <w:p w14:paraId="54A686CE" w14:textId="7ED5A087" w:rsidR="0052138A" w:rsidRDefault="00587E06" w:rsidP="0052138A">
      <w:r w:rsidRPr="00587E06">
        <w:lastRenderedPageBreak/>
        <w:drawing>
          <wp:inline distT="0" distB="0" distL="0" distR="0" wp14:anchorId="647C4930" wp14:editId="7B36B048">
            <wp:extent cx="5731510" cy="2414905"/>
            <wp:effectExtent l="19050" t="19050" r="21590" b="23495"/>
            <wp:docPr id="61898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85523" name=""/>
                    <pic:cNvPicPr/>
                  </pic:nvPicPr>
                  <pic:blipFill>
                    <a:blip r:embed="rId39"/>
                    <a:stretch>
                      <a:fillRect/>
                    </a:stretch>
                  </pic:blipFill>
                  <pic:spPr>
                    <a:xfrm>
                      <a:off x="0" y="0"/>
                      <a:ext cx="5731510" cy="2414905"/>
                    </a:xfrm>
                    <a:prstGeom prst="rect">
                      <a:avLst/>
                    </a:prstGeom>
                    <a:ln>
                      <a:solidFill>
                        <a:schemeClr val="tx1"/>
                      </a:solidFill>
                    </a:ln>
                  </pic:spPr>
                </pic:pic>
              </a:graphicData>
            </a:graphic>
          </wp:inline>
        </w:drawing>
      </w:r>
    </w:p>
    <w:p w14:paraId="58C68F5D" w14:textId="72A2C000" w:rsidR="0052138A" w:rsidRDefault="0052138A" w:rsidP="0052138A">
      <w:r>
        <w:t>Hyperparameter changes for tuned variant:</w:t>
      </w:r>
    </w:p>
    <w:p w14:paraId="46030076" w14:textId="2923D93E" w:rsidR="0052138A" w:rsidRPr="0052138A" w:rsidRDefault="0052138A">
      <w:pPr>
        <w:pStyle w:val="ListParagraph"/>
        <w:numPr>
          <w:ilvl w:val="0"/>
          <w:numId w:val="25"/>
        </w:numPr>
      </w:pPr>
      <w:r>
        <w:t xml:space="preserve">hidden </w:t>
      </w:r>
      <m:oMath>
        <m:r>
          <w:rPr>
            <w:rFonts w:ascii="Cambria Math" w:hAnsi="Cambria Math"/>
          </w:rPr>
          <m:t>128→256</m:t>
        </m:r>
      </m:oMath>
    </w:p>
    <w:p w14:paraId="654E682C" w14:textId="41C7691A" w:rsidR="0052138A" w:rsidRPr="0052138A" w:rsidRDefault="0052138A">
      <w:pPr>
        <w:pStyle w:val="ListParagraph"/>
        <w:numPr>
          <w:ilvl w:val="0"/>
          <w:numId w:val="25"/>
        </w:numPr>
      </w:pPr>
      <w:r>
        <w:t xml:space="preserve">dropout </w:t>
      </w:r>
      <m:oMath>
        <m:r>
          <w:rPr>
            <w:rFonts w:ascii="Cambria Math" w:hAnsi="Cambria Math"/>
          </w:rPr>
          <m:t>0.20→0.25</m:t>
        </m:r>
      </m:oMath>
    </w:p>
    <w:p w14:paraId="22F3A6CE" w14:textId="251E3E35" w:rsidR="0052138A" w:rsidRPr="0052138A" w:rsidRDefault="0052138A">
      <w:pPr>
        <w:pStyle w:val="ListParagraph"/>
        <w:numPr>
          <w:ilvl w:val="0"/>
          <w:numId w:val="25"/>
        </w:numPr>
      </w:pPr>
      <w:proofErr w:type="spellStart"/>
      <w:r>
        <w:t>weight_decay</w:t>
      </w:r>
      <w:proofErr w:type="spellEnd"/>
      <w:r>
        <w:t xml:space="preserve"> </w:t>
      </w:r>
      <m:oMath>
        <m:r>
          <w:rPr>
            <w:rFonts w:ascii="Cambria Math" w:hAnsi="Cambria Math"/>
          </w:rPr>
          <m:t>2e-4→3e-4</m:t>
        </m:r>
      </m:oMath>
    </w:p>
    <w:p w14:paraId="41A6BE81" w14:textId="098C64CC" w:rsidR="0052138A" w:rsidRDefault="0052138A">
      <w:pPr>
        <w:pStyle w:val="ListParagraph"/>
        <w:numPr>
          <w:ilvl w:val="0"/>
          <w:numId w:val="25"/>
        </w:numPr>
      </w:pPr>
      <w:r>
        <w:t>Block depth and temporal kernel unchanged</w:t>
      </w:r>
    </w:p>
    <w:p w14:paraId="276CDE10" w14:textId="07B9B28F" w:rsidR="0052138A" w:rsidRPr="0052138A" w:rsidRDefault="0052138A">
      <w:pPr>
        <w:pStyle w:val="ListParagraph"/>
        <w:numPr>
          <w:ilvl w:val="0"/>
          <w:numId w:val="25"/>
        </w:numPr>
      </w:pPr>
      <w:r>
        <w:t>Structure unchanged</w:t>
      </w:r>
    </w:p>
    <w:p w14:paraId="487C90DF" w14:textId="6D4AE33A" w:rsidR="00697B9C" w:rsidRDefault="00697B9C" w:rsidP="00271437">
      <w:pPr>
        <w:pStyle w:val="Heading1"/>
        <w:numPr>
          <w:ilvl w:val="2"/>
          <w:numId w:val="3"/>
        </w:numPr>
        <w:spacing w:before="0"/>
        <w:jc w:val="left"/>
        <w:rPr>
          <w:b/>
          <w:bCs/>
          <w:sz w:val="24"/>
          <w:szCs w:val="24"/>
          <w:u w:val="single"/>
        </w:rPr>
      </w:pPr>
      <w:r>
        <w:rPr>
          <w:b/>
          <w:bCs/>
          <w:sz w:val="24"/>
          <w:szCs w:val="24"/>
          <w:u w:val="single"/>
        </w:rPr>
        <w:t>ASTGCN</w:t>
      </w:r>
    </w:p>
    <w:p w14:paraId="57353F77" w14:textId="049778A3" w:rsidR="00F46434" w:rsidRDefault="00EA63CD" w:rsidP="00EA63CD">
      <w:pPr>
        <w:ind w:firstLine="720"/>
      </w:pPr>
      <w:r>
        <w:t xml:space="preserve">Use AMP (fp16 + </w:t>
      </w:r>
      <w:proofErr w:type="spellStart"/>
      <w:r>
        <w:t>GradScaler</w:t>
      </w:r>
      <w:proofErr w:type="spellEnd"/>
      <w:r>
        <w:t>) for memory efficiency.</w:t>
      </w:r>
    </w:p>
    <w:p w14:paraId="613D37ED" w14:textId="0050B8E0" w:rsidR="00EA63CD" w:rsidRDefault="00587E06" w:rsidP="00587E06">
      <w:pPr>
        <w:jc w:val="center"/>
      </w:pPr>
      <w:r w:rsidRPr="00587E06">
        <w:drawing>
          <wp:inline distT="0" distB="0" distL="0" distR="0" wp14:anchorId="33D11249" wp14:editId="715B1171">
            <wp:extent cx="5731510" cy="714375"/>
            <wp:effectExtent l="19050" t="19050" r="21590" b="28575"/>
            <wp:docPr id="159094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42987" name=""/>
                    <pic:cNvPicPr/>
                  </pic:nvPicPr>
                  <pic:blipFill>
                    <a:blip r:embed="rId40"/>
                    <a:stretch>
                      <a:fillRect/>
                    </a:stretch>
                  </pic:blipFill>
                  <pic:spPr>
                    <a:xfrm>
                      <a:off x="0" y="0"/>
                      <a:ext cx="5731510" cy="714375"/>
                    </a:xfrm>
                    <a:prstGeom prst="rect">
                      <a:avLst/>
                    </a:prstGeom>
                    <a:ln>
                      <a:solidFill>
                        <a:schemeClr val="tx1"/>
                      </a:solidFill>
                    </a:ln>
                  </pic:spPr>
                </pic:pic>
              </a:graphicData>
            </a:graphic>
          </wp:inline>
        </w:drawing>
      </w:r>
    </w:p>
    <w:p w14:paraId="6EBB890F" w14:textId="1E1C7BDE" w:rsidR="00EA63CD" w:rsidRDefault="00EA63CD" w:rsidP="00F46434">
      <w:r>
        <w:t>Hyperparameter changes for tuned variant:</w:t>
      </w:r>
    </w:p>
    <w:p w14:paraId="41104225" w14:textId="73899137" w:rsidR="00EA63CD" w:rsidRPr="00EA63CD" w:rsidRDefault="00EA63CD">
      <w:pPr>
        <w:pStyle w:val="ListParagraph"/>
        <w:numPr>
          <w:ilvl w:val="0"/>
          <w:numId w:val="26"/>
        </w:numPr>
      </w:pPr>
      <w:proofErr w:type="spellStart"/>
      <w:r>
        <w:t>d_model</w:t>
      </w:r>
      <w:proofErr w:type="spellEnd"/>
      <w:r>
        <w:t xml:space="preserve"> </w:t>
      </w:r>
      <m:oMath>
        <m:r>
          <w:rPr>
            <w:rFonts w:ascii="Cambria Math" w:hAnsi="Cambria Math"/>
          </w:rPr>
          <m:t>64→128</m:t>
        </m:r>
      </m:oMath>
    </w:p>
    <w:p w14:paraId="0F069C23" w14:textId="7825B1AA" w:rsidR="00EA63CD" w:rsidRPr="00EA63CD" w:rsidRDefault="00EA63CD">
      <w:pPr>
        <w:pStyle w:val="ListParagraph"/>
        <w:numPr>
          <w:ilvl w:val="0"/>
          <w:numId w:val="26"/>
        </w:numPr>
      </w:pPr>
      <w:proofErr w:type="spellStart"/>
      <w:r>
        <w:t>n_heads</w:t>
      </w:r>
      <w:proofErr w:type="spellEnd"/>
      <w:r>
        <w:t xml:space="preserve"> </w:t>
      </w:r>
      <m:oMath>
        <m:r>
          <w:rPr>
            <w:rFonts w:ascii="Cambria Math" w:hAnsi="Cambria Math"/>
          </w:rPr>
          <m:t>4→8</m:t>
        </m:r>
      </m:oMath>
    </w:p>
    <w:p w14:paraId="67918FA9" w14:textId="47BDB6E5" w:rsidR="00EA63CD" w:rsidRPr="00EA63CD" w:rsidRDefault="00EA63CD">
      <w:pPr>
        <w:pStyle w:val="ListParagraph"/>
        <w:numPr>
          <w:ilvl w:val="0"/>
          <w:numId w:val="26"/>
        </w:numPr>
      </w:pPr>
      <w:proofErr w:type="spellStart"/>
      <w:r>
        <w:t>n_blocks</w:t>
      </w:r>
      <w:proofErr w:type="spellEnd"/>
      <w:r>
        <w:t xml:space="preserve"> </w:t>
      </w:r>
      <m:oMath>
        <m:r>
          <w:rPr>
            <w:rFonts w:ascii="Cambria Math" w:hAnsi="Cambria Math"/>
          </w:rPr>
          <m:t>2→3</m:t>
        </m:r>
      </m:oMath>
    </w:p>
    <w:p w14:paraId="29886235" w14:textId="1B0DDAFD" w:rsidR="00EA63CD" w:rsidRPr="00EA63CD" w:rsidRDefault="00EA63CD">
      <w:pPr>
        <w:pStyle w:val="ListParagraph"/>
        <w:numPr>
          <w:ilvl w:val="0"/>
          <w:numId w:val="26"/>
        </w:numPr>
      </w:pPr>
      <w:r>
        <w:t xml:space="preserve">dropout </w:t>
      </w:r>
      <m:oMath>
        <m:r>
          <w:rPr>
            <w:rFonts w:ascii="Cambria Math" w:hAnsi="Cambria Math"/>
          </w:rPr>
          <m:t>0.15→0.20</m:t>
        </m:r>
      </m:oMath>
    </w:p>
    <w:p w14:paraId="10216EDB" w14:textId="228434DD" w:rsidR="00EA63CD" w:rsidRPr="00EA63CD" w:rsidRDefault="00EA63CD">
      <w:pPr>
        <w:pStyle w:val="ListParagraph"/>
        <w:numPr>
          <w:ilvl w:val="0"/>
          <w:numId w:val="26"/>
        </w:numPr>
      </w:pPr>
      <w:proofErr w:type="spellStart"/>
      <w:r>
        <w:t>weight_decay</w:t>
      </w:r>
      <w:proofErr w:type="spellEnd"/>
      <w:r>
        <w:t xml:space="preserve"> </w:t>
      </w:r>
      <m:oMath>
        <m:r>
          <w:rPr>
            <w:rFonts w:ascii="Cambria Math" w:hAnsi="Cambria Math"/>
          </w:rPr>
          <m:t>2e-4→1e-4</m:t>
        </m:r>
      </m:oMath>
    </w:p>
    <w:p w14:paraId="4B5B851A" w14:textId="171C5FDE" w:rsidR="00EA63CD" w:rsidRPr="00EA63CD" w:rsidRDefault="00EA63CD">
      <w:pPr>
        <w:pStyle w:val="ListParagraph"/>
        <w:numPr>
          <w:ilvl w:val="0"/>
          <w:numId w:val="26"/>
        </w:numPr>
      </w:pPr>
      <w:r>
        <w:t>Structure unchanged</w:t>
      </w:r>
    </w:p>
    <w:p w14:paraId="5756A8F4" w14:textId="41D7CB94" w:rsidR="00697B9C" w:rsidRDefault="00697B9C" w:rsidP="00271437">
      <w:pPr>
        <w:pStyle w:val="Heading1"/>
        <w:numPr>
          <w:ilvl w:val="2"/>
          <w:numId w:val="3"/>
        </w:numPr>
        <w:spacing w:before="0"/>
        <w:jc w:val="left"/>
        <w:rPr>
          <w:b/>
          <w:bCs/>
          <w:sz w:val="24"/>
          <w:szCs w:val="24"/>
          <w:u w:val="single"/>
        </w:rPr>
      </w:pPr>
      <w:r>
        <w:rPr>
          <w:b/>
          <w:bCs/>
          <w:sz w:val="24"/>
          <w:szCs w:val="24"/>
          <w:u w:val="single"/>
        </w:rPr>
        <w:lastRenderedPageBreak/>
        <w:t>STSGCN</w:t>
      </w:r>
    </w:p>
    <w:p w14:paraId="4EF126B0" w14:textId="2C8EFFC8" w:rsidR="00AF6726" w:rsidRPr="00ED0291" w:rsidRDefault="00AF6726" w:rsidP="006E24E5">
      <w:pPr>
        <w:ind w:firstLine="720"/>
      </w:pPr>
      <w:r>
        <w:t xml:space="preserve">The </w:t>
      </w:r>
      <m:oMath>
        <m:r>
          <w:rPr>
            <w:rFonts w:ascii="Cambria Math" w:hAnsi="Cambria Math"/>
          </w:rPr>
          <m:t>3N×3N</m:t>
        </m:r>
      </m:oMath>
      <w:r>
        <w:t xml:space="preserve"> synchronous graph (STSG) encodes both spatial adjacency (</w:t>
      </w:r>
      <m:oMath>
        <m:sSub>
          <m:sSubPr>
            <m:ctrlPr>
              <w:rPr>
                <w:rFonts w:ascii="Cambria Math" w:hAnsi="Cambria Math"/>
              </w:rPr>
            </m:ctrlPr>
          </m:sSubPr>
          <m:e>
            <m:r>
              <w:rPr>
                <w:rFonts w:ascii="Cambria Math" w:hAnsi="Cambria Math"/>
              </w:rPr>
              <m:t>A</m:t>
            </m:r>
          </m:e>
          <m:sub>
            <m:r>
              <w:rPr>
                <w:rFonts w:ascii="Cambria Math" w:hAnsi="Cambria Math"/>
              </w:rPr>
              <m:t>spa</m:t>
            </m:r>
          </m:sub>
        </m:sSub>
      </m:oMath>
      <w:r>
        <w:t xml:space="preserve"> within each timestep) and temporal adjacency (identity block </w:t>
      </w:r>
      <m:oMath>
        <m:r>
          <m:rPr>
            <m:sty m:val="p"/>
          </m:rPr>
          <w:rPr>
            <w:rFonts w:ascii="Cambria Math" w:hAnsi="Cambria Math"/>
          </w:rPr>
          <m:t>I</m:t>
        </m:r>
      </m:oMath>
      <w:r>
        <w:t xml:space="preserve"> linking adjacent timesteps). Each STSGCL layer applies Chebyshev convolution on the full STSG over a sliding 3-timestep window and then extracts the centre N nodes.</w:t>
      </w:r>
    </w:p>
    <w:p w14:paraId="380BA996" w14:textId="6F960834" w:rsidR="00AF6726" w:rsidRDefault="00587E06" w:rsidP="00F46434">
      <w:r w:rsidRPr="00587E06">
        <w:drawing>
          <wp:inline distT="0" distB="0" distL="0" distR="0" wp14:anchorId="69C59AF7" wp14:editId="7EC98549">
            <wp:extent cx="5731510" cy="876935"/>
            <wp:effectExtent l="19050" t="19050" r="21590" b="18415"/>
            <wp:docPr id="154095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53927" name=""/>
                    <pic:cNvPicPr/>
                  </pic:nvPicPr>
                  <pic:blipFill>
                    <a:blip r:embed="rId41"/>
                    <a:stretch>
                      <a:fillRect/>
                    </a:stretch>
                  </pic:blipFill>
                  <pic:spPr>
                    <a:xfrm>
                      <a:off x="0" y="0"/>
                      <a:ext cx="5731510" cy="876935"/>
                    </a:xfrm>
                    <a:prstGeom prst="rect">
                      <a:avLst/>
                    </a:prstGeom>
                    <a:ln>
                      <a:solidFill>
                        <a:schemeClr val="tx1"/>
                      </a:solidFill>
                    </a:ln>
                  </pic:spPr>
                </pic:pic>
              </a:graphicData>
            </a:graphic>
          </wp:inline>
        </w:drawing>
      </w:r>
    </w:p>
    <w:p w14:paraId="2859A80C" w14:textId="44C74092" w:rsidR="00CA7DFD" w:rsidRDefault="00CA7DFD" w:rsidP="00F46434">
      <w:r>
        <w:t>Hyperparameter changes for tuned variant:</w:t>
      </w:r>
    </w:p>
    <w:p w14:paraId="76929881" w14:textId="0E161EA0" w:rsidR="00CA7DFD" w:rsidRPr="00CA7DFD" w:rsidRDefault="00CA7DFD">
      <w:pPr>
        <w:pStyle w:val="ListParagraph"/>
        <w:numPr>
          <w:ilvl w:val="0"/>
          <w:numId w:val="27"/>
        </w:numPr>
      </w:pPr>
      <w:r>
        <w:t xml:space="preserve">hidden </w:t>
      </w:r>
      <m:oMath>
        <m:r>
          <w:rPr>
            <w:rFonts w:ascii="Cambria Math" w:hAnsi="Cambria Math"/>
          </w:rPr>
          <m:t>96→128</m:t>
        </m:r>
      </m:oMath>
    </w:p>
    <w:p w14:paraId="2FDEBEA7" w14:textId="4CF25BA6" w:rsidR="00CA7DFD" w:rsidRPr="00CA7DFD" w:rsidRDefault="00CA7DFD">
      <w:pPr>
        <w:pStyle w:val="ListParagraph"/>
        <w:numPr>
          <w:ilvl w:val="0"/>
          <w:numId w:val="27"/>
        </w:numPr>
      </w:pPr>
      <w:r>
        <w:t xml:space="preserve">dropout </w:t>
      </w:r>
      <m:oMath>
        <m:r>
          <w:rPr>
            <w:rFonts w:ascii="Cambria Math" w:hAnsi="Cambria Math"/>
          </w:rPr>
          <m:t>0.10→0.25</m:t>
        </m:r>
      </m:oMath>
    </w:p>
    <w:p w14:paraId="4CC1AEC9" w14:textId="28187E35" w:rsidR="00CA7DFD" w:rsidRPr="00CA7DFD" w:rsidRDefault="00CA7DFD">
      <w:pPr>
        <w:pStyle w:val="ListParagraph"/>
        <w:numPr>
          <w:ilvl w:val="0"/>
          <w:numId w:val="27"/>
        </w:numPr>
      </w:pPr>
      <w:proofErr w:type="spellStart"/>
      <w:r>
        <w:t>weight_decay</w:t>
      </w:r>
      <w:proofErr w:type="spellEnd"/>
      <w:r>
        <w:t xml:space="preserve"> </w:t>
      </w:r>
      <m:oMath>
        <m:r>
          <w:rPr>
            <w:rFonts w:ascii="Cambria Math" w:hAnsi="Cambria Math"/>
          </w:rPr>
          <m:t>1e-4→2e-4</m:t>
        </m:r>
      </m:oMath>
    </w:p>
    <w:p w14:paraId="1962FE82" w14:textId="5966775F" w:rsidR="00CA7DFD" w:rsidRPr="00CA7DFD" w:rsidRDefault="00CA7DFD">
      <w:pPr>
        <w:pStyle w:val="ListParagraph"/>
        <w:numPr>
          <w:ilvl w:val="0"/>
          <w:numId w:val="27"/>
        </w:numPr>
      </w:pPr>
      <w:proofErr w:type="spellStart"/>
      <w:r>
        <w:t>lr</w:t>
      </w:r>
      <w:proofErr w:type="spellEnd"/>
      <w:r>
        <w:t xml:space="preserve"> </w:t>
      </w:r>
      <m:oMath>
        <m:r>
          <w:rPr>
            <w:rFonts w:ascii="Cambria Math" w:hAnsi="Cambria Math"/>
          </w:rPr>
          <m:t>5e-4→1e-3</m:t>
        </m:r>
      </m:oMath>
    </w:p>
    <w:p w14:paraId="1C581AC8" w14:textId="796B106D" w:rsidR="00CA7DFD" w:rsidRDefault="00CA7DFD">
      <w:pPr>
        <w:pStyle w:val="ListParagraph"/>
        <w:numPr>
          <w:ilvl w:val="0"/>
          <w:numId w:val="27"/>
        </w:numPr>
      </w:pPr>
      <w:r>
        <w:t>Layer depth unchanged</w:t>
      </w:r>
    </w:p>
    <w:p w14:paraId="1F53DB04" w14:textId="1FD89213" w:rsidR="00CA7DFD" w:rsidRPr="00CA7DFD" w:rsidRDefault="00CA7DFD">
      <w:pPr>
        <w:pStyle w:val="ListParagraph"/>
        <w:numPr>
          <w:ilvl w:val="0"/>
          <w:numId w:val="27"/>
        </w:numPr>
      </w:pPr>
      <w:r>
        <w:t>Structure unchanged</w:t>
      </w:r>
    </w:p>
    <w:p w14:paraId="2DD24648" w14:textId="2B83E2BC" w:rsidR="00697B9C" w:rsidRDefault="00697B9C" w:rsidP="00271437">
      <w:pPr>
        <w:pStyle w:val="Heading1"/>
        <w:numPr>
          <w:ilvl w:val="2"/>
          <w:numId w:val="3"/>
        </w:numPr>
        <w:spacing w:before="0"/>
        <w:jc w:val="left"/>
        <w:rPr>
          <w:b/>
          <w:bCs/>
          <w:sz w:val="24"/>
          <w:szCs w:val="24"/>
          <w:u w:val="single"/>
        </w:rPr>
      </w:pPr>
      <w:r>
        <w:rPr>
          <w:b/>
          <w:bCs/>
          <w:sz w:val="24"/>
          <w:szCs w:val="24"/>
          <w:u w:val="single"/>
        </w:rPr>
        <w:t>STFGNN</w:t>
      </w:r>
    </w:p>
    <w:p w14:paraId="3E4768D6" w14:textId="7A038B02" w:rsidR="00F46434" w:rsidRDefault="003B1F3F" w:rsidP="00F46434">
      <w:r w:rsidRPr="003B1F3F">
        <w:drawing>
          <wp:inline distT="0" distB="0" distL="0" distR="0" wp14:anchorId="74F8B7C5" wp14:editId="2D5E68D5">
            <wp:extent cx="5731510" cy="1282700"/>
            <wp:effectExtent l="19050" t="19050" r="21590" b="12700"/>
            <wp:docPr id="1632026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26040" name=""/>
                    <pic:cNvPicPr/>
                  </pic:nvPicPr>
                  <pic:blipFill>
                    <a:blip r:embed="rId42"/>
                    <a:stretch>
                      <a:fillRect/>
                    </a:stretch>
                  </pic:blipFill>
                  <pic:spPr>
                    <a:xfrm>
                      <a:off x="0" y="0"/>
                      <a:ext cx="5731510" cy="1282700"/>
                    </a:xfrm>
                    <a:prstGeom prst="rect">
                      <a:avLst/>
                    </a:prstGeom>
                    <a:ln>
                      <a:solidFill>
                        <a:schemeClr val="tx1"/>
                      </a:solidFill>
                    </a:ln>
                  </pic:spPr>
                </pic:pic>
              </a:graphicData>
            </a:graphic>
          </wp:inline>
        </w:drawing>
      </w:r>
    </w:p>
    <w:p w14:paraId="75114956" w14:textId="462A2EF5" w:rsidR="00E65288" w:rsidRDefault="00E65288" w:rsidP="00F46434">
      <w:r>
        <w:t>Hyperparameter changes for tuned variant:</w:t>
      </w:r>
    </w:p>
    <w:p w14:paraId="62D6B2D5" w14:textId="626ED1B5" w:rsidR="00E65288" w:rsidRPr="00E65288" w:rsidRDefault="00E65288">
      <w:pPr>
        <w:pStyle w:val="ListParagraph"/>
        <w:numPr>
          <w:ilvl w:val="0"/>
          <w:numId w:val="28"/>
        </w:numPr>
      </w:pPr>
      <w:r>
        <w:t xml:space="preserve">hidden </w:t>
      </w:r>
      <m:oMath>
        <m:r>
          <w:rPr>
            <w:rFonts w:ascii="Cambria Math" w:hAnsi="Cambria Math"/>
          </w:rPr>
          <m:t>64→128</m:t>
        </m:r>
      </m:oMath>
    </w:p>
    <w:p w14:paraId="73E4D93C" w14:textId="2705290C" w:rsidR="00E65288" w:rsidRPr="00E65288" w:rsidRDefault="00E65288">
      <w:pPr>
        <w:pStyle w:val="ListParagraph"/>
        <w:numPr>
          <w:ilvl w:val="0"/>
          <w:numId w:val="28"/>
        </w:numPr>
      </w:pPr>
      <w:r>
        <w:t xml:space="preserve">dropout </w:t>
      </w:r>
      <m:oMath>
        <m:r>
          <w:rPr>
            <w:rFonts w:ascii="Cambria Math" w:hAnsi="Cambria Math"/>
          </w:rPr>
          <m:t>0.20→0.35</m:t>
        </m:r>
      </m:oMath>
    </w:p>
    <w:p w14:paraId="224398E5" w14:textId="4CF305C7" w:rsidR="00E65288" w:rsidRPr="00E65288" w:rsidRDefault="00E65288">
      <w:pPr>
        <w:pStyle w:val="ListParagraph"/>
        <w:numPr>
          <w:ilvl w:val="0"/>
          <w:numId w:val="28"/>
        </w:numPr>
      </w:pPr>
      <w:proofErr w:type="spellStart"/>
      <w:r>
        <w:t>adj_threshold</w:t>
      </w:r>
      <w:proofErr w:type="spellEnd"/>
      <w:r>
        <w:t xml:space="preserve"> </w:t>
      </w:r>
      <m:oMath>
        <m:r>
          <w:rPr>
            <w:rFonts w:ascii="Cambria Math" w:hAnsi="Cambria Math"/>
          </w:rPr>
          <m:t>0.10→0.15</m:t>
        </m:r>
      </m:oMath>
    </w:p>
    <w:p w14:paraId="607A88EF" w14:textId="3A1F4B23" w:rsidR="00E65288" w:rsidRDefault="00E65288">
      <w:pPr>
        <w:pStyle w:val="ListParagraph"/>
        <w:numPr>
          <w:ilvl w:val="0"/>
          <w:numId w:val="28"/>
        </w:numPr>
      </w:pPr>
      <w:r>
        <w:t>Layer depth is unchanged</w:t>
      </w:r>
    </w:p>
    <w:p w14:paraId="52A2EF58" w14:textId="6949FBA2" w:rsidR="00E65288" w:rsidRPr="00E65288" w:rsidRDefault="00E65288">
      <w:pPr>
        <w:pStyle w:val="ListParagraph"/>
        <w:numPr>
          <w:ilvl w:val="0"/>
          <w:numId w:val="28"/>
        </w:numPr>
      </w:pPr>
      <w:r>
        <w:t>Structure unchanged</w:t>
      </w:r>
    </w:p>
    <w:p w14:paraId="65C79D1A" w14:textId="6F840AEF" w:rsidR="00697B9C" w:rsidRDefault="00697B9C" w:rsidP="00271437">
      <w:pPr>
        <w:pStyle w:val="Heading1"/>
        <w:numPr>
          <w:ilvl w:val="2"/>
          <w:numId w:val="3"/>
        </w:numPr>
        <w:spacing w:before="0"/>
        <w:jc w:val="left"/>
        <w:rPr>
          <w:b/>
          <w:bCs/>
          <w:sz w:val="24"/>
          <w:szCs w:val="24"/>
          <w:u w:val="single"/>
        </w:rPr>
      </w:pPr>
      <w:r>
        <w:rPr>
          <w:b/>
          <w:bCs/>
          <w:sz w:val="24"/>
          <w:szCs w:val="24"/>
          <w:u w:val="single"/>
        </w:rPr>
        <w:lastRenderedPageBreak/>
        <w:t>PDR-STGCN</w:t>
      </w:r>
    </w:p>
    <w:p w14:paraId="481A20FB" w14:textId="45197138" w:rsidR="00F46434" w:rsidRDefault="00191008" w:rsidP="00191008">
      <w:pPr>
        <w:ind w:firstLine="720"/>
      </w:pPr>
      <w:r>
        <w:t xml:space="preserve">A two-channel input (original signal + weekly lag-difference) feeds a modified STGCN backbone where each graph convolution replaces the fixed Chebyshev adjacency with a mixed static/dynamic adjacency controlled by a learned scalar </w:t>
      </w:r>
      <m:oMath>
        <m:r>
          <w:rPr>
            <w:rFonts w:ascii="Cambria Math" w:hAnsi="Cambria Math"/>
          </w:rPr>
          <m:t>λ</m:t>
        </m:r>
      </m:oMath>
      <w:r>
        <w:t>.</w:t>
      </w:r>
    </w:p>
    <w:p w14:paraId="70D38257" w14:textId="4886FAA5" w:rsidR="00191008" w:rsidRPr="00191008" w:rsidRDefault="00CA424D" w:rsidP="00F46434">
      <w:r w:rsidRPr="00CA424D">
        <w:drawing>
          <wp:inline distT="0" distB="0" distL="0" distR="0" wp14:anchorId="7D4A69AC" wp14:editId="526EE4A0">
            <wp:extent cx="5731510" cy="908685"/>
            <wp:effectExtent l="19050" t="19050" r="21590" b="24765"/>
            <wp:docPr id="111915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59669" name=""/>
                    <pic:cNvPicPr/>
                  </pic:nvPicPr>
                  <pic:blipFill>
                    <a:blip r:embed="rId43"/>
                    <a:stretch>
                      <a:fillRect/>
                    </a:stretch>
                  </pic:blipFill>
                  <pic:spPr>
                    <a:xfrm>
                      <a:off x="0" y="0"/>
                      <a:ext cx="5731510" cy="908685"/>
                    </a:xfrm>
                    <a:prstGeom prst="rect">
                      <a:avLst/>
                    </a:prstGeom>
                    <a:ln>
                      <a:solidFill>
                        <a:schemeClr val="tx1"/>
                      </a:solidFill>
                    </a:ln>
                  </pic:spPr>
                </pic:pic>
              </a:graphicData>
            </a:graphic>
          </wp:inline>
        </w:drawing>
      </w:r>
    </w:p>
    <w:p w14:paraId="137D32FB" w14:textId="7E04ED89" w:rsidR="00191008" w:rsidRDefault="00191008" w:rsidP="00F46434">
      <w:r>
        <w:t>Hyperparameter changes for tuned variant:</w:t>
      </w:r>
    </w:p>
    <w:p w14:paraId="575E2C58" w14:textId="313BDDE6" w:rsidR="00191008" w:rsidRPr="00191008" w:rsidRDefault="00191008">
      <w:pPr>
        <w:pStyle w:val="ListParagraph"/>
        <w:numPr>
          <w:ilvl w:val="0"/>
          <w:numId w:val="29"/>
        </w:numPr>
      </w:pPr>
      <w:r>
        <w:t xml:space="preserve">hidden </w:t>
      </w:r>
      <m:oMath>
        <m:r>
          <w:rPr>
            <w:rFonts w:ascii="Cambria Math" w:hAnsi="Cambria Math"/>
          </w:rPr>
          <m:t>160→256</m:t>
        </m:r>
      </m:oMath>
    </w:p>
    <w:p w14:paraId="3D95F0B6" w14:textId="5E95737B" w:rsidR="00191008" w:rsidRPr="00191008" w:rsidRDefault="00191008">
      <w:pPr>
        <w:pStyle w:val="ListParagraph"/>
        <w:numPr>
          <w:ilvl w:val="0"/>
          <w:numId w:val="29"/>
        </w:numPr>
      </w:pPr>
      <w:proofErr w:type="spellStart"/>
      <w:r>
        <w:t>n_blocks</w:t>
      </w:r>
      <w:proofErr w:type="spellEnd"/>
      <w:r>
        <w:t xml:space="preserve"> </w:t>
      </w:r>
      <m:oMath>
        <m:r>
          <w:rPr>
            <w:rFonts w:ascii="Cambria Math" w:hAnsi="Cambria Math"/>
          </w:rPr>
          <m:t>2→3</m:t>
        </m:r>
      </m:oMath>
    </w:p>
    <w:p w14:paraId="03BC5334" w14:textId="33C331CD" w:rsidR="00191008" w:rsidRPr="00191008" w:rsidRDefault="00191008">
      <w:pPr>
        <w:pStyle w:val="ListParagraph"/>
        <w:numPr>
          <w:ilvl w:val="0"/>
          <w:numId w:val="29"/>
        </w:numPr>
      </w:pPr>
      <w:r>
        <w:t xml:space="preserve">kt </w:t>
      </w:r>
      <m:oMath>
        <m:r>
          <w:rPr>
            <w:rFonts w:ascii="Cambria Math" w:hAnsi="Cambria Math"/>
          </w:rPr>
          <m:t>3→2</m:t>
        </m:r>
      </m:oMath>
    </w:p>
    <w:p w14:paraId="400D117A" w14:textId="21C476DC" w:rsidR="00191008" w:rsidRPr="00191008" w:rsidRDefault="00191008">
      <w:pPr>
        <w:pStyle w:val="ListParagraph"/>
        <w:numPr>
          <w:ilvl w:val="0"/>
          <w:numId w:val="29"/>
        </w:numPr>
      </w:pPr>
      <w:r>
        <w:t xml:space="preserve">dk </w:t>
      </w:r>
      <m:oMath>
        <m:r>
          <w:rPr>
            <w:rFonts w:ascii="Cambria Math" w:hAnsi="Cambria Math"/>
          </w:rPr>
          <m:t>48→64</m:t>
        </m:r>
      </m:oMath>
    </w:p>
    <w:p w14:paraId="5F592757" w14:textId="29DEACB4" w:rsidR="00191008" w:rsidRPr="00191008" w:rsidRDefault="00191008">
      <w:pPr>
        <w:pStyle w:val="ListParagraph"/>
        <w:numPr>
          <w:ilvl w:val="0"/>
          <w:numId w:val="29"/>
        </w:numPr>
      </w:pPr>
      <w:r>
        <w:t xml:space="preserve">dropout </w:t>
      </w:r>
      <m:oMath>
        <m:r>
          <w:rPr>
            <w:rFonts w:ascii="Cambria Math" w:hAnsi="Cambria Math"/>
          </w:rPr>
          <m:t>0.15→0.25</m:t>
        </m:r>
      </m:oMath>
    </w:p>
    <w:p w14:paraId="769CEB0C" w14:textId="4441B0A4" w:rsidR="00191008" w:rsidRPr="00191008" w:rsidRDefault="00191008">
      <w:pPr>
        <w:pStyle w:val="ListParagraph"/>
        <w:numPr>
          <w:ilvl w:val="0"/>
          <w:numId w:val="29"/>
        </w:numPr>
      </w:pPr>
      <w:r>
        <w:t>Structure unchanged</w:t>
      </w:r>
    </w:p>
    <w:p w14:paraId="70013CDA" w14:textId="0D22D607" w:rsidR="00697B9C" w:rsidRDefault="00697B9C" w:rsidP="00271437">
      <w:pPr>
        <w:pStyle w:val="Heading1"/>
        <w:numPr>
          <w:ilvl w:val="2"/>
          <w:numId w:val="3"/>
        </w:numPr>
        <w:spacing w:before="0"/>
        <w:jc w:val="left"/>
        <w:rPr>
          <w:b/>
          <w:bCs/>
          <w:sz w:val="24"/>
          <w:szCs w:val="24"/>
          <w:u w:val="single"/>
        </w:rPr>
      </w:pPr>
      <w:r>
        <w:rPr>
          <w:b/>
          <w:bCs/>
          <w:sz w:val="24"/>
          <w:szCs w:val="24"/>
          <w:u w:val="single"/>
        </w:rPr>
        <w:t>MTGNN</w:t>
      </w:r>
    </w:p>
    <w:p w14:paraId="01F1F60C" w14:textId="579939FB" w:rsidR="00F46434" w:rsidRDefault="003D7EE4" w:rsidP="00F46434">
      <w:r w:rsidRPr="003D7EE4">
        <w:drawing>
          <wp:inline distT="0" distB="0" distL="0" distR="0" wp14:anchorId="2C52475F" wp14:editId="672B2FC5">
            <wp:extent cx="5731510" cy="1393825"/>
            <wp:effectExtent l="19050" t="19050" r="21590" b="15875"/>
            <wp:docPr id="42320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00281" name=""/>
                    <pic:cNvPicPr/>
                  </pic:nvPicPr>
                  <pic:blipFill>
                    <a:blip r:embed="rId44"/>
                    <a:stretch>
                      <a:fillRect/>
                    </a:stretch>
                  </pic:blipFill>
                  <pic:spPr>
                    <a:xfrm>
                      <a:off x="0" y="0"/>
                      <a:ext cx="5731510" cy="1393825"/>
                    </a:xfrm>
                    <a:prstGeom prst="rect">
                      <a:avLst/>
                    </a:prstGeom>
                    <a:ln>
                      <a:solidFill>
                        <a:schemeClr val="tx1"/>
                      </a:solidFill>
                    </a:ln>
                  </pic:spPr>
                </pic:pic>
              </a:graphicData>
            </a:graphic>
          </wp:inline>
        </w:drawing>
      </w:r>
    </w:p>
    <w:p w14:paraId="4D5B248C" w14:textId="61BCC82C" w:rsidR="00A42903" w:rsidRDefault="00A42903" w:rsidP="00F46434">
      <w:r>
        <w:t>Hyperparameter changes for tuned variant:</w:t>
      </w:r>
    </w:p>
    <w:p w14:paraId="29288239" w14:textId="06788025" w:rsidR="00A42903" w:rsidRPr="00A42903" w:rsidRDefault="00A42903">
      <w:pPr>
        <w:pStyle w:val="ListParagraph"/>
        <w:numPr>
          <w:ilvl w:val="0"/>
          <w:numId w:val="30"/>
        </w:numPr>
      </w:pPr>
      <w:r>
        <w:t xml:space="preserve">hidden </w:t>
      </w:r>
      <m:oMath>
        <m:r>
          <w:rPr>
            <w:rFonts w:ascii="Cambria Math" w:hAnsi="Cambria Math"/>
          </w:rPr>
          <m:t>32→64</m:t>
        </m:r>
      </m:oMath>
    </w:p>
    <w:p w14:paraId="31A828F7" w14:textId="003AE253" w:rsidR="00A42903" w:rsidRPr="00A42903" w:rsidRDefault="00A42903">
      <w:pPr>
        <w:pStyle w:val="ListParagraph"/>
        <w:numPr>
          <w:ilvl w:val="0"/>
          <w:numId w:val="30"/>
        </w:numPr>
      </w:pPr>
      <w:proofErr w:type="spellStart"/>
      <w:r>
        <w:t>d_emb</w:t>
      </w:r>
      <w:proofErr w:type="spellEnd"/>
      <w:r>
        <w:t xml:space="preserve"> </w:t>
      </w:r>
      <m:oMath>
        <m:r>
          <w:rPr>
            <w:rFonts w:ascii="Cambria Math" w:hAnsi="Cambria Math"/>
          </w:rPr>
          <m:t>10→7</m:t>
        </m:r>
      </m:oMath>
    </w:p>
    <w:p w14:paraId="71F5ED86" w14:textId="2F326728" w:rsidR="00A42903" w:rsidRPr="00A42903" w:rsidRDefault="00A42903">
      <w:pPr>
        <w:pStyle w:val="ListParagraph"/>
        <w:numPr>
          <w:ilvl w:val="0"/>
          <w:numId w:val="30"/>
        </w:numPr>
      </w:pPr>
      <w:r>
        <w:t xml:space="preserve">dropout </w:t>
      </w:r>
      <m:oMath>
        <m:r>
          <w:rPr>
            <w:rFonts w:ascii="Cambria Math" w:hAnsi="Cambria Math"/>
          </w:rPr>
          <m:t>0.10→0.30</m:t>
        </m:r>
      </m:oMath>
    </w:p>
    <w:p w14:paraId="57292D25" w14:textId="7C8395D7" w:rsidR="00A42903" w:rsidRPr="00A42903" w:rsidRDefault="00A42903">
      <w:pPr>
        <w:pStyle w:val="ListParagraph"/>
        <w:numPr>
          <w:ilvl w:val="0"/>
          <w:numId w:val="30"/>
        </w:numPr>
      </w:pPr>
      <w:proofErr w:type="spellStart"/>
      <w:r>
        <w:t>weight_decay</w:t>
      </w:r>
      <w:proofErr w:type="spellEnd"/>
      <w:r>
        <w:t xml:space="preserve"> </w:t>
      </w:r>
      <m:oMath>
        <m:r>
          <w:rPr>
            <w:rFonts w:ascii="Cambria Math" w:hAnsi="Cambria Math"/>
          </w:rPr>
          <m:t>1e-4→3e-4</m:t>
        </m:r>
      </m:oMath>
    </w:p>
    <w:p w14:paraId="43BCA24E" w14:textId="03E26239" w:rsidR="00A42903" w:rsidRDefault="00A42903">
      <w:pPr>
        <w:pStyle w:val="ListParagraph"/>
        <w:numPr>
          <w:ilvl w:val="0"/>
          <w:numId w:val="30"/>
        </w:numPr>
      </w:pPr>
      <w:r>
        <w:t>Skip channels and layer depth unchanged</w:t>
      </w:r>
    </w:p>
    <w:p w14:paraId="676E655B" w14:textId="3FEB0C4C" w:rsidR="00A42903" w:rsidRPr="00A42903" w:rsidRDefault="00A42903">
      <w:pPr>
        <w:pStyle w:val="ListParagraph"/>
        <w:numPr>
          <w:ilvl w:val="0"/>
          <w:numId w:val="30"/>
        </w:numPr>
      </w:pPr>
      <w:r>
        <w:t>Structure unchanged</w:t>
      </w:r>
    </w:p>
    <w:p w14:paraId="2AD51C36" w14:textId="105CA825" w:rsidR="00697B9C" w:rsidRDefault="00697B9C" w:rsidP="00271437">
      <w:pPr>
        <w:pStyle w:val="Heading1"/>
        <w:numPr>
          <w:ilvl w:val="1"/>
          <w:numId w:val="3"/>
        </w:numPr>
        <w:spacing w:before="0"/>
        <w:jc w:val="left"/>
        <w:rPr>
          <w:b/>
          <w:bCs/>
          <w:sz w:val="24"/>
          <w:szCs w:val="24"/>
          <w:u w:val="single"/>
        </w:rPr>
      </w:pPr>
      <w:r>
        <w:rPr>
          <w:b/>
          <w:bCs/>
          <w:sz w:val="24"/>
          <w:szCs w:val="24"/>
          <w:u w:val="single"/>
        </w:rPr>
        <w:lastRenderedPageBreak/>
        <w:t>Attention Models</w:t>
      </w:r>
    </w:p>
    <w:p w14:paraId="78C72FA4" w14:textId="6F1E9344" w:rsidR="00697B9C" w:rsidRDefault="00697B9C" w:rsidP="00271437">
      <w:pPr>
        <w:pStyle w:val="Heading1"/>
        <w:numPr>
          <w:ilvl w:val="2"/>
          <w:numId w:val="3"/>
        </w:numPr>
        <w:spacing w:before="0"/>
        <w:jc w:val="left"/>
        <w:rPr>
          <w:b/>
          <w:bCs/>
          <w:sz w:val="24"/>
          <w:szCs w:val="24"/>
          <w:u w:val="single"/>
        </w:rPr>
      </w:pPr>
      <w:proofErr w:type="spellStart"/>
      <w:r>
        <w:rPr>
          <w:b/>
          <w:bCs/>
          <w:sz w:val="24"/>
          <w:szCs w:val="24"/>
          <w:u w:val="single"/>
        </w:rPr>
        <w:t>Autoformer</w:t>
      </w:r>
      <w:proofErr w:type="spellEnd"/>
    </w:p>
    <w:p w14:paraId="1973F233" w14:textId="40E1C5D2" w:rsidR="00AF6726" w:rsidRDefault="006F1277" w:rsidP="007F7436">
      <w:pPr>
        <w:ind w:firstLine="720"/>
      </w:pPr>
      <w:r>
        <w:t xml:space="preserve">FFT operations are explicitly cast to float32 inside </w:t>
      </w:r>
      <w:proofErr w:type="spellStart"/>
      <w:r>
        <w:t>autocast</w:t>
      </w:r>
      <w:proofErr w:type="spellEnd"/>
      <w:r>
        <w:t xml:space="preserve"> for numerical stability under AMP.</w:t>
      </w:r>
    </w:p>
    <w:p w14:paraId="3AE38E86" w14:textId="34742B8F" w:rsidR="007F7436" w:rsidRDefault="005113FF" w:rsidP="004D3DB3">
      <w:pPr>
        <w:spacing w:after="0"/>
      </w:pPr>
      <w:r w:rsidRPr="005113FF">
        <w:drawing>
          <wp:inline distT="0" distB="0" distL="0" distR="0" wp14:anchorId="67B7EFA1" wp14:editId="1FC00186">
            <wp:extent cx="5778849" cy="629920"/>
            <wp:effectExtent l="19050" t="19050" r="12700" b="17780"/>
            <wp:docPr id="13502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2431" name=""/>
                    <pic:cNvPicPr/>
                  </pic:nvPicPr>
                  <pic:blipFill rotWithShape="1">
                    <a:blip r:embed="rId45"/>
                    <a:srcRect r="53507"/>
                    <a:stretch>
                      <a:fillRect/>
                    </a:stretch>
                  </pic:blipFill>
                  <pic:spPr bwMode="auto">
                    <a:xfrm>
                      <a:off x="0" y="0"/>
                      <a:ext cx="6042655" cy="65867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DF4F78" w14:textId="6C7E44E5" w:rsidR="005113FF" w:rsidRDefault="005113FF" w:rsidP="005113FF">
      <w:pPr>
        <w:jc w:val="center"/>
      </w:pPr>
      <w:r w:rsidRPr="005113FF">
        <w:drawing>
          <wp:inline distT="0" distB="0" distL="0" distR="0" wp14:anchorId="4325FA61" wp14:editId="6A7B7CF7">
            <wp:extent cx="5785266" cy="556903"/>
            <wp:effectExtent l="19050" t="19050" r="25400" b="14605"/>
            <wp:docPr id="199763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36164" name=""/>
                    <pic:cNvPicPr/>
                  </pic:nvPicPr>
                  <pic:blipFill rotWithShape="1">
                    <a:blip r:embed="rId45"/>
                    <a:srcRect l="46597"/>
                    <a:stretch>
                      <a:fillRect/>
                    </a:stretch>
                  </pic:blipFill>
                  <pic:spPr bwMode="auto">
                    <a:xfrm>
                      <a:off x="0" y="0"/>
                      <a:ext cx="5849476" cy="56308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0AF8E23" w14:textId="674F2884" w:rsidR="007F7436" w:rsidRDefault="007F7436" w:rsidP="007F7436">
      <w:r>
        <w:t>Hyperparameter changes for tuned variant:</w:t>
      </w:r>
    </w:p>
    <w:p w14:paraId="38B047D6" w14:textId="2EFEF87E" w:rsidR="007F7436" w:rsidRPr="007F7436" w:rsidRDefault="007F7436">
      <w:pPr>
        <w:pStyle w:val="ListParagraph"/>
        <w:numPr>
          <w:ilvl w:val="0"/>
          <w:numId w:val="31"/>
        </w:numPr>
      </w:pPr>
      <w:proofErr w:type="spellStart"/>
      <w:r>
        <w:t>d_model</w:t>
      </w:r>
      <w:proofErr w:type="spellEnd"/>
      <w:r>
        <w:t xml:space="preserve"> </w:t>
      </w:r>
      <m:oMath>
        <m:r>
          <w:rPr>
            <w:rFonts w:ascii="Cambria Math" w:hAnsi="Cambria Math"/>
          </w:rPr>
          <m:t>64→128</m:t>
        </m:r>
      </m:oMath>
    </w:p>
    <w:p w14:paraId="55E42926" w14:textId="16A51D9A" w:rsidR="007F7436" w:rsidRPr="007F7436" w:rsidRDefault="007F7436">
      <w:pPr>
        <w:pStyle w:val="ListParagraph"/>
        <w:numPr>
          <w:ilvl w:val="0"/>
          <w:numId w:val="31"/>
        </w:numPr>
      </w:pPr>
      <w:proofErr w:type="spellStart"/>
      <w:r>
        <w:t>n_heads</w:t>
      </w:r>
      <w:proofErr w:type="spellEnd"/>
      <w:r>
        <w:t xml:space="preserve"> </w:t>
      </w:r>
      <m:oMath>
        <m:r>
          <w:rPr>
            <w:rFonts w:ascii="Cambria Math" w:hAnsi="Cambria Math"/>
          </w:rPr>
          <m:t>4→8</m:t>
        </m:r>
      </m:oMath>
    </w:p>
    <w:p w14:paraId="16C47BA5" w14:textId="233E71D5" w:rsidR="007F7436" w:rsidRPr="007F7436" w:rsidRDefault="007F7436">
      <w:pPr>
        <w:pStyle w:val="ListParagraph"/>
        <w:numPr>
          <w:ilvl w:val="0"/>
          <w:numId w:val="31"/>
        </w:numPr>
      </w:pPr>
      <w:proofErr w:type="spellStart"/>
      <w:r>
        <w:t>e_layers</w:t>
      </w:r>
      <w:proofErr w:type="spellEnd"/>
      <w:r>
        <w:t xml:space="preserve"> </w:t>
      </w:r>
      <m:oMath>
        <m:r>
          <w:rPr>
            <w:rFonts w:ascii="Cambria Math" w:hAnsi="Cambria Math"/>
          </w:rPr>
          <m:t>2→3</m:t>
        </m:r>
      </m:oMath>
    </w:p>
    <w:p w14:paraId="30084E30" w14:textId="1364C498" w:rsidR="007F7436" w:rsidRPr="007F7436" w:rsidRDefault="007F7436">
      <w:pPr>
        <w:pStyle w:val="ListParagraph"/>
        <w:numPr>
          <w:ilvl w:val="0"/>
          <w:numId w:val="31"/>
        </w:numPr>
      </w:pPr>
      <w:proofErr w:type="spellStart"/>
      <w:r>
        <w:t>d_ff</w:t>
      </w:r>
      <w:proofErr w:type="spellEnd"/>
      <w:r>
        <w:t xml:space="preserve"> </w:t>
      </w:r>
      <m:oMath>
        <m:r>
          <w:rPr>
            <w:rFonts w:ascii="Cambria Math" w:hAnsi="Cambria Math"/>
          </w:rPr>
          <m:t>128→256</m:t>
        </m:r>
      </m:oMath>
    </w:p>
    <w:p w14:paraId="166E8F09" w14:textId="596D92E9" w:rsidR="007F7436" w:rsidRPr="007F7436" w:rsidRDefault="007F7436">
      <w:pPr>
        <w:pStyle w:val="ListParagraph"/>
        <w:numPr>
          <w:ilvl w:val="0"/>
          <w:numId w:val="31"/>
        </w:numPr>
      </w:pPr>
      <w:r>
        <w:t xml:space="preserve">dropout </w:t>
      </w:r>
      <m:oMath>
        <m:r>
          <w:rPr>
            <w:rFonts w:ascii="Cambria Math" w:hAnsi="Cambria Math"/>
          </w:rPr>
          <m:t>0.15→0.25</m:t>
        </m:r>
      </m:oMath>
    </w:p>
    <w:p w14:paraId="1B60885C" w14:textId="050BB8D7" w:rsidR="007F7436" w:rsidRPr="007F7436" w:rsidRDefault="007F7436">
      <w:pPr>
        <w:pStyle w:val="ListParagraph"/>
        <w:numPr>
          <w:ilvl w:val="0"/>
          <w:numId w:val="31"/>
        </w:numPr>
      </w:pPr>
      <w:r>
        <w:t>Structure unchanged</w:t>
      </w:r>
    </w:p>
    <w:p w14:paraId="2C2D89AD" w14:textId="6C62B852" w:rsidR="007531F3" w:rsidRDefault="00697B9C" w:rsidP="00271437">
      <w:pPr>
        <w:pStyle w:val="Heading1"/>
        <w:numPr>
          <w:ilvl w:val="2"/>
          <w:numId w:val="3"/>
        </w:numPr>
        <w:spacing w:before="0"/>
        <w:jc w:val="left"/>
        <w:rPr>
          <w:b/>
          <w:bCs/>
          <w:sz w:val="24"/>
          <w:szCs w:val="24"/>
          <w:u w:val="single"/>
        </w:rPr>
      </w:pPr>
      <w:r>
        <w:rPr>
          <w:b/>
          <w:bCs/>
          <w:sz w:val="24"/>
          <w:szCs w:val="24"/>
          <w:u w:val="single"/>
        </w:rPr>
        <w:t>Informer</w:t>
      </w:r>
    </w:p>
    <w:p w14:paraId="78213927" w14:textId="4A159D13" w:rsidR="00AF6726" w:rsidRPr="0027556A" w:rsidRDefault="0027556A" w:rsidP="007B34C2">
      <w:pPr>
        <w:ind w:firstLine="720"/>
      </w:pPr>
      <w:r>
        <w:t xml:space="preserve">Uses AMP (fp16 + </w:t>
      </w:r>
      <w:proofErr w:type="spellStart"/>
      <w:r>
        <w:t>GradScaler</w:t>
      </w:r>
      <w:proofErr w:type="spellEnd"/>
      <w:r>
        <w:t xml:space="preserve">). At </w:t>
      </w:r>
      <m:oMath>
        <m:sSub>
          <m:sSubPr>
            <m:ctrlPr>
              <w:rPr>
                <w:rFonts w:ascii="Cambria Math" w:hAnsi="Cambria Math"/>
              </w:rPr>
            </m:ctrlPr>
          </m:sSubPr>
          <m:e>
            <m:r>
              <w:rPr>
                <w:rFonts w:ascii="Cambria Math" w:hAnsi="Cambria Math"/>
              </w:rPr>
              <m:t>T</m:t>
            </m:r>
          </m:e>
          <m:sub>
            <m:r>
              <w:rPr>
                <w:rFonts w:ascii="Cambria Math" w:hAnsi="Cambria Math"/>
              </w:rPr>
              <m:t>in</m:t>
            </m:r>
          </m:sub>
        </m:sSub>
      </m:oMath>
      <w:r>
        <w:t xml:space="preserve"> = 14, the single distilling step halves the encoder sequence to length 7, and </w:t>
      </w:r>
      <w:proofErr w:type="spellStart"/>
      <w:r>
        <w:t>ProbSparse</w:t>
      </w:r>
      <w:proofErr w:type="spellEnd"/>
      <w:r>
        <w:t xml:space="preserve"> selects approximately 13 of 14 queries (near-full attention).</w:t>
      </w:r>
    </w:p>
    <w:p w14:paraId="14AF9419" w14:textId="3D1CB307" w:rsidR="0027556A" w:rsidRDefault="00781668" w:rsidP="00AF6726">
      <w:r w:rsidRPr="00781668">
        <w:drawing>
          <wp:inline distT="0" distB="0" distL="0" distR="0" wp14:anchorId="110CEEF5" wp14:editId="488A13D4">
            <wp:extent cx="5731510" cy="1011555"/>
            <wp:effectExtent l="19050" t="19050" r="21590" b="17145"/>
            <wp:docPr id="125958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86086" name=""/>
                    <pic:cNvPicPr/>
                  </pic:nvPicPr>
                  <pic:blipFill>
                    <a:blip r:embed="rId46"/>
                    <a:stretch>
                      <a:fillRect/>
                    </a:stretch>
                  </pic:blipFill>
                  <pic:spPr>
                    <a:xfrm>
                      <a:off x="0" y="0"/>
                      <a:ext cx="5731510" cy="1011555"/>
                    </a:xfrm>
                    <a:prstGeom prst="rect">
                      <a:avLst/>
                    </a:prstGeom>
                    <a:ln>
                      <a:solidFill>
                        <a:schemeClr val="tx1"/>
                      </a:solidFill>
                    </a:ln>
                  </pic:spPr>
                </pic:pic>
              </a:graphicData>
            </a:graphic>
          </wp:inline>
        </w:drawing>
      </w:r>
    </w:p>
    <w:p w14:paraId="137A2C2D" w14:textId="0DEAE58D" w:rsidR="00E97F49" w:rsidRDefault="00E97F49" w:rsidP="00AF6726">
      <w:r>
        <w:t>Hyperparameter changes for tuned variant:</w:t>
      </w:r>
    </w:p>
    <w:p w14:paraId="32091770" w14:textId="7F076A47" w:rsidR="00E97F49" w:rsidRPr="006D631A" w:rsidRDefault="006D631A">
      <w:pPr>
        <w:pStyle w:val="ListParagraph"/>
        <w:numPr>
          <w:ilvl w:val="0"/>
          <w:numId w:val="32"/>
        </w:numPr>
      </w:pPr>
      <w:proofErr w:type="spellStart"/>
      <w:r>
        <w:t>d_model</w:t>
      </w:r>
      <w:proofErr w:type="spellEnd"/>
      <w:r>
        <w:t xml:space="preserve"> </w:t>
      </w:r>
      <m:oMath>
        <m:r>
          <w:rPr>
            <w:rFonts w:ascii="Cambria Math" w:hAnsi="Cambria Math"/>
          </w:rPr>
          <m:t>64→256</m:t>
        </m:r>
      </m:oMath>
    </w:p>
    <w:p w14:paraId="3E57D8AE" w14:textId="7A467D87" w:rsidR="006D631A" w:rsidRPr="006D631A" w:rsidRDefault="006D631A">
      <w:pPr>
        <w:pStyle w:val="ListParagraph"/>
        <w:numPr>
          <w:ilvl w:val="0"/>
          <w:numId w:val="32"/>
        </w:numPr>
      </w:pPr>
      <w:proofErr w:type="spellStart"/>
      <w:r>
        <w:t>n_heads</w:t>
      </w:r>
      <w:proofErr w:type="spellEnd"/>
      <w:r>
        <w:t xml:space="preserve"> </w:t>
      </w:r>
      <m:oMath>
        <m:r>
          <w:rPr>
            <w:rFonts w:ascii="Cambria Math" w:hAnsi="Cambria Math"/>
          </w:rPr>
          <m:t>4→16</m:t>
        </m:r>
      </m:oMath>
    </w:p>
    <w:p w14:paraId="351884CA" w14:textId="5C226E22" w:rsidR="006D631A" w:rsidRPr="006D631A" w:rsidRDefault="006D631A">
      <w:pPr>
        <w:pStyle w:val="ListParagraph"/>
        <w:numPr>
          <w:ilvl w:val="0"/>
          <w:numId w:val="32"/>
        </w:numPr>
      </w:pPr>
      <w:proofErr w:type="spellStart"/>
      <w:r>
        <w:t>e_layers</w:t>
      </w:r>
      <w:proofErr w:type="spellEnd"/>
      <w:r>
        <w:t xml:space="preserve"> </w:t>
      </w:r>
      <m:oMath>
        <m:r>
          <w:rPr>
            <w:rFonts w:ascii="Cambria Math" w:hAnsi="Cambria Math"/>
          </w:rPr>
          <m:t>2→3</m:t>
        </m:r>
      </m:oMath>
    </w:p>
    <w:p w14:paraId="726107D4" w14:textId="1395BFF4" w:rsidR="006D631A" w:rsidRPr="006D631A" w:rsidRDefault="006D631A">
      <w:pPr>
        <w:pStyle w:val="ListParagraph"/>
        <w:numPr>
          <w:ilvl w:val="0"/>
          <w:numId w:val="32"/>
        </w:numPr>
      </w:pPr>
      <w:proofErr w:type="spellStart"/>
      <w:r>
        <w:t>d_ff</w:t>
      </w:r>
      <w:proofErr w:type="spellEnd"/>
      <w:r>
        <w:t xml:space="preserve"> </w:t>
      </w:r>
      <m:oMath>
        <m:r>
          <w:rPr>
            <w:rFonts w:ascii="Cambria Math" w:hAnsi="Cambria Math"/>
          </w:rPr>
          <m:t>128→512</m:t>
        </m:r>
      </m:oMath>
    </w:p>
    <w:p w14:paraId="3DCA02DF" w14:textId="6F223C2C" w:rsidR="006D631A" w:rsidRDefault="006D631A">
      <w:pPr>
        <w:pStyle w:val="ListParagraph"/>
        <w:numPr>
          <w:ilvl w:val="0"/>
          <w:numId w:val="32"/>
        </w:numPr>
      </w:pPr>
      <w:r>
        <w:lastRenderedPageBreak/>
        <w:t>Dropout unchanged</w:t>
      </w:r>
    </w:p>
    <w:p w14:paraId="267F10B8" w14:textId="1CF639F2" w:rsidR="006D631A" w:rsidRPr="006D631A" w:rsidRDefault="006D631A">
      <w:pPr>
        <w:pStyle w:val="ListParagraph"/>
        <w:numPr>
          <w:ilvl w:val="0"/>
          <w:numId w:val="32"/>
        </w:numPr>
      </w:pPr>
      <w:r>
        <w:t>Structure unchanged</w:t>
      </w:r>
    </w:p>
    <w:p w14:paraId="0005E160" w14:textId="2B695E50" w:rsidR="0044045A" w:rsidRDefault="007531F3" w:rsidP="00271437">
      <w:pPr>
        <w:pStyle w:val="Heading1"/>
        <w:numPr>
          <w:ilvl w:val="1"/>
          <w:numId w:val="3"/>
        </w:numPr>
        <w:spacing w:before="0"/>
        <w:jc w:val="left"/>
        <w:rPr>
          <w:b/>
          <w:bCs/>
          <w:sz w:val="24"/>
          <w:szCs w:val="24"/>
          <w:u w:val="single"/>
        </w:rPr>
      </w:pPr>
      <w:r>
        <w:rPr>
          <w:b/>
          <w:bCs/>
          <w:sz w:val="24"/>
          <w:szCs w:val="24"/>
          <w:u w:val="single"/>
        </w:rPr>
        <w:t>HMT-TSF Training Configurations</w:t>
      </w:r>
    </w:p>
    <w:p w14:paraId="7B155739" w14:textId="6E69C86F" w:rsidR="001057F9" w:rsidRDefault="001057F9">
      <w:pPr>
        <w:pStyle w:val="ListParagraph"/>
        <w:numPr>
          <w:ilvl w:val="0"/>
          <w:numId w:val="33"/>
        </w:numPr>
      </w:pPr>
      <w:r>
        <w:t>Epochs: 150</w:t>
      </w:r>
    </w:p>
    <w:p w14:paraId="5A6528DC" w14:textId="569BA131" w:rsidR="001057F9" w:rsidRDefault="001057F9">
      <w:pPr>
        <w:pStyle w:val="ListParagraph"/>
        <w:numPr>
          <w:ilvl w:val="0"/>
          <w:numId w:val="33"/>
        </w:numPr>
      </w:pPr>
      <w:r>
        <w:t>Batch size: 32</w:t>
      </w:r>
    </w:p>
    <w:p w14:paraId="5E54794D" w14:textId="2FBCDEA7" w:rsidR="001057F9" w:rsidRDefault="001057F9">
      <w:pPr>
        <w:pStyle w:val="ListParagraph"/>
        <w:numPr>
          <w:ilvl w:val="0"/>
          <w:numId w:val="33"/>
        </w:numPr>
      </w:pPr>
      <w:r>
        <w:t xml:space="preserve">Optimiser: </w:t>
      </w:r>
      <w:proofErr w:type="spellStart"/>
      <w:r>
        <w:t>AdamW</w:t>
      </w:r>
      <w:proofErr w:type="spellEnd"/>
      <w:r>
        <w:t xml:space="preserve"> (</w:t>
      </w:r>
      <w:proofErr w:type="spellStart"/>
      <w:r>
        <w:t>lr</w:t>
      </w:r>
      <w:proofErr w:type="spellEnd"/>
      <w:r>
        <w:t xml:space="preserve"> = 1e-3, </w:t>
      </w:r>
      <w:proofErr w:type="spellStart"/>
      <w:r>
        <w:t>weight_decay</w:t>
      </w:r>
      <w:proofErr w:type="spellEnd"/>
      <w:r>
        <w:t xml:space="preserve"> = 1e-3)</w:t>
      </w:r>
    </w:p>
    <w:p w14:paraId="205688D0" w14:textId="39BCDC7B" w:rsidR="001057F9" w:rsidRPr="001057F9" w:rsidRDefault="001057F9">
      <w:pPr>
        <w:pStyle w:val="ListParagraph"/>
        <w:numPr>
          <w:ilvl w:val="0"/>
          <w:numId w:val="33"/>
        </w:numPr>
      </w:pPr>
      <w:r>
        <w:t xml:space="preserve">LR schedule: Linear warmup (8 ep) </w:t>
      </w:r>
      <m:oMath>
        <m:r>
          <w:rPr>
            <w:rFonts w:ascii="Cambria Math" w:hAnsi="Cambria Math"/>
          </w:rPr>
          <m:t>→</m:t>
        </m:r>
      </m:oMath>
      <w:r>
        <w:t xml:space="preserve"> </w:t>
      </w:r>
      <w:proofErr w:type="spellStart"/>
      <w:r>
        <w:t>ReduceLROnPlateau</w:t>
      </w:r>
      <w:proofErr w:type="spellEnd"/>
      <w:r>
        <w:t xml:space="preserve"> (factor = 0.5, patience = 8)</w:t>
      </w:r>
    </w:p>
    <w:p w14:paraId="09E6F628" w14:textId="6C9E320C" w:rsidR="001057F9" w:rsidRDefault="001057F9">
      <w:pPr>
        <w:pStyle w:val="ListParagraph"/>
        <w:numPr>
          <w:ilvl w:val="0"/>
          <w:numId w:val="33"/>
        </w:numPr>
      </w:pPr>
      <w:r>
        <w:t xml:space="preserve">Gradient clip: </w:t>
      </w:r>
      <w:proofErr w:type="spellStart"/>
      <w:r>
        <w:t>max_norm</w:t>
      </w:r>
      <w:proofErr w:type="spellEnd"/>
      <w:r>
        <w:t xml:space="preserve"> = 1.0</w:t>
      </w:r>
    </w:p>
    <w:p w14:paraId="709DA601" w14:textId="0F05474E" w:rsidR="001057F9" w:rsidRDefault="001057F9">
      <w:pPr>
        <w:pStyle w:val="ListParagraph"/>
        <w:numPr>
          <w:ilvl w:val="0"/>
          <w:numId w:val="33"/>
        </w:numPr>
      </w:pPr>
      <w:r>
        <w:t xml:space="preserve">Early stopping: patience = 20 (raw </w:t>
      </w:r>
      <w:proofErr w:type="spellStart"/>
      <w:r>
        <w:t>val</w:t>
      </w:r>
      <w:proofErr w:type="spellEnd"/>
      <w:r>
        <w:t xml:space="preserve"> loss)</w:t>
      </w:r>
    </w:p>
    <w:p w14:paraId="3E35119C" w14:textId="459D73A9" w:rsidR="001057F9" w:rsidRDefault="001057F9">
      <w:pPr>
        <w:pStyle w:val="ListParagraph"/>
        <w:numPr>
          <w:ilvl w:val="0"/>
          <w:numId w:val="33"/>
        </w:numPr>
      </w:pPr>
      <w:r>
        <w:t>Mixed precision: AMP fp16 on CUDA (</w:t>
      </w:r>
      <w:proofErr w:type="spellStart"/>
      <w:r>
        <w:t>GradScaler</w:t>
      </w:r>
      <w:proofErr w:type="spellEnd"/>
      <w:r>
        <w:t>)</w:t>
      </w:r>
    </w:p>
    <w:p w14:paraId="55621C64" w14:textId="30F0F26C" w:rsidR="001057F9" w:rsidRDefault="001057F9">
      <w:pPr>
        <w:pStyle w:val="ListParagraph"/>
        <w:numPr>
          <w:ilvl w:val="0"/>
          <w:numId w:val="33"/>
        </w:numPr>
      </w:pPr>
      <w:r>
        <w:t xml:space="preserve">Loss: </w:t>
      </w:r>
      <w:proofErr w:type="spellStart"/>
      <w:r>
        <w:t>WeightedHuber</w:t>
      </w:r>
      <w:proofErr w:type="spellEnd"/>
      <w:r w:rsidR="00A4738A">
        <w:t xml:space="preserve"> (</w:t>
      </w:r>
      <w:proofErr w:type="spellStart"/>
      <w:r w:rsidR="00A4738A">
        <w:t>loss_decay</w:t>
      </w:r>
      <w:proofErr w:type="spellEnd"/>
      <w:r w:rsidR="00A4738A">
        <w:t xml:space="preserve"> = 0.9)</w:t>
      </w:r>
      <w:r>
        <w:t xml:space="preserve"> + </w:t>
      </w:r>
      <w:proofErr w:type="spellStart"/>
      <w:r>
        <w:t>TemporalSmoothness</w:t>
      </w:r>
      <w:proofErr w:type="spellEnd"/>
      <w:r w:rsidR="00A4738A">
        <w:t xml:space="preserve"> (</w:t>
      </w:r>
      <w:proofErr w:type="spellStart"/>
      <w:r w:rsidR="00A4738A">
        <w:t>smooth_weight</w:t>
      </w:r>
      <w:proofErr w:type="spellEnd"/>
      <w:r w:rsidR="00A4738A">
        <w:t xml:space="preserve"> = 0.01)</w:t>
      </w:r>
    </w:p>
    <w:p w14:paraId="1B32E3D8" w14:textId="283E811E" w:rsidR="00B219AE" w:rsidRDefault="001057F9">
      <w:pPr>
        <w:pStyle w:val="ListParagraph"/>
        <w:numPr>
          <w:ilvl w:val="0"/>
          <w:numId w:val="33"/>
        </w:numPr>
      </w:pPr>
      <w:r>
        <w:t>Input noise: Gaussian noise std = 0.02 added to training inputs (data augmentation</w:t>
      </w:r>
      <w:r w:rsidR="00B219AE">
        <w:t>)</w:t>
      </w:r>
    </w:p>
    <w:p w14:paraId="7EA8BE6B" w14:textId="276F446A" w:rsidR="00B219AE" w:rsidRDefault="00B219AE">
      <w:pPr>
        <w:pStyle w:val="ListParagraph"/>
        <w:numPr>
          <w:ilvl w:val="0"/>
          <w:numId w:val="33"/>
        </w:numPr>
      </w:pPr>
      <w:proofErr w:type="spellStart"/>
      <w:r>
        <w:t>d_model</w:t>
      </w:r>
      <w:proofErr w:type="spellEnd"/>
      <w:r>
        <w:t>: 64</w:t>
      </w:r>
    </w:p>
    <w:p w14:paraId="0E95C86E" w14:textId="46355F78" w:rsidR="00B219AE" w:rsidRDefault="00B219AE">
      <w:pPr>
        <w:pStyle w:val="ListParagraph"/>
        <w:numPr>
          <w:ilvl w:val="0"/>
          <w:numId w:val="33"/>
        </w:numPr>
      </w:pPr>
      <w:proofErr w:type="spellStart"/>
      <w:r>
        <w:t>n_tcn_blocks</w:t>
      </w:r>
      <w:proofErr w:type="spellEnd"/>
      <w:r>
        <w:t>: 3</w:t>
      </w:r>
    </w:p>
    <w:p w14:paraId="6E2ACC53" w14:textId="045D2581" w:rsidR="00B219AE" w:rsidRDefault="00B219AE">
      <w:pPr>
        <w:pStyle w:val="ListParagraph"/>
        <w:numPr>
          <w:ilvl w:val="0"/>
          <w:numId w:val="33"/>
        </w:numPr>
      </w:pPr>
      <w:proofErr w:type="spellStart"/>
      <w:r>
        <w:t>tcn_kernel</w:t>
      </w:r>
      <w:proofErr w:type="spellEnd"/>
      <w:r>
        <w:t>: 3</w:t>
      </w:r>
    </w:p>
    <w:p w14:paraId="04F23E2D" w14:textId="7689AAC5" w:rsidR="00B219AE" w:rsidRDefault="00B219AE">
      <w:pPr>
        <w:pStyle w:val="ListParagraph"/>
        <w:numPr>
          <w:ilvl w:val="0"/>
          <w:numId w:val="33"/>
        </w:numPr>
      </w:pPr>
      <w:proofErr w:type="spellStart"/>
      <w:r>
        <w:t>graph_hidden</w:t>
      </w:r>
      <w:proofErr w:type="spellEnd"/>
      <w:r>
        <w:t>: 64</w:t>
      </w:r>
    </w:p>
    <w:p w14:paraId="516F3F48" w14:textId="45F194DD" w:rsidR="00B219AE" w:rsidRDefault="00B219AE">
      <w:pPr>
        <w:pStyle w:val="ListParagraph"/>
        <w:numPr>
          <w:ilvl w:val="0"/>
          <w:numId w:val="33"/>
        </w:numPr>
      </w:pPr>
      <w:proofErr w:type="spellStart"/>
      <w:r>
        <w:t>n_regimes</w:t>
      </w:r>
      <w:proofErr w:type="spellEnd"/>
      <w:r>
        <w:t>: 3</w:t>
      </w:r>
    </w:p>
    <w:p w14:paraId="7D1E9976" w14:textId="1A3140FB" w:rsidR="00B219AE" w:rsidRDefault="00B219AE">
      <w:pPr>
        <w:pStyle w:val="ListParagraph"/>
        <w:numPr>
          <w:ilvl w:val="0"/>
          <w:numId w:val="33"/>
        </w:numPr>
      </w:pPr>
      <w:proofErr w:type="spellStart"/>
      <w:r>
        <w:t>n_attn_heads</w:t>
      </w:r>
      <w:proofErr w:type="spellEnd"/>
      <w:r>
        <w:t>: 4</w:t>
      </w:r>
    </w:p>
    <w:p w14:paraId="2294456C" w14:textId="2ADD76E1" w:rsidR="00B219AE" w:rsidRDefault="00B219AE">
      <w:pPr>
        <w:pStyle w:val="ListParagraph"/>
        <w:numPr>
          <w:ilvl w:val="0"/>
          <w:numId w:val="33"/>
        </w:numPr>
      </w:pPr>
      <w:proofErr w:type="spellStart"/>
      <w:r>
        <w:t>adj_threshold</w:t>
      </w:r>
      <w:proofErr w:type="spellEnd"/>
      <w:r>
        <w:t>: 0.1</w:t>
      </w:r>
    </w:p>
    <w:p w14:paraId="1251E375" w14:textId="035C3E32" w:rsidR="00B219AE" w:rsidRDefault="00B219AE">
      <w:pPr>
        <w:pStyle w:val="ListParagraph"/>
        <w:numPr>
          <w:ilvl w:val="0"/>
          <w:numId w:val="33"/>
        </w:numPr>
      </w:pPr>
      <w:proofErr w:type="spellStart"/>
      <w:r>
        <w:t>drop_path</w:t>
      </w:r>
      <w:proofErr w:type="spellEnd"/>
      <w:r>
        <w:t>: 0.2</w:t>
      </w:r>
    </w:p>
    <w:p w14:paraId="3097FD5B" w14:textId="17836572" w:rsidR="00A96663" w:rsidRDefault="00B219AE">
      <w:pPr>
        <w:pStyle w:val="ListParagraph"/>
        <w:numPr>
          <w:ilvl w:val="0"/>
          <w:numId w:val="33"/>
        </w:numPr>
      </w:pPr>
      <w:r>
        <w:t>dropout: 0.1</w:t>
      </w:r>
    </w:p>
    <w:p w14:paraId="543F9941" w14:textId="61AC554F" w:rsidR="00C85006" w:rsidRDefault="00C85006">
      <w:pPr>
        <w:pStyle w:val="ListParagraph"/>
        <w:numPr>
          <w:ilvl w:val="0"/>
          <w:numId w:val="33"/>
        </w:numPr>
      </w:pPr>
      <w:r>
        <w:t xml:space="preserve">Optional residual boosting: </w:t>
      </w:r>
      <w:proofErr w:type="spellStart"/>
      <w:r>
        <w:t>CatBoost</w:t>
      </w:r>
      <w:proofErr w:type="spellEnd"/>
      <w:r>
        <w:t xml:space="preserve"> or </w:t>
      </w:r>
      <w:proofErr w:type="spellStart"/>
      <w:r>
        <w:t>sklearn</w:t>
      </w:r>
      <w:proofErr w:type="spellEnd"/>
      <w:r>
        <w:t xml:space="preserve"> MLP on train-set residuals; applied at 0.5x weight only if it improves Combined%</w:t>
      </w:r>
    </w:p>
    <w:p w14:paraId="756E341A" w14:textId="35C6C315" w:rsidR="00C85006" w:rsidRPr="001057F9" w:rsidRDefault="00C85006">
      <w:pPr>
        <w:pStyle w:val="ListParagraph"/>
        <w:numPr>
          <w:ilvl w:val="0"/>
          <w:numId w:val="33"/>
        </w:numPr>
      </w:pPr>
      <w:r>
        <w:t xml:space="preserve">Walk-forward </w:t>
      </w:r>
      <w:r w:rsidR="006239B9">
        <w:t>e</w:t>
      </w:r>
      <w:r>
        <w:t>valuation: test set split into 3 equal blocks; per-block Combined% and R</w:t>
      </w:r>
      <w:r>
        <w:rPr>
          <w:vertAlign w:val="superscript"/>
        </w:rPr>
        <w:t>2</w:t>
      </w:r>
      <w:r>
        <w:t xml:space="preserve"> reported.</w:t>
      </w:r>
    </w:p>
    <w:sectPr w:rsidR="00C85006" w:rsidRPr="001057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5CE7A" w14:textId="77777777" w:rsidR="00530868" w:rsidRDefault="00530868" w:rsidP="00BA296D">
      <w:pPr>
        <w:spacing w:after="0" w:line="240" w:lineRule="auto"/>
      </w:pPr>
      <w:r>
        <w:separator/>
      </w:r>
    </w:p>
  </w:endnote>
  <w:endnote w:type="continuationSeparator" w:id="0">
    <w:p w14:paraId="7F282057" w14:textId="77777777" w:rsidR="00530868" w:rsidRDefault="00530868"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F70B3" w14:textId="77777777" w:rsidR="00530868" w:rsidRDefault="00530868" w:rsidP="00BA296D">
      <w:pPr>
        <w:spacing w:after="0" w:line="240" w:lineRule="auto"/>
      </w:pPr>
      <w:r>
        <w:separator/>
      </w:r>
    </w:p>
  </w:footnote>
  <w:footnote w:type="continuationSeparator" w:id="0">
    <w:p w14:paraId="62F473B9" w14:textId="77777777" w:rsidR="00530868" w:rsidRDefault="00530868"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304"/>
    <w:multiLevelType w:val="hybridMultilevel"/>
    <w:tmpl w:val="AA249E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2C1414"/>
    <w:multiLevelType w:val="hybridMultilevel"/>
    <w:tmpl w:val="E0C6A24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F7C2BDE"/>
    <w:multiLevelType w:val="hybridMultilevel"/>
    <w:tmpl w:val="2F06436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0DD1FA2"/>
    <w:multiLevelType w:val="hybridMultilevel"/>
    <w:tmpl w:val="7D28CBC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EB130DD"/>
    <w:multiLevelType w:val="hybridMultilevel"/>
    <w:tmpl w:val="D66C9FC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233B57A4"/>
    <w:multiLevelType w:val="hybridMultilevel"/>
    <w:tmpl w:val="8492521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32981C72"/>
    <w:multiLevelType w:val="hybridMultilevel"/>
    <w:tmpl w:val="D24AE91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34416275"/>
    <w:multiLevelType w:val="hybridMultilevel"/>
    <w:tmpl w:val="D232566A"/>
    <w:lvl w:ilvl="0" w:tplc="44090005">
      <w:start w:val="1"/>
      <w:numFmt w:val="bullet"/>
      <w:lvlText w:val=""/>
      <w:lvlJc w:val="left"/>
      <w:pPr>
        <w:ind w:left="1080" w:hanging="360"/>
      </w:pPr>
      <w:rPr>
        <w:rFonts w:ascii="Wingdings" w:hAnsi="Wingdings"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0" w15:restartNumberingAfterBreak="0">
    <w:nsid w:val="35036C93"/>
    <w:multiLevelType w:val="hybridMultilevel"/>
    <w:tmpl w:val="200CEFC6"/>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1" w15:restartNumberingAfterBreak="0">
    <w:nsid w:val="37950093"/>
    <w:multiLevelType w:val="hybridMultilevel"/>
    <w:tmpl w:val="8B6E9C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3AA17091"/>
    <w:multiLevelType w:val="hybridMultilevel"/>
    <w:tmpl w:val="86D4194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3B585AAD"/>
    <w:multiLevelType w:val="hybridMultilevel"/>
    <w:tmpl w:val="D2D82D8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3C0D0005"/>
    <w:multiLevelType w:val="hybridMultilevel"/>
    <w:tmpl w:val="C26E776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452900AD"/>
    <w:multiLevelType w:val="hybridMultilevel"/>
    <w:tmpl w:val="2D3CB45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5E65B0C"/>
    <w:multiLevelType w:val="hybridMultilevel"/>
    <w:tmpl w:val="3D8EF7D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48A35C4C"/>
    <w:multiLevelType w:val="hybridMultilevel"/>
    <w:tmpl w:val="0D56FD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0CA1F95"/>
    <w:multiLevelType w:val="hybridMultilevel"/>
    <w:tmpl w:val="B482825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9" w15:restartNumberingAfterBreak="0">
    <w:nsid w:val="52554FBF"/>
    <w:multiLevelType w:val="hybridMultilevel"/>
    <w:tmpl w:val="1FAED85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0" w15:restartNumberingAfterBreak="0">
    <w:nsid w:val="54A628BB"/>
    <w:multiLevelType w:val="hybridMultilevel"/>
    <w:tmpl w:val="9D52E3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1" w15:restartNumberingAfterBreak="0">
    <w:nsid w:val="56D03DFA"/>
    <w:multiLevelType w:val="hybridMultilevel"/>
    <w:tmpl w:val="A24236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2" w15:restartNumberingAfterBreak="0">
    <w:nsid w:val="57133148"/>
    <w:multiLevelType w:val="hybridMultilevel"/>
    <w:tmpl w:val="9F108E9A"/>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A1B7E36"/>
    <w:multiLevelType w:val="hybridMultilevel"/>
    <w:tmpl w:val="7B54D51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6" w15:restartNumberingAfterBreak="0">
    <w:nsid w:val="62064503"/>
    <w:multiLevelType w:val="hybridMultilevel"/>
    <w:tmpl w:val="8DB02B88"/>
    <w:lvl w:ilvl="0" w:tplc="44090005">
      <w:start w:val="1"/>
      <w:numFmt w:val="bullet"/>
      <w:lvlText w:val=""/>
      <w:lvlJc w:val="left"/>
      <w:pPr>
        <w:ind w:left="1080" w:hanging="360"/>
      </w:pPr>
      <w:rPr>
        <w:rFonts w:ascii="Wingdings" w:hAnsi="Wingdings"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7" w15:restartNumberingAfterBreak="0">
    <w:nsid w:val="64887D19"/>
    <w:multiLevelType w:val="hybridMultilevel"/>
    <w:tmpl w:val="180C0030"/>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676677B2"/>
    <w:multiLevelType w:val="hybridMultilevel"/>
    <w:tmpl w:val="6C9ABDA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6D841DB6"/>
    <w:multiLevelType w:val="hybridMultilevel"/>
    <w:tmpl w:val="0F7E97D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0" w15:restartNumberingAfterBreak="0">
    <w:nsid w:val="6DF05501"/>
    <w:multiLevelType w:val="hybridMultilevel"/>
    <w:tmpl w:val="1E0067B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1" w15:restartNumberingAfterBreak="0">
    <w:nsid w:val="789A6E7E"/>
    <w:multiLevelType w:val="hybridMultilevel"/>
    <w:tmpl w:val="4792FEA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2" w15:restartNumberingAfterBreak="0">
    <w:nsid w:val="78FF211B"/>
    <w:multiLevelType w:val="hybridMultilevel"/>
    <w:tmpl w:val="A1C6C02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3" w15:restartNumberingAfterBreak="0">
    <w:nsid w:val="79A57ADD"/>
    <w:multiLevelType w:val="hybridMultilevel"/>
    <w:tmpl w:val="738422D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4" w15:restartNumberingAfterBreak="0">
    <w:nsid w:val="7A0F70BE"/>
    <w:multiLevelType w:val="hybridMultilevel"/>
    <w:tmpl w:val="E77CFF74"/>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5" w15:restartNumberingAfterBreak="0">
    <w:nsid w:val="7C6E4BF9"/>
    <w:multiLevelType w:val="hybridMultilevel"/>
    <w:tmpl w:val="9AF2D5C2"/>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6" w15:restartNumberingAfterBreak="0">
    <w:nsid w:val="7DC94919"/>
    <w:multiLevelType w:val="hybridMultilevel"/>
    <w:tmpl w:val="0164C25C"/>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22532857">
    <w:abstractNumId w:val="6"/>
  </w:num>
  <w:num w:numId="2" w16cid:durableId="1890915732">
    <w:abstractNumId w:val="23"/>
  </w:num>
  <w:num w:numId="3" w16cid:durableId="495653598">
    <w:abstractNumId w:val="1"/>
  </w:num>
  <w:num w:numId="4" w16cid:durableId="1301305275">
    <w:abstractNumId w:val="24"/>
  </w:num>
  <w:num w:numId="5" w16cid:durableId="599067786">
    <w:abstractNumId w:val="14"/>
  </w:num>
  <w:num w:numId="6" w16cid:durableId="1539704320">
    <w:abstractNumId w:val="18"/>
  </w:num>
  <w:num w:numId="7" w16cid:durableId="1536238043">
    <w:abstractNumId w:val="32"/>
  </w:num>
  <w:num w:numId="8" w16cid:durableId="374894432">
    <w:abstractNumId w:val="31"/>
  </w:num>
  <w:num w:numId="9" w16cid:durableId="1580749025">
    <w:abstractNumId w:val="2"/>
  </w:num>
  <w:num w:numId="10" w16cid:durableId="199784214">
    <w:abstractNumId w:val="20"/>
  </w:num>
  <w:num w:numId="11" w16cid:durableId="955872364">
    <w:abstractNumId w:val="10"/>
  </w:num>
  <w:num w:numId="12" w16cid:durableId="967667874">
    <w:abstractNumId w:val="9"/>
  </w:num>
  <w:num w:numId="13" w16cid:durableId="1195656131">
    <w:abstractNumId w:val="26"/>
  </w:num>
  <w:num w:numId="14" w16cid:durableId="53047837">
    <w:abstractNumId w:val="0"/>
  </w:num>
  <w:num w:numId="15" w16cid:durableId="2045011129">
    <w:abstractNumId w:val="22"/>
  </w:num>
  <w:num w:numId="16" w16cid:durableId="1424453698">
    <w:abstractNumId w:val="30"/>
  </w:num>
  <w:num w:numId="17" w16cid:durableId="1912235151">
    <w:abstractNumId w:val="35"/>
  </w:num>
  <w:num w:numId="18" w16cid:durableId="584530969">
    <w:abstractNumId w:val="13"/>
  </w:num>
  <w:num w:numId="19" w16cid:durableId="15079737">
    <w:abstractNumId w:val="16"/>
  </w:num>
  <w:num w:numId="20" w16cid:durableId="1150488366">
    <w:abstractNumId w:val="33"/>
  </w:num>
  <w:num w:numId="21" w16cid:durableId="1627545283">
    <w:abstractNumId w:val="7"/>
  </w:num>
  <w:num w:numId="22" w16cid:durableId="2060590757">
    <w:abstractNumId w:val="17"/>
  </w:num>
  <w:num w:numId="23" w16cid:durableId="692807213">
    <w:abstractNumId w:val="4"/>
  </w:num>
  <w:num w:numId="24" w16cid:durableId="532108342">
    <w:abstractNumId w:val="29"/>
  </w:num>
  <w:num w:numId="25" w16cid:durableId="1190996907">
    <w:abstractNumId w:val="34"/>
  </w:num>
  <w:num w:numId="26" w16cid:durableId="965041596">
    <w:abstractNumId w:val="15"/>
  </w:num>
  <w:num w:numId="27" w16cid:durableId="1549031248">
    <w:abstractNumId w:val="19"/>
  </w:num>
  <w:num w:numId="28" w16cid:durableId="1515264242">
    <w:abstractNumId w:val="11"/>
  </w:num>
  <w:num w:numId="29" w16cid:durableId="16467046">
    <w:abstractNumId w:val="8"/>
  </w:num>
  <w:num w:numId="30" w16cid:durableId="542137983">
    <w:abstractNumId w:val="36"/>
  </w:num>
  <w:num w:numId="31" w16cid:durableId="1351949412">
    <w:abstractNumId w:val="21"/>
  </w:num>
  <w:num w:numId="32" w16cid:durableId="669261611">
    <w:abstractNumId w:val="25"/>
  </w:num>
  <w:num w:numId="33" w16cid:durableId="1114712852">
    <w:abstractNumId w:val="28"/>
  </w:num>
  <w:num w:numId="34" w16cid:durableId="63143117">
    <w:abstractNumId w:val="5"/>
  </w:num>
  <w:num w:numId="35" w16cid:durableId="658922184">
    <w:abstractNumId w:val="27"/>
  </w:num>
  <w:num w:numId="36" w16cid:durableId="640310948">
    <w:abstractNumId w:val="3"/>
  </w:num>
  <w:num w:numId="37" w16cid:durableId="107044664">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2C18"/>
    <w:rsid w:val="000030B4"/>
    <w:rsid w:val="00004E31"/>
    <w:rsid w:val="000068C1"/>
    <w:rsid w:val="00010238"/>
    <w:rsid w:val="00020586"/>
    <w:rsid w:val="00020CC2"/>
    <w:rsid w:val="00022E77"/>
    <w:rsid w:val="00023688"/>
    <w:rsid w:val="00026E59"/>
    <w:rsid w:val="00030C66"/>
    <w:rsid w:val="00033777"/>
    <w:rsid w:val="000358F7"/>
    <w:rsid w:val="00036C95"/>
    <w:rsid w:val="000370F9"/>
    <w:rsid w:val="00040728"/>
    <w:rsid w:val="000427E8"/>
    <w:rsid w:val="00043662"/>
    <w:rsid w:val="000440F9"/>
    <w:rsid w:val="0004507F"/>
    <w:rsid w:val="00046786"/>
    <w:rsid w:val="00050C9A"/>
    <w:rsid w:val="00050D3A"/>
    <w:rsid w:val="00052656"/>
    <w:rsid w:val="000536D6"/>
    <w:rsid w:val="00063F69"/>
    <w:rsid w:val="000648A9"/>
    <w:rsid w:val="00064A77"/>
    <w:rsid w:val="0006628B"/>
    <w:rsid w:val="00067C39"/>
    <w:rsid w:val="00082CFA"/>
    <w:rsid w:val="00083D8D"/>
    <w:rsid w:val="00084778"/>
    <w:rsid w:val="0009106B"/>
    <w:rsid w:val="00091E5D"/>
    <w:rsid w:val="00091FA6"/>
    <w:rsid w:val="00092152"/>
    <w:rsid w:val="00092FF2"/>
    <w:rsid w:val="00093C8C"/>
    <w:rsid w:val="00096B40"/>
    <w:rsid w:val="0009708D"/>
    <w:rsid w:val="000A2C25"/>
    <w:rsid w:val="000A4915"/>
    <w:rsid w:val="000A4A16"/>
    <w:rsid w:val="000A5595"/>
    <w:rsid w:val="000A5810"/>
    <w:rsid w:val="000B16C8"/>
    <w:rsid w:val="000B4575"/>
    <w:rsid w:val="000B5F6C"/>
    <w:rsid w:val="000B7A6C"/>
    <w:rsid w:val="000C0F9A"/>
    <w:rsid w:val="000C32D3"/>
    <w:rsid w:val="000C36A9"/>
    <w:rsid w:val="000C6D06"/>
    <w:rsid w:val="000C7BF7"/>
    <w:rsid w:val="000D229E"/>
    <w:rsid w:val="000E0919"/>
    <w:rsid w:val="000E1B97"/>
    <w:rsid w:val="000E288F"/>
    <w:rsid w:val="000E4719"/>
    <w:rsid w:val="000E4AB0"/>
    <w:rsid w:val="000E6067"/>
    <w:rsid w:val="000F0A91"/>
    <w:rsid w:val="0010066F"/>
    <w:rsid w:val="00103B7C"/>
    <w:rsid w:val="0010507D"/>
    <w:rsid w:val="001057F9"/>
    <w:rsid w:val="001059FE"/>
    <w:rsid w:val="00111A1C"/>
    <w:rsid w:val="00113860"/>
    <w:rsid w:val="001157FA"/>
    <w:rsid w:val="001238C7"/>
    <w:rsid w:val="00123A98"/>
    <w:rsid w:val="0012711B"/>
    <w:rsid w:val="00130C05"/>
    <w:rsid w:val="00132E3D"/>
    <w:rsid w:val="00133523"/>
    <w:rsid w:val="00133A4F"/>
    <w:rsid w:val="00133CC8"/>
    <w:rsid w:val="00140854"/>
    <w:rsid w:val="001419AD"/>
    <w:rsid w:val="00142527"/>
    <w:rsid w:val="001461D2"/>
    <w:rsid w:val="00146812"/>
    <w:rsid w:val="00150D21"/>
    <w:rsid w:val="001535F8"/>
    <w:rsid w:val="00153CA7"/>
    <w:rsid w:val="00154FB2"/>
    <w:rsid w:val="001601DA"/>
    <w:rsid w:val="00160BA6"/>
    <w:rsid w:val="00160ECF"/>
    <w:rsid w:val="0016115B"/>
    <w:rsid w:val="0016122A"/>
    <w:rsid w:val="00162118"/>
    <w:rsid w:val="001652AF"/>
    <w:rsid w:val="00166559"/>
    <w:rsid w:val="00166F01"/>
    <w:rsid w:val="001674E5"/>
    <w:rsid w:val="00171C63"/>
    <w:rsid w:val="001753CA"/>
    <w:rsid w:val="00176800"/>
    <w:rsid w:val="00180AC9"/>
    <w:rsid w:val="00183603"/>
    <w:rsid w:val="00184CC5"/>
    <w:rsid w:val="001865A6"/>
    <w:rsid w:val="00187BD0"/>
    <w:rsid w:val="00190069"/>
    <w:rsid w:val="00191008"/>
    <w:rsid w:val="00196E45"/>
    <w:rsid w:val="00197594"/>
    <w:rsid w:val="001A0213"/>
    <w:rsid w:val="001A0670"/>
    <w:rsid w:val="001A1692"/>
    <w:rsid w:val="001B158A"/>
    <w:rsid w:val="001B19D6"/>
    <w:rsid w:val="001B5BE7"/>
    <w:rsid w:val="001B6A91"/>
    <w:rsid w:val="001B771C"/>
    <w:rsid w:val="001C0EB1"/>
    <w:rsid w:val="001C1A32"/>
    <w:rsid w:val="001C486D"/>
    <w:rsid w:val="001C794D"/>
    <w:rsid w:val="001D0C3B"/>
    <w:rsid w:val="001D0FAA"/>
    <w:rsid w:val="001D34FB"/>
    <w:rsid w:val="001D3CDE"/>
    <w:rsid w:val="001D58A5"/>
    <w:rsid w:val="001E16CA"/>
    <w:rsid w:val="001E2AE1"/>
    <w:rsid w:val="001E32AC"/>
    <w:rsid w:val="001E60BE"/>
    <w:rsid w:val="001F2B29"/>
    <w:rsid w:val="001F35DC"/>
    <w:rsid w:val="001F4212"/>
    <w:rsid w:val="001F700A"/>
    <w:rsid w:val="00200181"/>
    <w:rsid w:val="002008F5"/>
    <w:rsid w:val="00202159"/>
    <w:rsid w:val="002021CF"/>
    <w:rsid w:val="00203E17"/>
    <w:rsid w:val="00205802"/>
    <w:rsid w:val="0020636F"/>
    <w:rsid w:val="00206529"/>
    <w:rsid w:val="00207AC7"/>
    <w:rsid w:val="00210498"/>
    <w:rsid w:val="002109B6"/>
    <w:rsid w:val="00210DC9"/>
    <w:rsid w:val="00214016"/>
    <w:rsid w:val="00216E1B"/>
    <w:rsid w:val="00224FA2"/>
    <w:rsid w:val="002260F7"/>
    <w:rsid w:val="00227B69"/>
    <w:rsid w:val="002311A7"/>
    <w:rsid w:val="002319F5"/>
    <w:rsid w:val="00235D00"/>
    <w:rsid w:val="00241443"/>
    <w:rsid w:val="00242153"/>
    <w:rsid w:val="00245ECD"/>
    <w:rsid w:val="002472C9"/>
    <w:rsid w:val="00247FD7"/>
    <w:rsid w:val="00252A93"/>
    <w:rsid w:val="0025543D"/>
    <w:rsid w:val="002578C1"/>
    <w:rsid w:val="0026078F"/>
    <w:rsid w:val="00261EDE"/>
    <w:rsid w:val="00267FD6"/>
    <w:rsid w:val="002713A6"/>
    <w:rsid w:val="00271437"/>
    <w:rsid w:val="00271C5C"/>
    <w:rsid w:val="00272BD7"/>
    <w:rsid w:val="0027556A"/>
    <w:rsid w:val="00275A97"/>
    <w:rsid w:val="002765AF"/>
    <w:rsid w:val="00276EFF"/>
    <w:rsid w:val="002778AF"/>
    <w:rsid w:val="00280CB0"/>
    <w:rsid w:val="00284698"/>
    <w:rsid w:val="00284999"/>
    <w:rsid w:val="00285767"/>
    <w:rsid w:val="0029205C"/>
    <w:rsid w:val="002940A9"/>
    <w:rsid w:val="002946CB"/>
    <w:rsid w:val="00295B1D"/>
    <w:rsid w:val="00297411"/>
    <w:rsid w:val="002A105B"/>
    <w:rsid w:val="002A15A7"/>
    <w:rsid w:val="002A3A9C"/>
    <w:rsid w:val="002A6AA9"/>
    <w:rsid w:val="002B0B7B"/>
    <w:rsid w:val="002B3084"/>
    <w:rsid w:val="002B684A"/>
    <w:rsid w:val="002C1F8D"/>
    <w:rsid w:val="002C288B"/>
    <w:rsid w:val="002C61C6"/>
    <w:rsid w:val="002C6B6D"/>
    <w:rsid w:val="002D21AA"/>
    <w:rsid w:val="002D40B9"/>
    <w:rsid w:val="002D4B5B"/>
    <w:rsid w:val="002D4BC4"/>
    <w:rsid w:val="002D6EEF"/>
    <w:rsid w:val="002E327E"/>
    <w:rsid w:val="002E7FB3"/>
    <w:rsid w:val="002F2C8F"/>
    <w:rsid w:val="002F3771"/>
    <w:rsid w:val="002F762B"/>
    <w:rsid w:val="00301386"/>
    <w:rsid w:val="0030201A"/>
    <w:rsid w:val="003021E3"/>
    <w:rsid w:val="00305371"/>
    <w:rsid w:val="0030640D"/>
    <w:rsid w:val="003064DD"/>
    <w:rsid w:val="0030745C"/>
    <w:rsid w:val="00312EFA"/>
    <w:rsid w:val="00313854"/>
    <w:rsid w:val="003152FE"/>
    <w:rsid w:val="00320572"/>
    <w:rsid w:val="003210C1"/>
    <w:rsid w:val="0032444B"/>
    <w:rsid w:val="003246B0"/>
    <w:rsid w:val="00327E1B"/>
    <w:rsid w:val="00330086"/>
    <w:rsid w:val="00332BF5"/>
    <w:rsid w:val="00333F0A"/>
    <w:rsid w:val="003351FA"/>
    <w:rsid w:val="00337704"/>
    <w:rsid w:val="00340257"/>
    <w:rsid w:val="00340959"/>
    <w:rsid w:val="003414DC"/>
    <w:rsid w:val="00342F9B"/>
    <w:rsid w:val="003431C4"/>
    <w:rsid w:val="003445FC"/>
    <w:rsid w:val="00347B24"/>
    <w:rsid w:val="00350665"/>
    <w:rsid w:val="00351C88"/>
    <w:rsid w:val="003523F2"/>
    <w:rsid w:val="00355418"/>
    <w:rsid w:val="00355937"/>
    <w:rsid w:val="00355F04"/>
    <w:rsid w:val="003566FA"/>
    <w:rsid w:val="0036124B"/>
    <w:rsid w:val="003721D3"/>
    <w:rsid w:val="00374235"/>
    <w:rsid w:val="003779A9"/>
    <w:rsid w:val="0038003E"/>
    <w:rsid w:val="003813A7"/>
    <w:rsid w:val="00383BD9"/>
    <w:rsid w:val="00385493"/>
    <w:rsid w:val="0038551B"/>
    <w:rsid w:val="003870B4"/>
    <w:rsid w:val="00390074"/>
    <w:rsid w:val="003922CD"/>
    <w:rsid w:val="003926A2"/>
    <w:rsid w:val="003928E9"/>
    <w:rsid w:val="003941D8"/>
    <w:rsid w:val="00394D96"/>
    <w:rsid w:val="003A1331"/>
    <w:rsid w:val="003A13C0"/>
    <w:rsid w:val="003A23C2"/>
    <w:rsid w:val="003A5423"/>
    <w:rsid w:val="003A6D6B"/>
    <w:rsid w:val="003A7275"/>
    <w:rsid w:val="003B1F3F"/>
    <w:rsid w:val="003B411E"/>
    <w:rsid w:val="003B44FD"/>
    <w:rsid w:val="003B5765"/>
    <w:rsid w:val="003B7264"/>
    <w:rsid w:val="003C4422"/>
    <w:rsid w:val="003C4B86"/>
    <w:rsid w:val="003C4CBC"/>
    <w:rsid w:val="003C6328"/>
    <w:rsid w:val="003C7D17"/>
    <w:rsid w:val="003D1A1A"/>
    <w:rsid w:val="003D1A6A"/>
    <w:rsid w:val="003D259C"/>
    <w:rsid w:val="003D2AC6"/>
    <w:rsid w:val="003D3317"/>
    <w:rsid w:val="003D3D0C"/>
    <w:rsid w:val="003D44AE"/>
    <w:rsid w:val="003D7EE4"/>
    <w:rsid w:val="003E0584"/>
    <w:rsid w:val="003E11BE"/>
    <w:rsid w:val="003E2283"/>
    <w:rsid w:val="003E2922"/>
    <w:rsid w:val="003E3D0B"/>
    <w:rsid w:val="003E42CE"/>
    <w:rsid w:val="003E5029"/>
    <w:rsid w:val="003E5B18"/>
    <w:rsid w:val="003E634C"/>
    <w:rsid w:val="003F0974"/>
    <w:rsid w:val="003F303F"/>
    <w:rsid w:val="003F6461"/>
    <w:rsid w:val="0040009C"/>
    <w:rsid w:val="00400727"/>
    <w:rsid w:val="004010AE"/>
    <w:rsid w:val="00401C15"/>
    <w:rsid w:val="00402A51"/>
    <w:rsid w:val="004030F8"/>
    <w:rsid w:val="004038DA"/>
    <w:rsid w:val="004052F0"/>
    <w:rsid w:val="0040672C"/>
    <w:rsid w:val="00417658"/>
    <w:rsid w:val="00422CE4"/>
    <w:rsid w:val="00422D34"/>
    <w:rsid w:val="00427E36"/>
    <w:rsid w:val="00430B04"/>
    <w:rsid w:val="00430DF2"/>
    <w:rsid w:val="004332B3"/>
    <w:rsid w:val="004340FD"/>
    <w:rsid w:val="00434871"/>
    <w:rsid w:val="004376CA"/>
    <w:rsid w:val="0044045A"/>
    <w:rsid w:val="00442BD4"/>
    <w:rsid w:val="00443E31"/>
    <w:rsid w:val="00444489"/>
    <w:rsid w:val="00445F21"/>
    <w:rsid w:val="004503F4"/>
    <w:rsid w:val="004541D3"/>
    <w:rsid w:val="00463D96"/>
    <w:rsid w:val="004642D6"/>
    <w:rsid w:val="004704C4"/>
    <w:rsid w:val="004705F2"/>
    <w:rsid w:val="00472AF8"/>
    <w:rsid w:val="00475CE9"/>
    <w:rsid w:val="00480396"/>
    <w:rsid w:val="004804CF"/>
    <w:rsid w:val="00484921"/>
    <w:rsid w:val="00487ABA"/>
    <w:rsid w:val="00490FB1"/>
    <w:rsid w:val="00491630"/>
    <w:rsid w:val="00491AEC"/>
    <w:rsid w:val="0049317C"/>
    <w:rsid w:val="00495C6B"/>
    <w:rsid w:val="004969B1"/>
    <w:rsid w:val="004A2A64"/>
    <w:rsid w:val="004A5929"/>
    <w:rsid w:val="004A660E"/>
    <w:rsid w:val="004A7EEE"/>
    <w:rsid w:val="004A7F8A"/>
    <w:rsid w:val="004B1027"/>
    <w:rsid w:val="004B1677"/>
    <w:rsid w:val="004B1BCC"/>
    <w:rsid w:val="004B2515"/>
    <w:rsid w:val="004B2B3C"/>
    <w:rsid w:val="004B33AE"/>
    <w:rsid w:val="004B3479"/>
    <w:rsid w:val="004B4D88"/>
    <w:rsid w:val="004C1540"/>
    <w:rsid w:val="004C42FD"/>
    <w:rsid w:val="004C447F"/>
    <w:rsid w:val="004C4A13"/>
    <w:rsid w:val="004C5989"/>
    <w:rsid w:val="004C5ED5"/>
    <w:rsid w:val="004C7CDD"/>
    <w:rsid w:val="004D051D"/>
    <w:rsid w:val="004D3DB3"/>
    <w:rsid w:val="004D4432"/>
    <w:rsid w:val="004D4ED2"/>
    <w:rsid w:val="004D627C"/>
    <w:rsid w:val="004D763D"/>
    <w:rsid w:val="004E20DC"/>
    <w:rsid w:val="004E36E0"/>
    <w:rsid w:val="004E3EF6"/>
    <w:rsid w:val="004E70AD"/>
    <w:rsid w:val="004F1A6B"/>
    <w:rsid w:val="004F6B2F"/>
    <w:rsid w:val="0050272D"/>
    <w:rsid w:val="0050493E"/>
    <w:rsid w:val="0050632E"/>
    <w:rsid w:val="00507030"/>
    <w:rsid w:val="00510E8F"/>
    <w:rsid w:val="005113FF"/>
    <w:rsid w:val="005149E2"/>
    <w:rsid w:val="0051770A"/>
    <w:rsid w:val="00517D0E"/>
    <w:rsid w:val="0052138A"/>
    <w:rsid w:val="00522F64"/>
    <w:rsid w:val="005255BC"/>
    <w:rsid w:val="00530868"/>
    <w:rsid w:val="00530E02"/>
    <w:rsid w:val="005349D6"/>
    <w:rsid w:val="00535482"/>
    <w:rsid w:val="005376AA"/>
    <w:rsid w:val="00542090"/>
    <w:rsid w:val="005464CE"/>
    <w:rsid w:val="00546D75"/>
    <w:rsid w:val="00552C37"/>
    <w:rsid w:val="00555EA9"/>
    <w:rsid w:val="00556D0C"/>
    <w:rsid w:val="005607A3"/>
    <w:rsid w:val="00560890"/>
    <w:rsid w:val="00567860"/>
    <w:rsid w:val="0057103F"/>
    <w:rsid w:val="005712F7"/>
    <w:rsid w:val="00573190"/>
    <w:rsid w:val="00573CB2"/>
    <w:rsid w:val="00575F10"/>
    <w:rsid w:val="00577FD7"/>
    <w:rsid w:val="00580D53"/>
    <w:rsid w:val="005868D0"/>
    <w:rsid w:val="00586E99"/>
    <w:rsid w:val="00587E06"/>
    <w:rsid w:val="00590DED"/>
    <w:rsid w:val="00595098"/>
    <w:rsid w:val="005968C0"/>
    <w:rsid w:val="00596CDB"/>
    <w:rsid w:val="00597392"/>
    <w:rsid w:val="005A1513"/>
    <w:rsid w:val="005A4ADA"/>
    <w:rsid w:val="005B0BD0"/>
    <w:rsid w:val="005B0CA1"/>
    <w:rsid w:val="005B0DD3"/>
    <w:rsid w:val="005B21CE"/>
    <w:rsid w:val="005B31BA"/>
    <w:rsid w:val="005B3203"/>
    <w:rsid w:val="005B3440"/>
    <w:rsid w:val="005B5AEF"/>
    <w:rsid w:val="005C0055"/>
    <w:rsid w:val="005C23CC"/>
    <w:rsid w:val="005C4B3C"/>
    <w:rsid w:val="005C79D8"/>
    <w:rsid w:val="005D1354"/>
    <w:rsid w:val="005D2D4A"/>
    <w:rsid w:val="005D3A49"/>
    <w:rsid w:val="005D3C6E"/>
    <w:rsid w:val="005D4B89"/>
    <w:rsid w:val="005E1025"/>
    <w:rsid w:val="005E1173"/>
    <w:rsid w:val="005E1FED"/>
    <w:rsid w:val="005E267F"/>
    <w:rsid w:val="005E2B0D"/>
    <w:rsid w:val="005E3996"/>
    <w:rsid w:val="005E3EB5"/>
    <w:rsid w:val="005E63EB"/>
    <w:rsid w:val="005F2A44"/>
    <w:rsid w:val="005F3E24"/>
    <w:rsid w:val="005F4FE1"/>
    <w:rsid w:val="00600EEF"/>
    <w:rsid w:val="00600FDF"/>
    <w:rsid w:val="00610214"/>
    <w:rsid w:val="0061161E"/>
    <w:rsid w:val="00616D32"/>
    <w:rsid w:val="0062152E"/>
    <w:rsid w:val="006239B9"/>
    <w:rsid w:val="0062491F"/>
    <w:rsid w:val="006258A0"/>
    <w:rsid w:val="00635923"/>
    <w:rsid w:val="006407F4"/>
    <w:rsid w:val="00641E9D"/>
    <w:rsid w:val="00643679"/>
    <w:rsid w:val="006439BF"/>
    <w:rsid w:val="0064513E"/>
    <w:rsid w:val="00650C7F"/>
    <w:rsid w:val="00655E39"/>
    <w:rsid w:val="00657780"/>
    <w:rsid w:val="006615D5"/>
    <w:rsid w:val="00662501"/>
    <w:rsid w:val="00662D3A"/>
    <w:rsid w:val="0066350A"/>
    <w:rsid w:val="00663BBA"/>
    <w:rsid w:val="00663C8C"/>
    <w:rsid w:val="00664082"/>
    <w:rsid w:val="00664D12"/>
    <w:rsid w:val="00664D4C"/>
    <w:rsid w:val="006678AE"/>
    <w:rsid w:val="00672170"/>
    <w:rsid w:val="0067380B"/>
    <w:rsid w:val="00673DDE"/>
    <w:rsid w:val="00675D57"/>
    <w:rsid w:val="006777D6"/>
    <w:rsid w:val="00684749"/>
    <w:rsid w:val="0068669B"/>
    <w:rsid w:val="00691008"/>
    <w:rsid w:val="006916A3"/>
    <w:rsid w:val="00692EC8"/>
    <w:rsid w:val="00697B9C"/>
    <w:rsid w:val="00697FB7"/>
    <w:rsid w:val="006A07C9"/>
    <w:rsid w:val="006A1A78"/>
    <w:rsid w:val="006A3C0E"/>
    <w:rsid w:val="006A5905"/>
    <w:rsid w:val="006B010D"/>
    <w:rsid w:val="006B4B70"/>
    <w:rsid w:val="006B5292"/>
    <w:rsid w:val="006C1D7F"/>
    <w:rsid w:val="006C4D95"/>
    <w:rsid w:val="006D0491"/>
    <w:rsid w:val="006D4791"/>
    <w:rsid w:val="006D500B"/>
    <w:rsid w:val="006D631A"/>
    <w:rsid w:val="006D6D0E"/>
    <w:rsid w:val="006E03AB"/>
    <w:rsid w:val="006E0F47"/>
    <w:rsid w:val="006E18EB"/>
    <w:rsid w:val="006E24E5"/>
    <w:rsid w:val="006E2CEB"/>
    <w:rsid w:val="006E32A4"/>
    <w:rsid w:val="006E4329"/>
    <w:rsid w:val="006E6328"/>
    <w:rsid w:val="006E677E"/>
    <w:rsid w:val="006E75D1"/>
    <w:rsid w:val="006E7EF5"/>
    <w:rsid w:val="006E7F87"/>
    <w:rsid w:val="006F0923"/>
    <w:rsid w:val="006F1277"/>
    <w:rsid w:val="006F1558"/>
    <w:rsid w:val="006F21BA"/>
    <w:rsid w:val="006F2C1B"/>
    <w:rsid w:val="006F2D48"/>
    <w:rsid w:val="006F4FCA"/>
    <w:rsid w:val="006F5EFA"/>
    <w:rsid w:val="006F6098"/>
    <w:rsid w:val="007000BF"/>
    <w:rsid w:val="007008E0"/>
    <w:rsid w:val="00701DFE"/>
    <w:rsid w:val="00702321"/>
    <w:rsid w:val="00703936"/>
    <w:rsid w:val="007054C5"/>
    <w:rsid w:val="00710704"/>
    <w:rsid w:val="00712EC8"/>
    <w:rsid w:val="00713195"/>
    <w:rsid w:val="0071376A"/>
    <w:rsid w:val="0071479B"/>
    <w:rsid w:val="00717505"/>
    <w:rsid w:val="0072456B"/>
    <w:rsid w:val="00724CA8"/>
    <w:rsid w:val="007250EE"/>
    <w:rsid w:val="00727489"/>
    <w:rsid w:val="00730C7F"/>
    <w:rsid w:val="00732A94"/>
    <w:rsid w:val="007339CD"/>
    <w:rsid w:val="007351B0"/>
    <w:rsid w:val="007368E2"/>
    <w:rsid w:val="00736961"/>
    <w:rsid w:val="00742161"/>
    <w:rsid w:val="00743D08"/>
    <w:rsid w:val="007441B1"/>
    <w:rsid w:val="00750A89"/>
    <w:rsid w:val="007516ED"/>
    <w:rsid w:val="007531F3"/>
    <w:rsid w:val="007560D5"/>
    <w:rsid w:val="00756329"/>
    <w:rsid w:val="00756670"/>
    <w:rsid w:val="00756D39"/>
    <w:rsid w:val="00760756"/>
    <w:rsid w:val="007635FF"/>
    <w:rsid w:val="00765625"/>
    <w:rsid w:val="00766012"/>
    <w:rsid w:val="00771C1B"/>
    <w:rsid w:val="00773B69"/>
    <w:rsid w:val="00775A4D"/>
    <w:rsid w:val="0077669B"/>
    <w:rsid w:val="007769E3"/>
    <w:rsid w:val="007770EF"/>
    <w:rsid w:val="0078126B"/>
    <w:rsid w:val="00781668"/>
    <w:rsid w:val="007825E5"/>
    <w:rsid w:val="00782AEA"/>
    <w:rsid w:val="00783AA5"/>
    <w:rsid w:val="0078424E"/>
    <w:rsid w:val="00786A26"/>
    <w:rsid w:val="00786D47"/>
    <w:rsid w:val="007927F0"/>
    <w:rsid w:val="00793245"/>
    <w:rsid w:val="007947CC"/>
    <w:rsid w:val="007970E1"/>
    <w:rsid w:val="007A454B"/>
    <w:rsid w:val="007A4850"/>
    <w:rsid w:val="007A72A5"/>
    <w:rsid w:val="007B08CF"/>
    <w:rsid w:val="007B34C2"/>
    <w:rsid w:val="007B4D3D"/>
    <w:rsid w:val="007B63AF"/>
    <w:rsid w:val="007B6608"/>
    <w:rsid w:val="007B7C2D"/>
    <w:rsid w:val="007B7DA7"/>
    <w:rsid w:val="007C1C67"/>
    <w:rsid w:val="007C1CBE"/>
    <w:rsid w:val="007C1F62"/>
    <w:rsid w:val="007C3DE1"/>
    <w:rsid w:val="007C56C8"/>
    <w:rsid w:val="007C57BA"/>
    <w:rsid w:val="007C7EC1"/>
    <w:rsid w:val="007D082E"/>
    <w:rsid w:val="007D39AA"/>
    <w:rsid w:val="007D5F0D"/>
    <w:rsid w:val="007D71F1"/>
    <w:rsid w:val="007D79F1"/>
    <w:rsid w:val="007E1AEC"/>
    <w:rsid w:val="007E4530"/>
    <w:rsid w:val="007E6518"/>
    <w:rsid w:val="007E78C3"/>
    <w:rsid w:val="007E797F"/>
    <w:rsid w:val="007F0CFC"/>
    <w:rsid w:val="007F7436"/>
    <w:rsid w:val="00804F8F"/>
    <w:rsid w:val="00807A33"/>
    <w:rsid w:val="00813C10"/>
    <w:rsid w:val="0081618A"/>
    <w:rsid w:val="00821020"/>
    <w:rsid w:val="008256F8"/>
    <w:rsid w:val="00825C6F"/>
    <w:rsid w:val="00826335"/>
    <w:rsid w:val="0082640C"/>
    <w:rsid w:val="0082765A"/>
    <w:rsid w:val="00830411"/>
    <w:rsid w:val="00831A19"/>
    <w:rsid w:val="008358BA"/>
    <w:rsid w:val="00836CA6"/>
    <w:rsid w:val="00840CB7"/>
    <w:rsid w:val="00842725"/>
    <w:rsid w:val="00844910"/>
    <w:rsid w:val="00845B0A"/>
    <w:rsid w:val="00845B3D"/>
    <w:rsid w:val="00846618"/>
    <w:rsid w:val="00846B09"/>
    <w:rsid w:val="00847D77"/>
    <w:rsid w:val="008525D2"/>
    <w:rsid w:val="00852E4C"/>
    <w:rsid w:val="00854A90"/>
    <w:rsid w:val="00856AF6"/>
    <w:rsid w:val="00862F89"/>
    <w:rsid w:val="0086331C"/>
    <w:rsid w:val="008667AD"/>
    <w:rsid w:val="00870375"/>
    <w:rsid w:val="00870A8E"/>
    <w:rsid w:val="0087189C"/>
    <w:rsid w:val="008719FB"/>
    <w:rsid w:val="00874AC3"/>
    <w:rsid w:val="008755EF"/>
    <w:rsid w:val="00876C99"/>
    <w:rsid w:val="008829CA"/>
    <w:rsid w:val="00885551"/>
    <w:rsid w:val="00886D13"/>
    <w:rsid w:val="008919B9"/>
    <w:rsid w:val="0089361D"/>
    <w:rsid w:val="00894A83"/>
    <w:rsid w:val="008A2B1D"/>
    <w:rsid w:val="008A2E62"/>
    <w:rsid w:val="008A34C8"/>
    <w:rsid w:val="008A376A"/>
    <w:rsid w:val="008A3E2A"/>
    <w:rsid w:val="008A43B8"/>
    <w:rsid w:val="008B21D2"/>
    <w:rsid w:val="008B2B97"/>
    <w:rsid w:val="008B4A2F"/>
    <w:rsid w:val="008B7D20"/>
    <w:rsid w:val="008C12BE"/>
    <w:rsid w:val="008C1726"/>
    <w:rsid w:val="008C2B76"/>
    <w:rsid w:val="008C3638"/>
    <w:rsid w:val="008C3729"/>
    <w:rsid w:val="008C523C"/>
    <w:rsid w:val="008D142D"/>
    <w:rsid w:val="008D15DF"/>
    <w:rsid w:val="008D3FF0"/>
    <w:rsid w:val="008D653A"/>
    <w:rsid w:val="008D7402"/>
    <w:rsid w:val="008D7D94"/>
    <w:rsid w:val="008E052D"/>
    <w:rsid w:val="008E0CBD"/>
    <w:rsid w:val="008E2269"/>
    <w:rsid w:val="008E32D3"/>
    <w:rsid w:val="008E662D"/>
    <w:rsid w:val="008F0372"/>
    <w:rsid w:val="008F053F"/>
    <w:rsid w:val="008F0B43"/>
    <w:rsid w:val="008F3112"/>
    <w:rsid w:val="009003F7"/>
    <w:rsid w:val="00900BFD"/>
    <w:rsid w:val="0090390B"/>
    <w:rsid w:val="00906732"/>
    <w:rsid w:val="0090707B"/>
    <w:rsid w:val="009140E2"/>
    <w:rsid w:val="009144B5"/>
    <w:rsid w:val="00914F0B"/>
    <w:rsid w:val="009153C9"/>
    <w:rsid w:val="009162B3"/>
    <w:rsid w:val="00916A7C"/>
    <w:rsid w:val="00916D36"/>
    <w:rsid w:val="00916FB1"/>
    <w:rsid w:val="009202F4"/>
    <w:rsid w:val="00921040"/>
    <w:rsid w:val="0092538B"/>
    <w:rsid w:val="0092679C"/>
    <w:rsid w:val="00926E84"/>
    <w:rsid w:val="00930CB4"/>
    <w:rsid w:val="00932347"/>
    <w:rsid w:val="00932F57"/>
    <w:rsid w:val="0093407F"/>
    <w:rsid w:val="0093430D"/>
    <w:rsid w:val="00936F40"/>
    <w:rsid w:val="00937633"/>
    <w:rsid w:val="00942108"/>
    <w:rsid w:val="00942547"/>
    <w:rsid w:val="009434AF"/>
    <w:rsid w:val="00943538"/>
    <w:rsid w:val="00944E03"/>
    <w:rsid w:val="009467A5"/>
    <w:rsid w:val="00946EC9"/>
    <w:rsid w:val="00951105"/>
    <w:rsid w:val="00953A72"/>
    <w:rsid w:val="0095418E"/>
    <w:rsid w:val="009561D8"/>
    <w:rsid w:val="009577C7"/>
    <w:rsid w:val="00960E84"/>
    <w:rsid w:val="00961537"/>
    <w:rsid w:val="00962A42"/>
    <w:rsid w:val="00965314"/>
    <w:rsid w:val="0096621B"/>
    <w:rsid w:val="00970251"/>
    <w:rsid w:val="0097157B"/>
    <w:rsid w:val="0097276E"/>
    <w:rsid w:val="00972DEE"/>
    <w:rsid w:val="0097458F"/>
    <w:rsid w:val="009748AE"/>
    <w:rsid w:val="009763E4"/>
    <w:rsid w:val="00976C51"/>
    <w:rsid w:val="00980393"/>
    <w:rsid w:val="00981888"/>
    <w:rsid w:val="009849CC"/>
    <w:rsid w:val="0098659D"/>
    <w:rsid w:val="00986BDD"/>
    <w:rsid w:val="00987985"/>
    <w:rsid w:val="009905B4"/>
    <w:rsid w:val="00991EB6"/>
    <w:rsid w:val="00994B18"/>
    <w:rsid w:val="0099646F"/>
    <w:rsid w:val="009A06A7"/>
    <w:rsid w:val="009A13A2"/>
    <w:rsid w:val="009A35C9"/>
    <w:rsid w:val="009A53AB"/>
    <w:rsid w:val="009A654D"/>
    <w:rsid w:val="009A7816"/>
    <w:rsid w:val="009B29F7"/>
    <w:rsid w:val="009C1FE9"/>
    <w:rsid w:val="009C2312"/>
    <w:rsid w:val="009C2886"/>
    <w:rsid w:val="009C2B2C"/>
    <w:rsid w:val="009C493D"/>
    <w:rsid w:val="009C4ACD"/>
    <w:rsid w:val="009C6FB6"/>
    <w:rsid w:val="009C7AE4"/>
    <w:rsid w:val="009D0673"/>
    <w:rsid w:val="009D1AD8"/>
    <w:rsid w:val="009D2E86"/>
    <w:rsid w:val="009D7464"/>
    <w:rsid w:val="009E032C"/>
    <w:rsid w:val="009E264A"/>
    <w:rsid w:val="009F0E76"/>
    <w:rsid w:val="009F1EDE"/>
    <w:rsid w:val="009F2EC3"/>
    <w:rsid w:val="00A0064E"/>
    <w:rsid w:val="00A0354D"/>
    <w:rsid w:val="00A04B94"/>
    <w:rsid w:val="00A103AB"/>
    <w:rsid w:val="00A10891"/>
    <w:rsid w:val="00A124B0"/>
    <w:rsid w:val="00A14B9E"/>
    <w:rsid w:val="00A16D7B"/>
    <w:rsid w:val="00A247C1"/>
    <w:rsid w:val="00A24D64"/>
    <w:rsid w:val="00A27795"/>
    <w:rsid w:val="00A301AA"/>
    <w:rsid w:val="00A313DD"/>
    <w:rsid w:val="00A37B69"/>
    <w:rsid w:val="00A401F1"/>
    <w:rsid w:val="00A42903"/>
    <w:rsid w:val="00A43983"/>
    <w:rsid w:val="00A4738A"/>
    <w:rsid w:val="00A5200B"/>
    <w:rsid w:val="00A523B8"/>
    <w:rsid w:val="00A53E42"/>
    <w:rsid w:val="00A55A06"/>
    <w:rsid w:val="00A61992"/>
    <w:rsid w:val="00A62224"/>
    <w:rsid w:val="00A62538"/>
    <w:rsid w:val="00A6272F"/>
    <w:rsid w:val="00A62B62"/>
    <w:rsid w:val="00A63F78"/>
    <w:rsid w:val="00A66264"/>
    <w:rsid w:val="00A701F7"/>
    <w:rsid w:val="00A71581"/>
    <w:rsid w:val="00A71D56"/>
    <w:rsid w:val="00A71D8B"/>
    <w:rsid w:val="00A761E0"/>
    <w:rsid w:val="00A766ED"/>
    <w:rsid w:val="00A80B10"/>
    <w:rsid w:val="00A821B8"/>
    <w:rsid w:val="00A835EA"/>
    <w:rsid w:val="00A83EC9"/>
    <w:rsid w:val="00A84AC4"/>
    <w:rsid w:val="00A8627A"/>
    <w:rsid w:val="00A86A5E"/>
    <w:rsid w:val="00A958CC"/>
    <w:rsid w:val="00A95CE7"/>
    <w:rsid w:val="00A96663"/>
    <w:rsid w:val="00AA7F5E"/>
    <w:rsid w:val="00AB03E8"/>
    <w:rsid w:val="00AB0B7E"/>
    <w:rsid w:val="00AB1977"/>
    <w:rsid w:val="00AB28DE"/>
    <w:rsid w:val="00AB2B77"/>
    <w:rsid w:val="00AB2E7D"/>
    <w:rsid w:val="00AC074F"/>
    <w:rsid w:val="00AC2BD8"/>
    <w:rsid w:val="00AC33DE"/>
    <w:rsid w:val="00AC3EE1"/>
    <w:rsid w:val="00AC4354"/>
    <w:rsid w:val="00AD2755"/>
    <w:rsid w:val="00AD4B39"/>
    <w:rsid w:val="00AD5ADB"/>
    <w:rsid w:val="00AD5EC1"/>
    <w:rsid w:val="00AE01F3"/>
    <w:rsid w:val="00AE2FE0"/>
    <w:rsid w:val="00AE367F"/>
    <w:rsid w:val="00AE579A"/>
    <w:rsid w:val="00AF00BB"/>
    <w:rsid w:val="00AF01A8"/>
    <w:rsid w:val="00AF0E89"/>
    <w:rsid w:val="00AF2D2C"/>
    <w:rsid w:val="00AF461C"/>
    <w:rsid w:val="00AF6726"/>
    <w:rsid w:val="00AF6AD0"/>
    <w:rsid w:val="00AF701C"/>
    <w:rsid w:val="00AF734E"/>
    <w:rsid w:val="00AF749F"/>
    <w:rsid w:val="00AF76FE"/>
    <w:rsid w:val="00B005C6"/>
    <w:rsid w:val="00B006BA"/>
    <w:rsid w:val="00B01FC7"/>
    <w:rsid w:val="00B04928"/>
    <w:rsid w:val="00B04FC1"/>
    <w:rsid w:val="00B065C3"/>
    <w:rsid w:val="00B0753E"/>
    <w:rsid w:val="00B105E9"/>
    <w:rsid w:val="00B13A4F"/>
    <w:rsid w:val="00B154B7"/>
    <w:rsid w:val="00B1711A"/>
    <w:rsid w:val="00B17CB9"/>
    <w:rsid w:val="00B17CF7"/>
    <w:rsid w:val="00B17DEE"/>
    <w:rsid w:val="00B20117"/>
    <w:rsid w:val="00B20268"/>
    <w:rsid w:val="00B20942"/>
    <w:rsid w:val="00B219AE"/>
    <w:rsid w:val="00B23336"/>
    <w:rsid w:val="00B27D29"/>
    <w:rsid w:val="00B30BFB"/>
    <w:rsid w:val="00B30F06"/>
    <w:rsid w:val="00B35F43"/>
    <w:rsid w:val="00B41B45"/>
    <w:rsid w:val="00B47EB2"/>
    <w:rsid w:val="00B54FF9"/>
    <w:rsid w:val="00B561D8"/>
    <w:rsid w:val="00B57392"/>
    <w:rsid w:val="00B61D86"/>
    <w:rsid w:val="00B61E1C"/>
    <w:rsid w:val="00B62DB8"/>
    <w:rsid w:val="00B66C35"/>
    <w:rsid w:val="00B712FB"/>
    <w:rsid w:val="00B723B3"/>
    <w:rsid w:val="00B75C9F"/>
    <w:rsid w:val="00B75E59"/>
    <w:rsid w:val="00B765C7"/>
    <w:rsid w:val="00B77CE9"/>
    <w:rsid w:val="00B804E5"/>
    <w:rsid w:val="00B81BF9"/>
    <w:rsid w:val="00B83CE7"/>
    <w:rsid w:val="00B8433F"/>
    <w:rsid w:val="00B84E2D"/>
    <w:rsid w:val="00B85A8E"/>
    <w:rsid w:val="00B868E7"/>
    <w:rsid w:val="00B87FE7"/>
    <w:rsid w:val="00B91F84"/>
    <w:rsid w:val="00B93AF6"/>
    <w:rsid w:val="00B9660E"/>
    <w:rsid w:val="00B97903"/>
    <w:rsid w:val="00BA1D7B"/>
    <w:rsid w:val="00BA28B2"/>
    <w:rsid w:val="00BA296D"/>
    <w:rsid w:val="00BB1766"/>
    <w:rsid w:val="00BB3E3C"/>
    <w:rsid w:val="00BB49DA"/>
    <w:rsid w:val="00BB5562"/>
    <w:rsid w:val="00BB6F32"/>
    <w:rsid w:val="00BC038D"/>
    <w:rsid w:val="00BC042B"/>
    <w:rsid w:val="00BC42E8"/>
    <w:rsid w:val="00BC44D2"/>
    <w:rsid w:val="00BD1BBF"/>
    <w:rsid w:val="00BD1C1E"/>
    <w:rsid w:val="00BD3425"/>
    <w:rsid w:val="00BD400E"/>
    <w:rsid w:val="00BD576F"/>
    <w:rsid w:val="00BD5918"/>
    <w:rsid w:val="00BD7635"/>
    <w:rsid w:val="00BE1218"/>
    <w:rsid w:val="00BE361E"/>
    <w:rsid w:val="00BE399F"/>
    <w:rsid w:val="00BE4A1E"/>
    <w:rsid w:val="00BF00F3"/>
    <w:rsid w:val="00BF1DCD"/>
    <w:rsid w:val="00BF26BC"/>
    <w:rsid w:val="00BF31ED"/>
    <w:rsid w:val="00BF5071"/>
    <w:rsid w:val="00BF5C70"/>
    <w:rsid w:val="00C023A8"/>
    <w:rsid w:val="00C0417F"/>
    <w:rsid w:val="00C047AD"/>
    <w:rsid w:val="00C06823"/>
    <w:rsid w:val="00C110C4"/>
    <w:rsid w:val="00C153E3"/>
    <w:rsid w:val="00C17718"/>
    <w:rsid w:val="00C2571F"/>
    <w:rsid w:val="00C26B21"/>
    <w:rsid w:val="00C27640"/>
    <w:rsid w:val="00C27BBC"/>
    <w:rsid w:val="00C34F51"/>
    <w:rsid w:val="00C379F9"/>
    <w:rsid w:val="00C40882"/>
    <w:rsid w:val="00C42867"/>
    <w:rsid w:val="00C42D1E"/>
    <w:rsid w:val="00C50AD4"/>
    <w:rsid w:val="00C51122"/>
    <w:rsid w:val="00C514D4"/>
    <w:rsid w:val="00C52D4D"/>
    <w:rsid w:val="00C57208"/>
    <w:rsid w:val="00C57298"/>
    <w:rsid w:val="00C57A13"/>
    <w:rsid w:val="00C61CB0"/>
    <w:rsid w:val="00C67400"/>
    <w:rsid w:val="00C67AA5"/>
    <w:rsid w:val="00C71932"/>
    <w:rsid w:val="00C73F97"/>
    <w:rsid w:val="00C74AD0"/>
    <w:rsid w:val="00C7720B"/>
    <w:rsid w:val="00C77475"/>
    <w:rsid w:val="00C77CA3"/>
    <w:rsid w:val="00C80302"/>
    <w:rsid w:val="00C81E57"/>
    <w:rsid w:val="00C85006"/>
    <w:rsid w:val="00C858E0"/>
    <w:rsid w:val="00C869BF"/>
    <w:rsid w:val="00C8701C"/>
    <w:rsid w:val="00C8721E"/>
    <w:rsid w:val="00C877E5"/>
    <w:rsid w:val="00C9001E"/>
    <w:rsid w:val="00C90389"/>
    <w:rsid w:val="00C90CE7"/>
    <w:rsid w:val="00C91503"/>
    <w:rsid w:val="00C917D5"/>
    <w:rsid w:val="00C94412"/>
    <w:rsid w:val="00C94814"/>
    <w:rsid w:val="00CA25B7"/>
    <w:rsid w:val="00CA3D75"/>
    <w:rsid w:val="00CA424D"/>
    <w:rsid w:val="00CA5778"/>
    <w:rsid w:val="00CA5945"/>
    <w:rsid w:val="00CA5E4B"/>
    <w:rsid w:val="00CA7DFD"/>
    <w:rsid w:val="00CB00FE"/>
    <w:rsid w:val="00CB2787"/>
    <w:rsid w:val="00CC0292"/>
    <w:rsid w:val="00CC0508"/>
    <w:rsid w:val="00CC3350"/>
    <w:rsid w:val="00CC6155"/>
    <w:rsid w:val="00CC6FC3"/>
    <w:rsid w:val="00CD11EA"/>
    <w:rsid w:val="00CD2C09"/>
    <w:rsid w:val="00CD604D"/>
    <w:rsid w:val="00CD7316"/>
    <w:rsid w:val="00CE0946"/>
    <w:rsid w:val="00CE1619"/>
    <w:rsid w:val="00CE1625"/>
    <w:rsid w:val="00CE32F8"/>
    <w:rsid w:val="00CE35FB"/>
    <w:rsid w:val="00CE3946"/>
    <w:rsid w:val="00CE6ACD"/>
    <w:rsid w:val="00CE7886"/>
    <w:rsid w:val="00CF00E8"/>
    <w:rsid w:val="00CF0B95"/>
    <w:rsid w:val="00CF3B0E"/>
    <w:rsid w:val="00CF470D"/>
    <w:rsid w:val="00D01F32"/>
    <w:rsid w:val="00D03A02"/>
    <w:rsid w:val="00D04AC6"/>
    <w:rsid w:val="00D05953"/>
    <w:rsid w:val="00D07E04"/>
    <w:rsid w:val="00D10CD2"/>
    <w:rsid w:val="00D131F8"/>
    <w:rsid w:val="00D14302"/>
    <w:rsid w:val="00D16FCB"/>
    <w:rsid w:val="00D218AD"/>
    <w:rsid w:val="00D21968"/>
    <w:rsid w:val="00D2254B"/>
    <w:rsid w:val="00D23B64"/>
    <w:rsid w:val="00D2537A"/>
    <w:rsid w:val="00D264FB"/>
    <w:rsid w:val="00D27AAB"/>
    <w:rsid w:val="00D3500C"/>
    <w:rsid w:val="00D376C3"/>
    <w:rsid w:val="00D4192D"/>
    <w:rsid w:val="00D41AB5"/>
    <w:rsid w:val="00D500C9"/>
    <w:rsid w:val="00D523E8"/>
    <w:rsid w:val="00D5473A"/>
    <w:rsid w:val="00D565F2"/>
    <w:rsid w:val="00D56EC2"/>
    <w:rsid w:val="00D57CCB"/>
    <w:rsid w:val="00D602D6"/>
    <w:rsid w:val="00D621A9"/>
    <w:rsid w:val="00D66569"/>
    <w:rsid w:val="00D67E70"/>
    <w:rsid w:val="00D73A5F"/>
    <w:rsid w:val="00D77DFA"/>
    <w:rsid w:val="00D856F4"/>
    <w:rsid w:val="00D86B9E"/>
    <w:rsid w:val="00D922F9"/>
    <w:rsid w:val="00D92332"/>
    <w:rsid w:val="00D94034"/>
    <w:rsid w:val="00D954F6"/>
    <w:rsid w:val="00DA4365"/>
    <w:rsid w:val="00DA536B"/>
    <w:rsid w:val="00DA63E7"/>
    <w:rsid w:val="00DB1281"/>
    <w:rsid w:val="00DB1F1B"/>
    <w:rsid w:val="00DB749B"/>
    <w:rsid w:val="00DC442F"/>
    <w:rsid w:val="00DC7573"/>
    <w:rsid w:val="00DD0730"/>
    <w:rsid w:val="00DD29CD"/>
    <w:rsid w:val="00DD3B8C"/>
    <w:rsid w:val="00DD3CFE"/>
    <w:rsid w:val="00DD5792"/>
    <w:rsid w:val="00DD5898"/>
    <w:rsid w:val="00DD6476"/>
    <w:rsid w:val="00DD72F4"/>
    <w:rsid w:val="00DE0F25"/>
    <w:rsid w:val="00DE20EC"/>
    <w:rsid w:val="00DE75B1"/>
    <w:rsid w:val="00DE7683"/>
    <w:rsid w:val="00DF2CC3"/>
    <w:rsid w:val="00DF3E3B"/>
    <w:rsid w:val="00DF4D4C"/>
    <w:rsid w:val="00DF541B"/>
    <w:rsid w:val="00E04CE7"/>
    <w:rsid w:val="00E06008"/>
    <w:rsid w:val="00E07783"/>
    <w:rsid w:val="00E07D57"/>
    <w:rsid w:val="00E1152B"/>
    <w:rsid w:val="00E139A8"/>
    <w:rsid w:val="00E16562"/>
    <w:rsid w:val="00E21E69"/>
    <w:rsid w:val="00E22606"/>
    <w:rsid w:val="00E238AB"/>
    <w:rsid w:val="00E26EAB"/>
    <w:rsid w:val="00E30845"/>
    <w:rsid w:val="00E3550F"/>
    <w:rsid w:val="00E37C72"/>
    <w:rsid w:val="00E44986"/>
    <w:rsid w:val="00E46BF6"/>
    <w:rsid w:val="00E47898"/>
    <w:rsid w:val="00E5304F"/>
    <w:rsid w:val="00E53BA6"/>
    <w:rsid w:val="00E56521"/>
    <w:rsid w:val="00E61151"/>
    <w:rsid w:val="00E65288"/>
    <w:rsid w:val="00E65EC5"/>
    <w:rsid w:val="00E660F2"/>
    <w:rsid w:val="00E66598"/>
    <w:rsid w:val="00E7248F"/>
    <w:rsid w:val="00E735C8"/>
    <w:rsid w:val="00E8095F"/>
    <w:rsid w:val="00E809CF"/>
    <w:rsid w:val="00E822E0"/>
    <w:rsid w:val="00E90248"/>
    <w:rsid w:val="00E91B2A"/>
    <w:rsid w:val="00E93827"/>
    <w:rsid w:val="00E94319"/>
    <w:rsid w:val="00E94A3B"/>
    <w:rsid w:val="00E963EB"/>
    <w:rsid w:val="00E965A2"/>
    <w:rsid w:val="00E97A4F"/>
    <w:rsid w:val="00E97F49"/>
    <w:rsid w:val="00EA24BE"/>
    <w:rsid w:val="00EA25D8"/>
    <w:rsid w:val="00EA4361"/>
    <w:rsid w:val="00EA4AD8"/>
    <w:rsid w:val="00EA501A"/>
    <w:rsid w:val="00EA63CD"/>
    <w:rsid w:val="00EB3D1F"/>
    <w:rsid w:val="00EB6E5A"/>
    <w:rsid w:val="00EB7226"/>
    <w:rsid w:val="00EC0357"/>
    <w:rsid w:val="00EC18F1"/>
    <w:rsid w:val="00EC2B42"/>
    <w:rsid w:val="00EC2D4D"/>
    <w:rsid w:val="00EC2E50"/>
    <w:rsid w:val="00EC39D2"/>
    <w:rsid w:val="00EC4675"/>
    <w:rsid w:val="00ED0291"/>
    <w:rsid w:val="00ED3717"/>
    <w:rsid w:val="00ED571D"/>
    <w:rsid w:val="00ED69E7"/>
    <w:rsid w:val="00EE2DA8"/>
    <w:rsid w:val="00EE4CF5"/>
    <w:rsid w:val="00EF50B0"/>
    <w:rsid w:val="00EF5946"/>
    <w:rsid w:val="00EF6D0D"/>
    <w:rsid w:val="00EF7102"/>
    <w:rsid w:val="00EF7B19"/>
    <w:rsid w:val="00F01135"/>
    <w:rsid w:val="00F01321"/>
    <w:rsid w:val="00F01C53"/>
    <w:rsid w:val="00F01E04"/>
    <w:rsid w:val="00F035F8"/>
    <w:rsid w:val="00F04649"/>
    <w:rsid w:val="00F04F23"/>
    <w:rsid w:val="00F051BD"/>
    <w:rsid w:val="00F065BA"/>
    <w:rsid w:val="00F0758B"/>
    <w:rsid w:val="00F07BFE"/>
    <w:rsid w:val="00F10BAF"/>
    <w:rsid w:val="00F16741"/>
    <w:rsid w:val="00F1734B"/>
    <w:rsid w:val="00F17AD2"/>
    <w:rsid w:val="00F17DEF"/>
    <w:rsid w:val="00F20198"/>
    <w:rsid w:val="00F2128C"/>
    <w:rsid w:val="00F25813"/>
    <w:rsid w:val="00F277F5"/>
    <w:rsid w:val="00F27813"/>
    <w:rsid w:val="00F31A0D"/>
    <w:rsid w:val="00F31DDC"/>
    <w:rsid w:val="00F412CB"/>
    <w:rsid w:val="00F4231A"/>
    <w:rsid w:val="00F4242B"/>
    <w:rsid w:val="00F4345C"/>
    <w:rsid w:val="00F46434"/>
    <w:rsid w:val="00F47121"/>
    <w:rsid w:val="00F54588"/>
    <w:rsid w:val="00F55315"/>
    <w:rsid w:val="00F56AB2"/>
    <w:rsid w:val="00F56F86"/>
    <w:rsid w:val="00F57DB0"/>
    <w:rsid w:val="00F62CF0"/>
    <w:rsid w:val="00F666DE"/>
    <w:rsid w:val="00F66811"/>
    <w:rsid w:val="00F6788C"/>
    <w:rsid w:val="00F71243"/>
    <w:rsid w:val="00F712E5"/>
    <w:rsid w:val="00F73F6E"/>
    <w:rsid w:val="00F74095"/>
    <w:rsid w:val="00F77A44"/>
    <w:rsid w:val="00F80970"/>
    <w:rsid w:val="00F80C70"/>
    <w:rsid w:val="00F81F0D"/>
    <w:rsid w:val="00F8238A"/>
    <w:rsid w:val="00F83CFC"/>
    <w:rsid w:val="00F83D67"/>
    <w:rsid w:val="00F8541B"/>
    <w:rsid w:val="00F918BD"/>
    <w:rsid w:val="00F92597"/>
    <w:rsid w:val="00F927BF"/>
    <w:rsid w:val="00F9463C"/>
    <w:rsid w:val="00F95CCC"/>
    <w:rsid w:val="00FA0ED4"/>
    <w:rsid w:val="00FA5E4A"/>
    <w:rsid w:val="00FA6F18"/>
    <w:rsid w:val="00FB3E07"/>
    <w:rsid w:val="00FB41D6"/>
    <w:rsid w:val="00FB5B9A"/>
    <w:rsid w:val="00FB6F00"/>
    <w:rsid w:val="00FB71D0"/>
    <w:rsid w:val="00FC0455"/>
    <w:rsid w:val="00FC0E25"/>
    <w:rsid w:val="00FC37B0"/>
    <w:rsid w:val="00FC42BE"/>
    <w:rsid w:val="00FC4D2E"/>
    <w:rsid w:val="00FD1714"/>
    <w:rsid w:val="00FD1D42"/>
    <w:rsid w:val="00FE0556"/>
    <w:rsid w:val="00FE4605"/>
    <w:rsid w:val="00FE4A10"/>
    <w:rsid w:val="00FE6020"/>
    <w:rsid w:val="00FE6449"/>
    <w:rsid w:val="00FE69DE"/>
    <w:rsid w:val="00FE7B90"/>
    <w:rsid w:val="00FE7EC6"/>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51ABD"/>
  <w14:defaultImageDpi w14:val="330"/>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B9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 w:type="character" w:styleId="PlaceholderText">
    <w:name w:val="Placeholder Text"/>
    <w:basedOn w:val="DefaultParagraphFont"/>
    <w:uiPriority w:val="99"/>
    <w:semiHidden/>
    <w:rsid w:val="005B21CE"/>
    <w:rPr>
      <w:color w:val="666666"/>
    </w:rPr>
  </w:style>
  <w:style w:type="paragraph" w:styleId="NormalWeb">
    <w:name w:val="Normal (Web)"/>
    <w:basedOn w:val="Normal"/>
    <w:uiPriority w:val="99"/>
    <w:semiHidden/>
    <w:unhideWhenUsed/>
    <w:rsid w:val="00355418"/>
    <w:rPr>
      <w:rFonts w:cs="Times New Roman"/>
    </w:rPr>
  </w:style>
  <w:style w:type="paragraph" w:styleId="HTMLPreformatted">
    <w:name w:val="HTML Preformatted"/>
    <w:basedOn w:val="Normal"/>
    <w:link w:val="HTMLPreformattedChar"/>
    <w:uiPriority w:val="99"/>
    <w:semiHidden/>
    <w:unhideWhenUsed/>
    <w:rsid w:val="00DF4D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F4D4C"/>
    <w:rPr>
      <w:rFonts w:ascii="Consolas" w:hAnsi="Consolas"/>
      <w:sz w:val="20"/>
      <w:szCs w:val="20"/>
    </w:rPr>
  </w:style>
  <w:style w:type="character" w:styleId="UnresolvedMention">
    <w:name w:val="Unresolved Mention"/>
    <w:basedOn w:val="DefaultParagraphFont"/>
    <w:uiPriority w:val="99"/>
    <w:semiHidden/>
    <w:unhideWhenUsed/>
    <w:rsid w:val="00AC3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13407697">
      <w:bodyDiv w:val="1"/>
      <w:marLeft w:val="0"/>
      <w:marRight w:val="0"/>
      <w:marTop w:val="0"/>
      <w:marBottom w:val="0"/>
      <w:divBdr>
        <w:top w:val="none" w:sz="0" w:space="0" w:color="auto"/>
        <w:left w:val="none" w:sz="0" w:space="0" w:color="auto"/>
        <w:bottom w:val="none" w:sz="0" w:space="0" w:color="auto"/>
        <w:right w:val="none" w:sz="0" w:space="0" w:color="auto"/>
      </w:divBdr>
    </w:div>
    <w:div w:id="117992186">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38808911">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238760566">
      <w:bodyDiv w:val="1"/>
      <w:marLeft w:val="0"/>
      <w:marRight w:val="0"/>
      <w:marTop w:val="0"/>
      <w:marBottom w:val="0"/>
      <w:divBdr>
        <w:top w:val="none" w:sz="0" w:space="0" w:color="auto"/>
        <w:left w:val="none" w:sz="0" w:space="0" w:color="auto"/>
        <w:bottom w:val="none" w:sz="0" w:space="0" w:color="auto"/>
        <w:right w:val="none" w:sz="0" w:space="0" w:color="auto"/>
      </w:divBdr>
    </w:div>
    <w:div w:id="258027730">
      <w:bodyDiv w:val="1"/>
      <w:marLeft w:val="0"/>
      <w:marRight w:val="0"/>
      <w:marTop w:val="0"/>
      <w:marBottom w:val="0"/>
      <w:divBdr>
        <w:top w:val="none" w:sz="0" w:space="0" w:color="auto"/>
        <w:left w:val="none" w:sz="0" w:space="0" w:color="auto"/>
        <w:bottom w:val="none" w:sz="0" w:space="0" w:color="auto"/>
        <w:right w:val="none" w:sz="0" w:space="0" w:color="auto"/>
      </w:divBdr>
    </w:div>
    <w:div w:id="267933735">
      <w:bodyDiv w:val="1"/>
      <w:marLeft w:val="0"/>
      <w:marRight w:val="0"/>
      <w:marTop w:val="0"/>
      <w:marBottom w:val="0"/>
      <w:divBdr>
        <w:top w:val="none" w:sz="0" w:space="0" w:color="auto"/>
        <w:left w:val="none" w:sz="0" w:space="0" w:color="auto"/>
        <w:bottom w:val="none" w:sz="0" w:space="0" w:color="auto"/>
        <w:right w:val="none" w:sz="0" w:space="0" w:color="auto"/>
      </w:divBdr>
    </w:div>
    <w:div w:id="268053702">
      <w:bodyDiv w:val="1"/>
      <w:marLeft w:val="0"/>
      <w:marRight w:val="0"/>
      <w:marTop w:val="0"/>
      <w:marBottom w:val="0"/>
      <w:divBdr>
        <w:top w:val="none" w:sz="0" w:space="0" w:color="auto"/>
        <w:left w:val="none" w:sz="0" w:space="0" w:color="auto"/>
        <w:bottom w:val="none" w:sz="0" w:space="0" w:color="auto"/>
        <w:right w:val="none" w:sz="0" w:space="0" w:color="auto"/>
      </w:divBdr>
    </w:div>
    <w:div w:id="283656116">
      <w:bodyDiv w:val="1"/>
      <w:marLeft w:val="0"/>
      <w:marRight w:val="0"/>
      <w:marTop w:val="0"/>
      <w:marBottom w:val="0"/>
      <w:divBdr>
        <w:top w:val="none" w:sz="0" w:space="0" w:color="auto"/>
        <w:left w:val="none" w:sz="0" w:space="0" w:color="auto"/>
        <w:bottom w:val="none" w:sz="0" w:space="0" w:color="auto"/>
        <w:right w:val="none" w:sz="0" w:space="0" w:color="auto"/>
      </w:divBdr>
    </w:div>
    <w:div w:id="402873264">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73837326">
      <w:bodyDiv w:val="1"/>
      <w:marLeft w:val="0"/>
      <w:marRight w:val="0"/>
      <w:marTop w:val="0"/>
      <w:marBottom w:val="0"/>
      <w:divBdr>
        <w:top w:val="none" w:sz="0" w:space="0" w:color="auto"/>
        <w:left w:val="none" w:sz="0" w:space="0" w:color="auto"/>
        <w:bottom w:val="none" w:sz="0" w:space="0" w:color="auto"/>
        <w:right w:val="none" w:sz="0" w:space="0" w:color="auto"/>
      </w:divBdr>
    </w:div>
    <w:div w:id="482937020">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34122518">
      <w:bodyDiv w:val="1"/>
      <w:marLeft w:val="0"/>
      <w:marRight w:val="0"/>
      <w:marTop w:val="0"/>
      <w:marBottom w:val="0"/>
      <w:divBdr>
        <w:top w:val="none" w:sz="0" w:space="0" w:color="auto"/>
        <w:left w:val="none" w:sz="0" w:space="0" w:color="auto"/>
        <w:bottom w:val="none" w:sz="0" w:space="0" w:color="auto"/>
        <w:right w:val="none" w:sz="0" w:space="0" w:color="auto"/>
      </w:divBdr>
    </w:div>
    <w:div w:id="56105842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25232124">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53222248">
      <w:bodyDiv w:val="1"/>
      <w:marLeft w:val="0"/>
      <w:marRight w:val="0"/>
      <w:marTop w:val="0"/>
      <w:marBottom w:val="0"/>
      <w:divBdr>
        <w:top w:val="none" w:sz="0" w:space="0" w:color="auto"/>
        <w:left w:val="none" w:sz="0" w:space="0" w:color="auto"/>
        <w:bottom w:val="none" w:sz="0" w:space="0" w:color="auto"/>
        <w:right w:val="none" w:sz="0" w:space="0" w:color="auto"/>
      </w:divBdr>
    </w:div>
    <w:div w:id="667562779">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692416471">
      <w:bodyDiv w:val="1"/>
      <w:marLeft w:val="0"/>
      <w:marRight w:val="0"/>
      <w:marTop w:val="0"/>
      <w:marBottom w:val="0"/>
      <w:divBdr>
        <w:top w:val="none" w:sz="0" w:space="0" w:color="auto"/>
        <w:left w:val="none" w:sz="0" w:space="0" w:color="auto"/>
        <w:bottom w:val="none" w:sz="0" w:space="0" w:color="auto"/>
        <w:right w:val="none" w:sz="0" w:space="0" w:color="auto"/>
      </w:divBdr>
    </w:div>
    <w:div w:id="717900249">
      <w:bodyDiv w:val="1"/>
      <w:marLeft w:val="0"/>
      <w:marRight w:val="0"/>
      <w:marTop w:val="0"/>
      <w:marBottom w:val="0"/>
      <w:divBdr>
        <w:top w:val="none" w:sz="0" w:space="0" w:color="auto"/>
        <w:left w:val="none" w:sz="0" w:space="0" w:color="auto"/>
        <w:bottom w:val="none" w:sz="0" w:space="0" w:color="auto"/>
        <w:right w:val="none" w:sz="0" w:space="0" w:color="auto"/>
      </w:divBdr>
    </w:div>
    <w:div w:id="771169552">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3580747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13128686">
      <w:bodyDiv w:val="1"/>
      <w:marLeft w:val="0"/>
      <w:marRight w:val="0"/>
      <w:marTop w:val="0"/>
      <w:marBottom w:val="0"/>
      <w:divBdr>
        <w:top w:val="none" w:sz="0" w:space="0" w:color="auto"/>
        <w:left w:val="none" w:sz="0" w:space="0" w:color="auto"/>
        <w:bottom w:val="none" w:sz="0" w:space="0" w:color="auto"/>
        <w:right w:val="none" w:sz="0" w:space="0" w:color="auto"/>
      </w:divBdr>
    </w:div>
    <w:div w:id="915893227">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008364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75803446">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185825958">
      <w:bodyDiv w:val="1"/>
      <w:marLeft w:val="0"/>
      <w:marRight w:val="0"/>
      <w:marTop w:val="0"/>
      <w:marBottom w:val="0"/>
      <w:divBdr>
        <w:top w:val="none" w:sz="0" w:space="0" w:color="auto"/>
        <w:left w:val="none" w:sz="0" w:space="0" w:color="auto"/>
        <w:bottom w:val="none" w:sz="0" w:space="0" w:color="auto"/>
        <w:right w:val="none" w:sz="0" w:space="0" w:color="auto"/>
      </w:divBdr>
    </w:div>
    <w:div w:id="1222133264">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36432038">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77523178">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86815352">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296720444">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31134045">
      <w:bodyDiv w:val="1"/>
      <w:marLeft w:val="0"/>
      <w:marRight w:val="0"/>
      <w:marTop w:val="0"/>
      <w:marBottom w:val="0"/>
      <w:divBdr>
        <w:top w:val="none" w:sz="0" w:space="0" w:color="auto"/>
        <w:left w:val="none" w:sz="0" w:space="0" w:color="auto"/>
        <w:bottom w:val="none" w:sz="0" w:space="0" w:color="auto"/>
        <w:right w:val="none" w:sz="0" w:space="0" w:color="auto"/>
      </w:divBdr>
    </w:div>
    <w:div w:id="1337028168">
      <w:bodyDiv w:val="1"/>
      <w:marLeft w:val="0"/>
      <w:marRight w:val="0"/>
      <w:marTop w:val="0"/>
      <w:marBottom w:val="0"/>
      <w:divBdr>
        <w:top w:val="none" w:sz="0" w:space="0" w:color="auto"/>
        <w:left w:val="none" w:sz="0" w:space="0" w:color="auto"/>
        <w:bottom w:val="none" w:sz="0" w:space="0" w:color="auto"/>
        <w:right w:val="none" w:sz="0" w:space="0" w:color="auto"/>
      </w:divBdr>
    </w:div>
    <w:div w:id="1349067301">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37864112">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468358675">
      <w:bodyDiv w:val="1"/>
      <w:marLeft w:val="0"/>
      <w:marRight w:val="0"/>
      <w:marTop w:val="0"/>
      <w:marBottom w:val="0"/>
      <w:divBdr>
        <w:top w:val="none" w:sz="0" w:space="0" w:color="auto"/>
        <w:left w:val="none" w:sz="0" w:space="0" w:color="auto"/>
        <w:bottom w:val="none" w:sz="0" w:space="0" w:color="auto"/>
        <w:right w:val="none" w:sz="0" w:space="0" w:color="auto"/>
      </w:divBdr>
    </w:div>
    <w:div w:id="1468887649">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564873993">
      <w:bodyDiv w:val="1"/>
      <w:marLeft w:val="0"/>
      <w:marRight w:val="0"/>
      <w:marTop w:val="0"/>
      <w:marBottom w:val="0"/>
      <w:divBdr>
        <w:top w:val="none" w:sz="0" w:space="0" w:color="auto"/>
        <w:left w:val="none" w:sz="0" w:space="0" w:color="auto"/>
        <w:bottom w:val="none" w:sz="0" w:space="0" w:color="auto"/>
        <w:right w:val="none" w:sz="0" w:space="0" w:color="auto"/>
      </w:divBdr>
    </w:div>
    <w:div w:id="1567107792">
      <w:bodyDiv w:val="1"/>
      <w:marLeft w:val="0"/>
      <w:marRight w:val="0"/>
      <w:marTop w:val="0"/>
      <w:marBottom w:val="0"/>
      <w:divBdr>
        <w:top w:val="none" w:sz="0" w:space="0" w:color="auto"/>
        <w:left w:val="none" w:sz="0" w:space="0" w:color="auto"/>
        <w:bottom w:val="none" w:sz="0" w:space="0" w:color="auto"/>
        <w:right w:val="none" w:sz="0" w:space="0" w:color="auto"/>
      </w:divBdr>
    </w:div>
    <w:div w:id="1578394844">
      <w:bodyDiv w:val="1"/>
      <w:marLeft w:val="0"/>
      <w:marRight w:val="0"/>
      <w:marTop w:val="0"/>
      <w:marBottom w:val="0"/>
      <w:divBdr>
        <w:top w:val="none" w:sz="0" w:space="0" w:color="auto"/>
        <w:left w:val="none" w:sz="0" w:space="0" w:color="auto"/>
        <w:bottom w:val="none" w:sz="0" w:space="0" w:color="auto"/>
        <w:right w:val="none" w:sz="0" w:space="0" w:color="auto"/>
      </w:divBdr>
    </w:div>
    <w:div w:id="1583024861">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852075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03899134">
      <w:bodyDiv w:val="1"/>
      <w:marLeft w:val="0"/>
      <w:marRight w:val="0"/>
      <w:marTop w:val="0"/>
      <w:marBottom w:val="0"/>
      <w:divBdr>
        <w:top w:val="none" w:sz="0" w:space="0" w:color="auto"/>
        <w:left w:val="none" w:sz="0" w:space="0" w:color="auto"/>
        <w:bottom w:val="none" w:sz="0" w:space="0" w:color="auto"/>
        <w:right w:val="none" w:sz="0" w:space="0" w:color="auto"/>
      </w:divBdr>
    </w:div>
    <w:div w:id="1734311485">
      <w:bodyDiv w:val="1"/>
      <w:marLeft w:val="0"/>
      <w:marRight w:val="0"/>
      <w:marTop w:val="0"/>
      <w:marBottom w:val="0"/>
      <w:divBdr>
        <w:top w:val="none" w:sz="0" w:space="0" w:color="auto"/>
        <w:left w:val="none" w:sz="0" w:space="0" w:color="auto"/>
        <w:bottom w:val="none" w:sz="0" w:space="0" w:color="auto"/>
        <w:right w:val="none" w:sz="0" w:space="0" w:color="auto"/>
      </w:divBdr>
    </w:div>
    <w:div w:id="1741126510">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31213194">
      <w:bodyDiv w:val="1"/>
      <w:marLeft w:val="0"/>
      <w:marRight w:val="0"/>
      <w:marTop w:val="0"/>
      <w:marBottom w:val="0"/>
      <w:divBdr>
        <w:top w:val="none" w:sz="0" w:space="0" w:color="auto"/>
        <w:left w:val="none" w:sz="0" w:space="0" w:color="auto"/>
        <w:bottom w:val="none" w:sz="0" w:space="0" w:color="auto"/>
        <w:right w:val="none" w:sz="0" w:space="0" w:color="auto"/>
      </w:divBdr>
    </w:div>
    <w:div w:id="1845851141">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54682169">
      <w:bodyDiv w:val="1"/>
      <w:marLeft w:val="0"/>
      <w:marRight w:val="0"/>
      <w:marTop w:val="0"/>
      <w:marBottom w:val="0"/>
      <w:divBdr>
        <w:top w:val="none" w:sz="0" w:space="0" w:color="auto"/>
        <w:left w:val="none" w:sz="0" w:space="0" w:color="auto"/>
        <w:bottom w:val="none" w:sz="0" w:space="0" w:color="auto"/>
        <w:right w:val="none" w:sz="0" w:space="0" w:color="auto"/>
      </w:divBdr>
    </w:div>
    <w:div w:id="1866288484">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0602332">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10461769">
      <w:bodyDiv w:val="1"/>
      <w:marLeft w:val="0"/>
      <w:marRight w:val="0"/>
      <w:marTop w:val="0"/>
      <w:marBottom w:val="0"/>
      <w:divBdr>
        <w:top w:val="none" w:sz="0" w:space="0" w:color="auto"/>
        <w:left w:val="none" w:sz="0" w:space="0" w:color="auto"/>
        <w:bottom w:val="none" w:sz="0" w:space="0" w:color="auto"/>
        <w:right w:val="none" w:sz="0" w:space="0" w:color="auto"/>
      </w:divBdr>
    </w:div>
    <w:div w:id="1915310428">
      <w:bodyDiv w:val="1"/>
      <w:marLeft w:val="0"/>
      <w:marRight w:val="0"/>
      <w:marTop w:val="0"/>
      <w:marBottom w:val="0"/>
      <w:divBdr>
        <w:top w:val="none" w:sz="0" w:space="0" w:color="auto"/>
        <w:left w:val="none" w:sz="0" w:space="0" w:color="auto"/>
        <w:bottom w:val="none" w:sz="0" w:space="0" w:color="auto"/>
        <w:right w:val="none" w:sz="0" w:space="0" w:color="auto"/>
      </w:divBdr>
    </w:div>
    <w:div w:id="1915697073">
      <w:bodyDiv w:val="1"/>
      <w:marLeft w:val="0"/>
      <w:marRight w:val="0"/>
      <w:marTop w:val="0"/>
      <w:marBottom w:val="0"/>
      <w:divBdr>
        <w:top w:val="none" w:sz="0" w:space="0" w:color="auto"/>
        <w:left w:val="none" w:sz="0" w:space="0" w:color="auto"/>
        <w:bottom w:val="none" w:sz="0" w:space="0" w:color="auto"/>
        <w:right w:val="none" w:sz="0" w:space="0" w:color="auto"/>
      </w:divBdr>
    </w:div>
    <w:div w:id="1923643409">
      <w:bodyDiv w:val="1"/>
      <w:marLeft w:val="0"/>
      <w:marRight w:val="0"/>
      <w:marTop w:val="0"/>
      <w:marBottom w:val="0"/>
      <w:divBdr>
        <w:top w:val="none" w:sz="0" w:space="0" w:color="auto"/>
        <w:left w:val="none" w:sz="0" w:space="0" w:color="auto"/>
        <w:bottom w:val="none" w:sz="0" w:space="0" w:color="auto"/>
        <w:right w:val="none" w:sz="0" w:space="0" w:color="auto"/>
      </w:divBdr>
    </w:div>
    <w:div w:id="1936282052">
      <w:bodyDiv w:val="1"/>
      <w:marLeft w:val="0"/>
      <w:marRight w:val="0"/>
      <w:marTop w:val="0"/>
      <w:marBottom w:val="0"/>
      <w:divBdr>
        <w:top w:val="none" w:sz="0" w:space="0" w:color="auto"/>
        <w:left w:val="none" w:sz="0" w:space="0" w:color="auto"/>
        <w:bottom w:val="none" w:sz="0" w:space="0" w:color="auto"/>
        <w:right w:val="none" w:sz="0" w:space="0" w:color="auto"/>
      </w:divBdr>
    </w:div>
    <w:div w:id="1938974656">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73095768">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6856266">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24893808">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09424263">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BC3711-935F-46B1-8447-616762D5C4F9}">
  <we:reference id="wa200006214" version="2.1.0.1" store="en-US" storeType="OMEX"/>
  <we:alternateReferences>
    <we:reference id="WA200006214" version="2.1.0.1" store="WA2000062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20</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21</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22</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23</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24</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25</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26</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27</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28</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29</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30</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31</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32</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33</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34</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35</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36</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37</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38</b:RefOrder>
  </b:Source>
  <b:Source>
    <b:Tag>Aya23</b:Tag>
    <b:SourceType>JournalArticle</b:SourceType>
    <b:Guid>{64A4EF73-D79F-4587-BBBB-E57B102079D9}</b:Guid>
    <b:Title>Predictive Machine Learning Algorithms for Metro Ridership Based on Urban Land Use Policies in Support of Transit-Oriented Development</b:Title>
    <b:JournalName>Sustainability</b:JournalName>
    <b:Year>2023</b:Year>
    <b:Pages>1718</b:Pages>
    <b:Author>
      <b:Author>
        <b:NameList>
          <b:Person>
            <b:Last>AlKhereibi</b:Last>
            <b:First>Aya</b:First>
            <b:Middle>Hasan</b:Middle>
          </b:Person>
          <b:Person>
            <b:Last>Wakjira</b:Last>
            <b:First>Tadesse</b:First>
            <b:Middle>G.</b:Middle>
          </b:Person>
          <b:Person>
            <b:Last>Kucukvar</b:Last>
            <b:First>Murat</b:First>
          </b:Person>
          <b:Person>
            <b:Last>Onat</b:Last>
            <b:First>Nuri</b:First>
            <b:Middle>C.</b:Middle>
          </b:Person>
        </b:NameList>
      </b:Author>
    </b:Author>
    <b:Month>January</b:Month>
    <b:Day>16</b:Day>
    <b:Publisher>MDPI</b:Publisher>
    <b:Volume>15</b:Volume>
    <b:Issue>2</b:Issue>
    <b:DOI>10.3390/su15021718</b:DOI>
    <b:RefOrder>39</b:RefOrder>
  </b:Source>
  <b:Source>
    <b:Tag>She22</b:Tag>
    <b:SourceType>JournalArticle</b:SourceType>
    <b:Guid>{9E01DFB3-5AC0-419C-9E93-3A56A8C89825}</b:Guid>
    <b:Title>Spatiotemporal Variations in Shanghai Metro Commuting Flows during Rainfall Events</b:Title>
    <b:JournalName>Weather, Climate and Society</b:JournalName>
    <b:Year>2022</b:Year>
    <b:Pages>979 - 991</b:Pages>
    <b:Author>
      <b:Author>
        <b:NameList>
          <b:Person>
            <b:Last>Huang</b:Last>
            <b:First>Sheng</b:First>
          </b:Person>
          <b:Person>
            <b:Last>Li</b:Last>
            <b:First>Weijiang</b:First>
          </b:Person>
          <b:Person>
            <b:Last>Wen</b:Last>
            <b:First>Jiahong</b:First>
          </b:Person>
          <b:Person>
            <b:Last>Zhu</b:Last>
            <b:First>Mengru</b:First>
          </b:Person>
          <b:Person>
            <b:Last>Lu</b:Last>
            <b:First>Yao</b:First>
          </b:Person>
          <b:Person>
            <b:Last>Wu</b:Last>
            <b:First>Na</b:First>
          </b:Person>
        </b:NameList>
      </b:Author>
    </b:Author>
    <b:Publisher>American Meteorological Society</b:Publisher>
    <b:Volume>14</b:Volume>
    <b:Issue>3</b:Issue>
    <b:DOI>10.1175/WCAS-D-21-0167.1</b:DOI>
    <b:RefOrder>40</b:RefOrder>
  </b:Source>
  <b:Source>
    <b:Tag>Shi23</b:Tag>
    <b:SourceType>JournalArticle</b:SourceType>
    <b:Guid>{FD68815E-0C13-4D9E-B9E1-6B8158561386}</b:Guid>
    <b:Title>The impacts of weather conditions on metro ridership: An empirical study from three mega cities in China</b:Title>
    <b:JournalName>Travel Behaviour and Society</b:JournalName>
    <b:Year>2023</b:Year>
    <b:Pages>166 - 177</b:Pages>
    <b:Author>
      <b:Author>
        <b:NameList>
          <b:Person>
            <b:Last>Jiang</b:Last>
            <b:First>Shixiong</b:First>
          </b:Person>
          <b:Person>
            <b:Last>Cai</b:Last>
            <b:First>Canhuang</b:First>
          </b:Person>
        </b:NameList>
      </b:Author>
    </b:Author>
    <b:Month>April</b:Month>
    <b:Publisher>Elsevier</b:Publisher>
    <b:Volume>31</b:Volume>
    <b:DOI>10.1016/j.tbs.2022.12.003</b:DOI>
    <b:RefOrder>41</b:RefOrder>
  </b:Source>
  <b:Source>
    <b:Tag>Beh25</b:Tag>
    <b:SourceType>JournalArticle</b:SourceType>
    <b:Guid>{96E3E559-088A-4D0E-B87F-F2195AB5E3D9}</b:Guid>
    <b:Title>Forecasting demand fluctuations of public bus transit during special events and adverse weather conditions through smart card data analysis</b:Title>
    <b:JournalName>Travel Behaviour and Society</b:JournalName>
    <b:Year>2025</b:Year>
    <b:Pages>101033</b:Pages>
    <b:Author>
      <b:Author>
        <b:NameList>
          <b:Person>
            <b:Last>Rahmani</b:Last>
            <b:First>Behzad</b:First>
          </b:Person>
          <b:Person>
            <b:Last>Moghaddam</b:Last>
            <b:First>Abolfazl</b:First>
            <b:Middle>Mohammadzadeh</b:Middle>
          </b:Person>
          <b:Person>
            <b:Last>Maghrebi</b:Last>
            <b:First>Mojtaba</b:First>
          </b:Person>
        </b:NameList>
      </b:Author>
    </b:Author>
    <b:Month>July</b:Month>
    <b:Publisher>Elsevier</b:Publisher>
    <b:Volume>40</b:Volume>
    <b:DOI>10.1016/j.tbs.2025.101033</b:DOI>
    <b:RefOrder>42</b:RefOrder>
  </b:Source>
  <b:Source>
    <b:Tag>Saj24</b:Tag>
    <b:SourceType>JournalArticle</b:SourceType>
    <b:Guid>{630E5953-10A9-4FDF-9B89-3DC1E3DA3C88}</b:Guid>
    <b:Title>Unveiling the consequence of unprecedented fuel price hike in Bangladesh on consumer travel behavior</b:Title>
    <b:JournalName>Sustainable Transport and Livability</b:JournalName>
    <b:Year>2024 </b:Year>
    <b:Pages>1 - 23</b:Pages>
    <b:Author>
      <b:Author>
        <b:NameList>
          <b:Person>
            <b:Last>Mily</b:Last>
            <b:First>Sajmin</b:First>
            <b:Middle>Nahar</b:Middle>
          </b:Person>
          <b:Person>
            <b:Last>Haque</b:Last>
            <b:First>Md</b:First>
            <b:Middle>Bashirul</b:Middle>
          </b:Person>
          <b:Person>
            <b:Last>Islam</b:Last>
            <b:First>Md</b:First>
            <b:Middle>Aminul</b:Middle>
          </b:Person>
        </b:NameList>
      </b:Author>
    </b:Author>
    <b:Month>October</b:Month>
    <b:Day>22</b:Day>
    <b:Publisher>Taylor &amp; Francis Online</b:Publisher>
    <b:Volume>1</b:Volume>
    <b:Issue>1</b:Issue>
    <b:DOI>10.1080/29941849.2024.2409081</b:DOI>
    <b:RefOrder>43</b:RefOrder>
  </b:Source>
  <b:Source>
    <b:Tag>Gui24</b:Tag>
    <b:SourceType>JournalArticle</b:SourceType>
    <b:Guid>{98EC3B56-F6B1-4ECE-8F97-44C0A2161839}</b:Guid>
    <b:Title>How gasoline prices influence the effectiveness of interventions targeting sustainable transport modes?</b:Title>
    <b:JournalName>Sustainable Mobility and Transport</b:JournalName>
    <b:Year>2024</b:Year>
    <b:Pages>1 - 8</b:Pages>
    <b:Author>
      <b:Author>
        <b:NameList>
          <b:Person>
            <b:Last>Chevance</b:Last>
            <b:First>Guillaume</b:First>
          </b:Person>
          <b:Person>
            <b:Last>Andrieu</b:Last>
            <b:First>Baptiste</b:First>
          </b:Person>
          <b:Person>
            <b:Last>Koch</b:Last>
            <b:First>Nicolas</b:First>
          </b:Person>
          <b:Person>
            <b:Last>Tonne</b:Last>
            <b:First>Cathryn</b:First>
          </b:Person>
          <b:Person>
            <b:Last>Nieuwenhuyijsen</b:Last>
            <b:First>Mark</b:First>
          </b:Person>
          <b:Person>
            <b:Last>Bernard</b:Last>
            <b:First>Paquito</b:First>
          </b:Person>
        </b:NameList>
      </b:Author>
    </b:Author>
    <b:Month>December</b:Month>
    <b:Day>30</b:Day>
    <b:Publisher>Nature</b:Publisher>
    <b:Volume>1</b:Volume>
    <b:DOI>10.1038/s44333-024-00017-1</b:DOI>
    <b:RefOrder>44</b:RefOrder>
  </b:Source>
  <b:Source>
    <b:Tag>Wei22</b:Tag>
    <b:SourceType>JournalArticle</b:SourceType>
    <b:Guid>{CCD57DA3-F6AF-409D-BDF3-D34F3733D849}</b:Guid>
    <b:Title>Short-Term Traffic Flow Prediction Based on CNN-BILSTM with Multicomponent Information</b:Title>
    <b:JournalName>Applied Science</b:JournalName>
    <b:Year>2022</b:Year>
    <b:Pages>8714</b:Pages>
    <b:Author>
      <b:Author>
        <b:NameList>
          <b:Person>
            <b:Last>Zhuang</b:Last>
            <b:First>Weiqing</b:First>
          </b:Person>
          <b:Person>
            <b:Last>Cao</b:Last>
            <b:First>Yongbo</b:First>
          </b:Person>
        </b:NameList>
      </b:Author>
    </b:Author>
    <b:Month>August</b:Month>
    <b:Day>30</b:Day>
    <b:Publisher>MDPI</b:Publisher>
    <b:Volume>12</b:Volume>
    <b:Issue>17</b:Issue>
    <b:DOI>10.3390/app12178714</b:DOI>
    <b:RefOrder>45</b:RefOrder>
  </b:Source>
  <b:Source>
    <b:Tag>Zuo25</b:Tag>
    <b:SourceType>JournalArticle</b:SourceType>
    <b:Guid>{664FE188-2AED-4D06-A541-02D5C26E3670}</b:Guid>
    <b:Title>Multi dynamic temporal representation graph convolutional network for traffic flow prediction</b:Title>
    <b:JournalName>Scientific Reports</b:JournalName>
    <b:Year>2025</b:Year>
    <b:Pages>16734</b:Pages>
    <b:Author>
      <b:Author>
        <b:NameList>
          <b:Person>
            <b:Last>Wu</b:Last>
            <b:First>Zuojun</b:First>
          </b:Person>
          <b:Person>
            <b:Last>Liu</b:Last>
            <b:First>Xiaojun</b:First>
          </b:Person>
          <b:Person>
            <b:Last>Zhang</b:Last>
            <b:First>Xiaoling</b:First>
          </b:Person>
        </b:NameList>
      </b:Author>
    </b:Author>
    <b:Month>May</b:Month>
    <b:Day>14</b:Day>
    <b:Volume>15</b:Volume>
    <b:DOI>10.1038/s41598-025-01157-1</b:DOI>
    <b:RefOrder>46</b:RefOrder>
  </b:Source>
  <b:Source>
    <b:Tag>Lal25</b:Tag>
    <b:SourceType>JournalArticle</b:SourceType>
    <b:Guid>{A0E08F6F-96D2-4252-8778-EA21C5F971BC}</b:Guid>
    <b:Title>Intelligent traffic congestion forecasting using BiLSTM and adaptive secretary bird optimizer for sustainable urban transportation</b:Title>
    <b:JournalName>Scientific Reports</b:JournalName>
    <b:Year>2025</b:Year>
    <b:Pages>18423</b:Pages>
    <b:Author>
      <b:Author>
        <b:NameList>
          <b:Person>
            <b:Last>Krishnasamy</b:Last>
            <b:First>Lalitha</b:First>
          </b:Person>
          <b:Person>
            <b:Last>C</b:Last>
            <b:First>Siva</b:First>
          </b:Person>
          <b:Person>
            <b:Last>Dhanaraj</b:Last>
            <b:First>Rajesh</b:First>
            <b:Middle>Kumar</b:Middle>
          </b:Person>
          <b:Person>
            <b:Last>Al-Khasawneh</b:Last>
            <b:First>Mahmoud</b:First>
            <b:Middle>Ahmad</b:Middle>
          </b:Person>
          <b:Person>
            <b:Last>Al-Shehari</b:Last>
            <b:First>Taher</b:First>
          </b:Person>
          <b:Person>
            <b:Last>Alsadhan</b:Last>
            <b:First>Nasser</b:First>
            <b:Middle>A.</b:Middle>
          </b:Person>
          <b:Person>
            <b:Last>Selvarajan</b:Last>
            <b:First>Shitharth</b:First>
          </b:Person>
        </b:NameList>
      </b:Author>
    </b:Author>
    <b:Month>May</b:Month>
    <b:Day>26</b:Day>
    <b:Volume>15</b:Volume>
    <b:DOI>10.1038/s41598-025-02933-9</b:DOI>
    <b:RefOrder>47</b:RefOrder>
  </b:Source>
  <b:Source>
    <b:Tag>Lin23</b:Tag>
    <b:SourceType>JournalArticle</b:SourceType>
    <b:Guid>{3A399536-505D-4475-B9D3-97584013F330}</b:Guid>
    <b:Title>Forecasting Short-Term Passenger Flow of Subway Stations Based on the Temporal Pattern Attention Mechanism and the Long Short-Term Memory Network</b:Title>
    <b:JournalName>Geo-Information</b:JournalName>
    <b:Year>2023</b:Year>
    <b:Pages>25</b:Pages>
    <b:Author>
      <b:Author>
        <b:NameList>
          <b:Person>
            <b:Last>Wei</b:Last>
            <b:First>Lingxiang</b:First>
          </b:Person>
          <b:Person>
            <b:Last>Guo</b:Last>
            <b:First>Dongjun</b:First>
          </b:Person>
          <b:Person>
            <b:Last>Chen</b:Last>
            <b:First>Zhilong</b:First>
          </b:Person>
          <b:Person>
            <b:Last>Yang</b:Last>
            <b:First>Jincheng</b:First>
          </b:Person>
          <b:Person>
            <b:Last>Feng</b:Last>
            <b:First>Tianliu</b:First>
          </b:Person>
        </b:NameList>
      </b:Author>
    </b:Author>
    <b:Month>January</b:Month>
    <b:Day>16</b:Day>
    <b:Publisher>MDPi</b:Publisher>
    <b:Volume>12</b:Volume>
    <b:Issue>1</b:Issue>
    <b:DOI>10.3390/ijgi12010025</b:DOI>
    <b:RefOrder>48</b:RefOrder>
  </b:Source>
  <b:Source>
    <b:Tag>Tae23</b:Tag>
    <b:SourceType>JournalArticle</b:SourceType>
    <b:Guid>{1E883306-3873-4C81-8C55-94E447251B27}</b:Guid>
    <b:Title>Reversible Instance Normalization for Accurate Time-Series Forecasting against Distribution Shift </b:Title>
    <b:JournalName>ICLR 2022 Conference</b:JournalName>
    <b:Year>2023</b:Year>
    <b:Pages>1 - 25</b:Pages>
    <b:Author>
      <b:Author>
        <b:NameList>
          <b:Person>
            <b:Last>Kim</b:Last>
            <b:First>Taesung</b:First>
          </b:Person>
          <b:Person>
            <b:Last>Kim</b:Last>
            <b:First>Jinhee</b:First>
          </b:Person>
          <b:Person>
            <b:Last>Tae</b:Last>
            <b:First>Yunwon</b:First>
          </b:Person>
          <b:Person>
            <b:Last>Park</b:Last>
            <b:First>Cheonbok</b:First>
          </b:Person>
          <b:Person>
            <b:Last>Choi</b:Last>
            <b:First>Jang-Ho</b:First>
          </b:Person>
          <b:Person>
            <b:Last>Choo</b:Last>
            <b:First>Jaegul</b:First>
          </b:Person>
        </b:NameList>
      </b:Author>
    </b:Author>
    <b:Month>February</b:Month>
    <b:Day>14</b:Day>
    <b:URL>https://openreview.net/forum?id=cGDAkQo1C0p</b:URL>
    <b:RefOrder>49</b:RefOrder>
  </b:Source>
  <b:Source>
    <b:Tag>Zol26</b:Tag>
    <b:SourceType>JournalArticle</b:SourceType>
    <b:Guid>{F2F19CEF-8CA8-4C22-A519-1C82E5806249}</b:Guid>
    <b:Title>Beyond Traditional Forecasting Methods: Evaluating LSTM Performance on Diverse Time Series</b:Title>
    <b:JournalName>Mathematics</b:JournalName>
    <b:Year>2026</b:Year>
    <b:Pages>838</b:Pages>
    <b:Author>
      <b:Author>
        <b:NameList>
          <b:Person>
            <b:Last>Barath</b:Last>
            <b:First>Zoltan</b:First>
          </b:Person>
          <b:Person>
            <b:Last>Veres</b:Last>
            <b:First>Peter</b:First>
          </b:Person>
          <b:Person>
            <b:Last>Banyai</b:Last>
            <b:First>Agota</b:First>
          </b:Person>
        </b:NameList>
      </b:Author>
    </b:Author>
    <b:Month>March</b:Month>
    <b:Day>1</b:Day>
    <b:Publisher>MDPI</b:Publisher>
    <b:Volume>14</b:Volume>
    <b:Issue>5</b:Issue>
    <b:DOI>10.3390/math14050838</b:DOI>
    <b:RefOrder>50</b:RefOrder>
  </b:Source>
  <b:Source>
    <b:Tag>Iva25</b:Tag>
    <b:SourceType>JournalArticle</b:SourceType>
    <b:Guid>{E94A7CDF-FE61-4C67-810A-609C57E8BB47}</b:Guid>
    <b:Title>Traffic Flow Prediction via a Hybrid CPO-CNN-LSTM-Attention Architecture</b:Title>
    <b:JournalName>Smart Cities</b:JournalName>
    <b:Year>2025</b:Year>
    <b:Pages>148</b:Pages>
    <b:Author>
      <b:Author>
        <b:NameList>
          <b:Person>
            <b:Last>Topilin</b:Last>
            <b:First>Ivan</b:First>
          </b:Person>
          <b:Person>
            <b:Last>Jiang</b:Last>
            <b:First>Jixiao</b:First>
          </b:Person>
          <b:Person>
            <b:Last>Feofilova</b:Last>
            <b:First>Anastasia</b:First>
          </b:Person>
          <b:Person>
            <b:Last>Beskopylny</b:Last>
            <b:First>Nikita</b:First>
          </b:Person>
        </b:NameList>
      </b:Author>
    </b:Author>
    <b:Month>September</b:Month>
    <b:Day>15</b:Day>
    <b:Publisher>MDPI</b:Publisher>
    <b:Volume>8</b:Volume>
    <b:Issue>5</b:Issue>
    <b:DOI>10.3390/smartcities8050148</b:DOI>
    <b:RefOrder>51</b:RefOrder>
  </b:Source>
  <b:Source>
    <b:Tag>Ser21</b:Tag>
    <b:SourceType>JournalArticle</b:SourceType>
    <b:Guid>{4B38A85F-43C5-4BAB-B3DA-2BE54FBB7234}</b:Guid>
    <b:Title>Forecasting Public Transport Ridership: Management of Information Systems using CNN and LSTM Architectures</b:Title>
    <b:JournalName>Procedia Computer Science</b:JournalName>
    <b:Year>2021</b:Year>
    <b:Pages>283 - 290</b:Pages>
    <b:Author>
      <b:Author>
        <b:NameList>
          <b:Person>
            <b:Last>Khalil</b:Last>
            <b:First>Sergey</b:First>
          </b:Person>
          <b:Person>
            <b:Last>Amrit</b:Last>
            <b:First>Chintan</b:First>
          </b:Person>
          <b:Person>
            <b:Last>Koch</b:Last>
            <b:First>Thomas</b:First>
          </b:Person>
          <b:Person>
            <b:Last>Dugundji</b:Last>
            <b:First>Elenna</b:First>
            <b:Middle>R.</b:Middle>
          </b:Person>
        </b:NameList>
      </b:Author>
    </b:Author>
    <b:Month>May</b:Month>
    <b:Publisher>Elsevier</b:Publisher>
    <b:Volume>184</b:Volume>
    <b:DOI>10.1016/j.procs.2021.03.037</b:DOI>
    <b:RefOrder>52</b:RefOrder>
  </b:Source>
  <b:Source>
    <b:Tag>Hon25</b:Tag>
    <b:SourceType>JournalArticle</b:SourceType>
    <b:Guid>{73704680-B795-4A21-875A-599A796C5992}</b:Guid>
    <b:Title>Short-term passenger flow prediction for urban rail systems: A deep learning approach utilizing multi-source big data</b:Title>
    <b:JournalName>PLoS One</b:JournalName>
    <b:Year>2025</b:Year>
    <b:Pages>1 - 23</b:Pages>
    <b:Author>
      <b:Author>
        <b:NameList>
          <b:Person>
            <b:Last>Cui</b:Last>
            <b:First>Hongmeng</b:First>
          </b:Person>
          <b:Person>
            <b:Last>Si</b:Last>
            <b:First>Bingfeng</b:First>
          </b:Person>
          <b:Person>
            <b:Last>Chi</b:Last>
            <b:First>Dazhuang</b:First>
          </b:Person>
          <b:Person>
            <b:Last>Li</b:Last>
            <b:First>Yueqing</b:First>
          </b:Person>
          <b:Person>
            <b:Last>Li</b:Last>
            <b:First>Ge</b:First>
          </b:Person>
          <b:Person>
            <b:Last>Chen</b:Last>
            <b:First>Yuanmeng</b:First>
          </b:Person>
        </b:NameList>
      </b:Author>
      <b:Editor>
        <b:NameList>
          <b:Person>
            <b:Last>Panigrahi</b:Last>
            <b:First>Sibarama</b:First>
          </b:Person>
        </b:NameList>
      </b:Editor>
    </b:Author>
    <b:Month>October</b:Month>
    <b:Day>6</b:Day>
    <b:Volume>20</b:Volume>
    <b:Issue>10</b:Issue>
    <b:DOI>10.1371/journal.pone.0333094</b:DOI>
    <b:RefOrder>53</b:RefOrder>
  </b:Source>
  <b:Source>
    <b:Tag>Han25</b:Tag>
    <b:SourceType>JournalArticle</b:SourceType>
    <b:Guid>{A66452C0-47DE-477F-A6CF-26423B2CE94C}</b:Guid>
    <b:Title>Traffic-Forecasting Model with Spatio-Temporal Kernel</b:Title>
    <b:JournalName>Electronics</b:JournalName>
    <b:Year>2025</b:Year>
    <b:Pages>1410</b:Pages>
    <b:Author>
      <b:Author>
        <b:NameList>
          <b:Person>
            <b:Last>Deng</b:Last>
            <b:First>Han</b:First>
          </b:Person>
        </b:NameList>
      </b:Author>
    </b:Author>
    <b:Month>March</b:Month>
    <b:Day>31</b:Day>
    <b:Publisher>MDPI</b:Publisher>
    <b:Volume>14</b:Volume>
    <b:Issue>7</b:Issue>
    <b:DOI>10.3390/electronics14071410</b:DOI>
    <b:RefOrder>54</b:RefOrder>
  </b:Source>
  <b:Source>
    <b:Tag>Zhe23</b:Tag>
    <b:SourceType>JournalArticle</b:SourceType>
    <b:Guid>{D7C0AFC2-09FC-4C6B-B542-5CB8A8C44582}</b:Guid>
    <b:Title>ADSTGCN: A Dynamic Adaptive Deeper Spatio-Temporal Graph Convolutional Network for Multi-Step Traffic Forecasting</b:Title>
    <b:JournalName>Sensors</b:JournalName>
    <b:Year>2023</b:Year>
    <b:Pages>6950</b:Pages>
    <b:Author>
      <b:Author>
        <b:NameList>
          <b:Person>
            <b:Last>Cui</b:Last>
            <b:First>Zhengyan</b:First>
          </b:Person>
          <b:Person>
            <b:Last>Zhang</b:Last>
            <b:First>Junjun</b:First>
          </b:Person>
          <b:Person>
            <b:Last>Noh</b:Last>
            <b:First>Giseop</b:First>
          </b:Person>
          <b:Person>
            <b:Last>Park</b:Last>
            <b:First>Hyun</b:First>
            <b:Middle>Jun</b:Middle>
          </b:Person>
        </b:NameList>
      </b:Author>
    </b:Author>
    <b:Month>August</b:Month>
    <b:Day>23</b:Day>
    <b:Publisher>MDPI</b:Publisher>
    <b:Volume>23</b:Volume>
    <b:Issue>15</b:Issue>
    <b:DOI>10.3390/s23156950</b:DOI>
    <b:RefOrder>55</b:RefOrder>
  </b:Source>
  <b:Source>
    <b:Tag>Lib23</b:Tag>
    <b:SourceType>JournalArticle</b:SourceType>
    <b:Guid>{C00E926B-0488-4B3B-96B7-5AE732064C98}</b:Guid>
    <b:Title>CSFPre: Expressway key sections based on CEEMDAN-STSGCN-FCM during the holidays for traffic flow prediction</b:Title>
    <b:JournalName>PLoS One</b:JournalName>
    <b:Year>2023</b:Year>
    <b:Pages>1 - 22</b:Pages>
    <b:Author>
      <b:Author>
        <b:NameList>
          <b:Person>
            <b:Last>Chen</b:Last>
            <b:First>Libiao</b:First>
          </b:Person>
          <b:Person>
            <b:Last>Ren</b:Last>
            <b:First>Qiang</b:First>
          </b:Person>
          <b:Person>
            <b:Last>Zheng</b:Last>
            <b:First>Juncheng</b:First>
          </b:Person>
          <b:Person>
            <b:Last>Zou</b:Last>
            <b:First>Fumin</b:First>
          </b:Person>
          <b:Person>
            <b:Last>Luo</b:Last>
            <b:First>Sheng</b:First>
          </b:Person>
          <b:Person>
            <b:Last>Tian</b:Last>
            <b:First>Junshan</b:First>
          </b:Person>
          <b:Person>
            <b:Last>Xing</b:Last>
            <b:First>Yue</b:First>
          </b:Person>
        </b:NameList>
      </b:Author>
      <b:Editor>
        <b:NameList>
          <b:Person>
            <b:Last>Rashid</b:Last>
            <b:First>Tarik</b:First>
            <b:Middle>A.</b:Middle>
          </b:Person>
        </b:NameList>
      </b:Editor>
    </b:Author>
    <b:Month>April</b:Month>
    <b:Day>5</b:Day>
    <b:Volume>18</b:Volume>
    <b:Issue>4</b:Issue>
    <b:DOI>10.1371/journal.pone.0283898</b:DOI>
    <b:RefOrder>56</b:RefOrder>
  </b:Source>
  <b:Source>
    <b:Tag>Jia251</b:Tag>
    <b:SourceType>JournalArticle</b:SourceType>
    <b:Guid>{66BBDC40-7BFD-4C74-8D0F-C867D0140FB9}</b:Guid>
    <b:Title>STFDSGCN: Spatio-Temporal Fusion Graph Neural Network Based on Dynamic Sparse Graph Convolution GRU for Traffic Flow Forecast</b:Title>
    <b:JournalName>Sensors</b:JournalName>
    <b:Year>2025</b:Year>
    <b:Pages>3446</b:Pages>
    <b:Author>
      <b:Author>
        <b:NameList>
          <b:Person>
            <b:Last>Chang</b:Last>
            <b:First>Jiahao</b:First>
          </b:Person>
          <b:Person>
            <b:Last>Yin</b:Last>
            <b:First>Jiali</b:First>
          </b:Person>
          <b:Person>
            <b:Last>Hao</b:Last>
            <b:First>Yanrong</b:First>
          </b:Person>
          <b:Person>
            <b:Last>Gao</b:Last>
            <b:First>Chengxin</b:First>
          </b:Person>
        </b:NameList>
      </b:Author>
    </b:Author>
    <b:Month>May</b:Month>
    <b:Day>30</b:Day>
    <b:Publisher>MDPI</b:Publisher>
    <b:Volume>25</b:Volume>
    <b:Issue>11</b:Issue>
    <b:DOI>10.3390/s25113446</b:DOI>
    <b:RefOrder>57</b:RefOrder>
  </b:Source>
  <b:Source>
    <b:Tag>Jie26</b:Tag>
    <b:SourceType>JournalArticle</b:SourceType>
    <b:Guid>{612C4E37-756F-4CB8-ACFC-8F163B10F3AF}</b:Guid>
    <b:Title>PDR-STGCN: An Enhanced STGCN with Multi-Scale Periodic Fusion and a Dynamic Relational Graph for Traffic Forecasting</b:Title>
    <b:JournalName>Systems</b:JournalName>
    <b:Year>2026</b:Year>
    <b:Pages>102</b:Pages>
    <b:Author>
      <b:Author>
        <b:NameList>
          <b:Person>
            <b:Last>Hu</b:Last>
            <b:First>Jie</b:First>
          </b:Person>
          <b:Person>
            <b:Last>Tang</b:Last>
            <b:First>Bingbing</b:First>
          </b:Person>
          <b:Person>
            <b:Last>Zhu</b:Last>
            <b:First>Langsha</b:First>
          </b:Person>
          <b:Person>
            <b:Last>Li</b:Last>
            <b:First>Yiting</b:First>
          </b:Person>
          <b:Person>
            <b:Last>Hu</b:Last>
            <b:First>Jianjun</b:First>
          </b:Person>
          <b:Person>
            <b:Last>Yang</b:Last>
            <b:First>Guanci</b:First>
          </b:Person>
        </b:NameList>
      </b:Author>
    </b:Author>
    <b:Month>January</b:Month>
    <b:Day>18</b:Day>
    <b:Publisher>MDPI</b:Publisher>
    <b:Volume>14</b:Volume>
    <b:Issue>1</b:Issue>
    <b:DOI>10.3390/systems14010102</b:DOI>
    <b:RefOrder>58</b:RefOrder>
  </b:Source>
  <b:Source>
    <b:Tag>Xia25</b:Tag>
    <b:SourceType>JournalArticle</b:SourceType>
    <b:Guid>{71B37ECE-03CB-469E-96E4-F46048C9FDA6}</b:Guid>
    <b:Title>Time Series Forecasting Method Based on Multi-Scale Feature Fusion and Autoformer</b:Title>
    <b:JournalName>Applied Science</b:JournalName>
    <b:Year>2025</b:Year>
    <b:Pages>3768</b:Pages>
    <b:Author>
      <b:Author>
        <b:NameList>
          <b:Person>
            <b:Last>Ma</b:Last>
            <b:First>Xiangkai</b:First>
          </b:Person>
          <b:Person>
            <b:Last>Zhang</b:Last>
            <b:First>Huaxiong</b:First>
          </b:Person>
        </b:NameList>
      </b:Author>
    </b:Author>
    <b:Month>March</b:Month>
    <b:Day>29</b:Day>
    <b:Publisher>MDPI</b:Publisher>
    <b:Volume>15</b:Volume>
    <b:Issue>7</b:Issue>
    <b:DOI>10.3390/app15073768</b:DOI>
    <b:RefOrder>59</b:RefOrder>
  </b:Source>
  <b:Source>
    <b:Tag>Yao24</b:Tag>
    <b:SourceType>JournalArticle</b:SourceType>
    <b:Guid>{88BED748-05A3-4B6D-BDE9-AF279B2EF068}</b:Guid>
    <b:Title>Graph Attention Informer for Long-Term Traffic Flow Prediction under the Impact of Sports Events</b:Title>
    <b:JournalName>Sensors</b:JournalName>
    <b:Year>2024</b:Year>
    <b:Pages>4796</b:Pages>
    <b:Author>
      <b:Author>
        <b:NameList>
          <b:Person>
            <b:Last>Song</b:Last>
            <b:First>Yaofeng</b:First>
          </b:Person>
          <b:Person>
            <b:Last>Luo</b:Last>
            <b:First>Ruikang</b:First>
          </b:Person>
          <b:Person>
            <b:Last>Zhou</b:Last>
            <b:First>Tianchen</b:First>
          </b:Person>
          <b:Person>
            <b:Last>Zhou</b:Last>
            <b:First>Changgen</b:First>
          </b:Person>
          <b:Person>
            <b:Last>Su</b:Last>
            <b:First>Rong</b:First>
          </b:Person>
        </b:NameList>
      </b:Author>
    </b:Author>
    <b:Month>July</b:Month>
    <b:Day>24</b:Day>
    <b:Publisher>MDPI</b:Publisher>
    <b:Volume>24</b:Volume>
    <b:Issue>15</b:Issue>
    <b:DOI>10.3390/s24154796</b:DOI>
    <b:RefOrder>60</b:RefOrder>
  </b:Source>
</b:Sources>
</file>

<file path=customXml/itemProps1.xml><?xml version="1.0" encoding="utf-8"?>
<ds:datastoreItem xmlns:ds="http://schemas.openxmlformats.org/officeDocument/2006/customXml" ds:itemID="{D5A67C6B-BBE8-4D4B-A977-330DDDD32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5832</TotalTime>
  <Pages>66</Pages>
  <Words>15826</Words>
  <Characters>90214</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1016</cp:revision>
  <dcterms:created xsi:type="dcterms:W3CDTF">2026-03-19T04:55:00Z</dcterms:created>
  <dcterms:modified xsi:type="dcterms:W3CDTF">2026-06-15T10:44:00Z</dcterms:modified>
</cp:coreProperties>
</file>