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axuqdyjnfeey" w:colFirst="0" w:colLast="0"/>
    <w:bookmarkEnd w:id="0"/>
    <w:p w:rsidR="0092199C" w:rsidRDefault="005A2F98">
      <w:pPr>
        <w:pStyle w:val="1"/>
        <w:shd w:val="clear" w:color="auto" w:fill="FFFFFF"/>
        <w:spacing w:before="0" w:after="0" w:line="261" w:lineRule="auto"/>
      </w:pPr>
      <w:r>
        <w:fldChar w:fldCharType="begin"/>
      </w:r>
      <w:r>
        <w:instrText xml:space="preserve"> HYPERLINK "https://its.1c.ru/db/v8std" \l "content:788:hdoc" \h </w:instrText>
      </w:r>
      <w:r>
        <w:fldChar w:fldCharType="separate"/>
      </w:r>
      <w:r>
        <w:rPr>
          <w:rFonts w:ascii="Roboto" w:eastAsia="Roboto" w:hAnsi="Roboto" w:cs="Roboto"/>
          <w:color w:val="1155CC"/>
          <w:sz w:val="20"/>
          <w:szCs w:val="20"/>
          <w:u w:val="single"/>
        </w:rPr>
        <w:t>1С</w:t>
      </w:r>
      <w:proofErr w:type="gramStart"/>
      <w:r>
        <w:rPr>
          <w:rFonts w:ascii="Roboto" w:eastAsia="Roboto" w:hAnsi="Roboto" w:cs="Roboto"/>
          <w:color w:val="1155CC"/>
          <w:sz w:val="20"/>
          <w:szCs w:val="20"/>
          <w:u w:val="single"/>
        </w:rPr>
        <w:t>:П</w:t>
      </w:r>
      <w:proofErr w:type="gramEnd"/>
      <w:r>
        <w:rPr>
          <w:rFonts w:ascii="Roboto" w:eastAsia="Roboto" w:hAnsi="Roboto" w:cs="Roboto"/>
          <w:color w:val="1155CC"/>
          <w:sz w:val="20"/>
          <w:szCs w:val="20"/>
          <w:u w:val="single"/>
        </w:rPr>
        <w:t>редприятие 8. Система стандартов и методик разработки конфигураций</w:t>
      </w:r>
      <w:r>
        <w:rPr>
          <w:rFonts w:ascii="Roboto" w:eastAsia="Roboto" w:hAnsi="Roboto" w:cs="Roboto"/>
          <w:color w:val="1155CC"/>
          <w:sz w:val="20"/>
          <w:szCs w:val="20"/>
          <w:u w:val="single"/>
        </w:rPr>
        <w:fldChar w:fldCharType="end"/>
      </w:r>
    </w:p>
    <w:p w:rsidR="0092199C" w:rsidRDefault="005A2F98">
      <w:pPr>
        <w:pStyle w:val="1"/>
        <w:jc w:val="both"/>
      </w:pPr>
      <w:bookmarkStart w:id="1" w:name="_qw2m5hfsz356" w:colFirst="0" w:colLast="0"/>
      <w:bookmarkEnd w:id="1"/>
      <w:r>
        <w:t>Обзор новых систем стандартов разработки</w:t>
      </w:r>
    </w:p>
    <w:p w:rsidR="0092199C" w:rsidRDefault="005A2F98">
      <w:pPr>
        <w:pStyle w:val="2"/>
      </w:pPr>
      <w:bookmarkStart w:id="2" w:name="_9coj7zcx1obp" w:colFirst="0" w:colLast="0"/>
      <w:bookmarkEnd w:id="2"/>
      <w:r>
        <w:t>Цель доклада</w:t>
      </w:r>
    </w:p>
    <w:p w:rsidR="0092199C" w:rsidRDefault="005A2F98">
      <w:proofErr w:type="gramStart"/>
      <w:r>
        <w:t>Рассказать коллегам вкратце рассказать</w:t>
      </w:r>
      <w:proofErr w:type="gramEnd"/>
      <w:r>
        <w:t xml:space="preserve"> о важных нововведениях в систему стандартов разработки.</w:t>
      </w:r>
    </w:p>
    <w:p w:rsidR="0092199C" w:rsidRDefault="0092199C"/>
    <w:p w:rsidR="0092199C" w:rsidRDefault="005A2F98">
      <w:pPr>
        <w:pStyle w:val="2"/>
      </w:pPr>
      <w:bookmarkStart w:id="3" w:name="_pzwsc7dyqdo8" w:colFirst="0" w:colLast="0"/>
      <w:bookmarkEnd w:id="3"/>
      <w:r>
        <w:t>Структура доклада</w:t>
      </w:r>
    </w:p>
    <w:tbl>
      <w:tblPr>
        <w:tblStyle w:val="a5"/>
        <w:tblW w:w="4975" w:type="dxa"/>
        <w:tblInd w:w="0" w:type="dxa"/>
        <w:tblBorders>
          <w:top w:val="single" w:sz="5" w:space="0" w:color="B3AC86"/>
          <w:left w:val="single" w:sz="5" w:space="0" w:color="B3AC86"/>
          <w:bottom w:val="single" w:sz="5" w:space="0" w:color="B3AC86"/>
          <w:right w:val="single" w:sz="5" w:space="0" w:color="B3AC86"/>
          <w:insideH w:val="single" w:sz="5" w:space="0" w:color="B3AC86"/>
          <w:insideV w:val="single" w:sz="5" w:space="0" w:color="B3AC86"/>
        </w:tblBorders>
        <w:tblLayout w:type="fixed"/>
        <w:tblLook w:val="0600" w:firstRow="0" w:lastRow="0" w:firstColumn="0" w:lastColumn="0" w:noHBand="1" w:noVBand="1"/>
      </w:tblPr>
      <w:tblGrid>
        <w:gridCol w:w="2555"/>
        <w:gridCol w:w="545"/>
        <w:gridCol w:w="635"/>
        <w:gridCol w:w="620"/>
        <w:gridCol w:w="620"/>
      </w:tblGrid>
      <w:tr w:rsidR="0092199C">
        <w:trPr>
          <w:trHeight w:val="560"/>
        </w:trPr>
        <w:tc>
          <w:tcPr>
            <w:tcW w:w="2555" w:type="dxa"/>
            <w:tcBorders>
              <w:top w:val="single" w:sz="5" w:space="0" w:color="B3AC86"/>
              <w:left w:val="single" w:sz="5" w:space="0" w:color="B3AC86"/>
              <w:bottom w:val="single" w:sz="5" w:space="0" w:color="B3AC86"/>
              <w:right w:val="single" w:sz="5" w:space="0" w:color="B3AC8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99C" w:rsidRDefault="005A2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GoBack"/>
            <w:bookmarkEnd w:id="4"/>
            <w:r>
              <w:t>Н</w:t>
            </w:r>
            <w:r>
              <w:t>овые функции</w:t>
            </w:r>
          </w:p>
        </w:tc>
        <w:tc>
          <w:tcPr>
            <w:tcW w:w="545" w:type="dxa"/>
            <w:tcBorders>
              <w:top w:val="single" w:sz="5" w:space="0" w:color="B3AC86"/>
              <w:left w:val="single" w:sz="5" w:space="0" w:color="B3AC86"/>
              <w:bottom w:val="single" w:sz="5" w:space="0" w:color="B3AC86"/>
              <w:right w:val="single" w:sz="5" w:space="0" w:color="B3AC86"/>
            </w:tcBorders>
            <w:shd w:val="clear" w:color="auto" w:fill="90EE9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99C" w:rsidRDefault="005A2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v</w:t>
            </w:r>
          </w:p>
        </w:tc>
        <w:tc>
          <w:tcPr>
            <w:tcW w:w="635" w:type="dxa"/>
            <w:tcBorders>
              <w:top w:val="single" w:sz="5" w:space="0" w:color="B3AC86"/>
              <w:left w:val="single" w:sz="5" w:space="0" w:color="B3AC86"/>
              <w:bottom w:val="single" w:sz="5" w:space="0" w:color="B3AC86"/>
              <w:right w:val="single" w:sz="5" w:space="0" w:color="B3AC86"/>
            </w:tcBorders>
            <w:shd w:val="clear" w:color="auto" w:fill="90EE9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99C" w:rsidRDefault="005A2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v</w:t>
            </w:r>
          </w:p>
        </w:tc>
        <w:tc>
          <w:tcPr>
            <w:tcW w:w="620" w:type="dxa"/>
            <w:tcBorders>
              <w:top w:val="single" w:sz="5" w:space="0" w:color="B3AC86"/>
              <w:left w:val="single" w:sz="5" w:space="0" w:color="B3AC86"/>
              <w:bottom w:val="single" w:sz="5" w:space="0" w:color="B3AC86"/>
              <w:right w:val="single" w:sz="5" w:space="0" w:color="B3AC86"/>
            </w:tcBorders>
            <w:shd w:val="clear" w:color="auto" w:fill="90EE9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99C" w:rsidRDefault="005A2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v</w:t>
            </w:r>
          </w:p>
        </w:tc>
        <w:tc>
          <w:tcPr>
            <w:tcW w:w="620" w:type="dxa"/>
            <w:tcBorders>
              <w:top w:val="single" w:sz="5" w:space="0" w:color="B3AC86"/>
              <w:left w:val="single" w:sz="5" w:space="0" w:color="B3AC86"/>
              <w:bottom w:val="single" w:sz="5" w:space="0" w:color="B3AC86"/>
              <w:right w:val="single" w:sz="5" w:space="0" w:color="B3AC86"/>
            </w:tcBorders>
            <w:shd w:val="clear" w:color="auto" w:fill="FFE4B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99C" w:rsidRDefault="005A2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x</w:t>
            </w:r>
          </w:p>
        </w:tc>
      </w:tr>
      <w:tr w:rsidR="0092199C">
        <w:trPr>
          <w:trHeight w:val="560"/>
        </w:trPr>
        <w:tc>
          <w:tcPr>
            <w:tcW w:w="2555" w:type="dxa"/>
            <w:tcBorders>
              <w:top w:val="single" w:sz="5" w:space="0" w:color="B3AC86"/>
              <w:left w:val="single" w:sz="5" w:space="0" w:color="B3AC86"/>
              <w:bottom w:val="single" w:sz="5" w:space="0" w:color="B3AC86"/>
              <w:right w:val="single" w:sz="5" w:space="0" w:color="B3AC8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99C" w:rsidRDefault="005A2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Исправлены ошибки</w:t>
            </w:r>
          </w:p>
        </w:tc>
        <w:tc>
          <w:tcPr>
            <w:tcW w:w="545" w:type="dxa"/>
            <w:tcBorders>
              <w:top w:val="single" w:sz="5" w:space="0" w:color="B3AC86"/>
              <w:left w:val="single" w:sz="5" w:space="0" w:color="B3AC86"/>
              <w:bottom w:val="single" w:sz="5" w:space="0" w:color="B3AC86"/>
              <w:right w:val="single" w:sz="5" w:space="0" w:color="B3AC86"/>
            </w:tcBorders>
            <w:shd w:val="clear" w:color="auto" w:fill="90EE9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99C" w:rsidRDefault="005A2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v</w:t>
            </w:r>
          </w:p>
        </w:tc>
        <w:tc>
          <w:tcPr>
            <w:tcW w:w="635" w:type="dxa"/>
            <w:tcBorders>
              <w:top w:val="single" w:sz="5" w:space="0" w:color="B3AC86"/>
              <w:left w:val="single" w:sz="5" w:space="0" w:color="B3AC86"/>
              <w:bottom w:val="single" w:sz="5" w:space="0" w:color="B3AC86"/>
              <w:right w:val="single" w:sz="5" w:space="0" w:color="B3AC86"/>
            </w:tcBorders>
            <w:shd w:val="clear" w:color="auto" w:fill="90EE9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99C" w:rsidRDefault="005A2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v</w:t>
            </w:r>
          </w:p>
        </w:tc>
        <w:tc>
          <w:tcPr>
            <w:tcW w:w="620" w:type="dxa"/>
            <w:tcBorders>
              <w:top w:val="single" w:sz="5" w:space="0" w:color="B3AC86"/>
              <w:left w:val="single" w:sz="5" w:space="0" w:color="B3AC86"/>
              <w:bottom w:val="single" w:sz="5" w:space="0" w:color="B3AC86"/>
              <w:right w:val="single" w:sz="5" w:space="0" w:color="B3AC86"/>
            </w:tcBorders>
            <w:shd w:val="clear" w:color="auto" w:fill="90EE9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99C" w:rsidRDefault="005A2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v</w:t>
            </w:r>
          </w:p>
        </w:tc>
        <w:tc>
          <w:tcPr>
            <w:tcW w:w="620" w:type="dxa"/>
            <w:tcBorders>
              <w:top w:val="single" w:sz="5" w:space="0" w:color="B3AC86"/>
              <w:left w:val="single" w:sz="5" w:space="0" w:color="B3AC86"/>
              <w:bottom w:val="single" w:sz="5" w:space="0" w:color="B3AC86"/>
              <w:right w:val="single" w:sz="5" w:space="0" w:color="B3AC86"/>
            </w:tcBorders>
            <w:shd w:val="clear" w:color="auto" w:fill="90EE9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199C" w:rsidRDefault="005A2F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v</w:t>
            </w:r>
          </w:p>
        </w:tc>
      </w:tr>
    </w:tbl>
    <w:p w:rsidR="0092199C" w:rsidRDefault="005A2F98">
      <w:pPr>
        <w:spacing w:before="200" w:after="200"/>
      </w:pPr>
      <w:r>
        <w:t>Здесь:</w:t>
      </w:r>
    </w:p>
    <w:p w:rsidR="0092199C" w:rsidRDefault="005A2F98">
      <w:pPr>
        <w:numPr>
          <w:ilvl w:val="0"/>
          <w:numId w:val="12"/>
        </w:numPr>
        <w:spacing w:before="200"/>
      </w:pPr>
      <w:r>
        <w:t>РР (редакция) – существенно нарушена совместимость (серьезные архитектурные или «знаковые» изменения в библиотеке);</w:t>
      </w:r>
    </w:p>
    <w:p w:rsidR="0092199C" w:rsidRDefault="005A2F98">
      <w:pPr>
        <w:numPr>
          <w:ilvl w:val="0"/>
          <w:numId w:val="12"/>
        </w:numPr>
      </w:pPr>
      <w:r>
        <w:t xml:space="preserve">ПП (номер </w:t>
      </w:r>
      <w:proofErr w:type="spellStart"/>
      <w:r>
        <w:t>подредакции</w:t>
      </w:r>
      <w:proofErr w:type="spellEnd"/>
      <w:r>
        <w:t>) – нарушена совместимость (требуется отработать инструкцию по переходу на эту версию, иначе конфигурация будет неработ</w:t>
      </w:r>
      <w:r>
        <w:t>оспособна), удалены устаревшие объекты метаданных;</w:t>
      </w:r>
    </w:p>
    <w:p w:rsidR="0092199C" w:rsidRDefault="005A2F98">
      <w:pPr>
        <w:numPr>
          <w:ilvl w:val="0"/>
          <w:numId w:val="12"/>
        </w:numPr>
      </w:pPr>
      <w:proofErr w:type="gramStart"/>
      <w:r>
        <w:t>ВВ</w:t>
      </w:r>
      <w:proofErr w:type="gramEnd"/>
      <w:r>
        <w:t xml:space="preserve"> (номер версии) – доступны только новые функции для пользователей и/или разработчиков (возможна «механическая» </w:t>
      </w:r>
      <w:proofErr w:type="spellStart"/>
      <w:r>
        <w:t>автозаливка</w:t>
      </w:r>
      <w:proofErr w:type="spellEnd"/>
      <w:r>
        <w:t xml:space="preserve"> метаданных библиотеки в конфигурацию-потребитель; инструкция по переходу на эту </w:t>
      </w:r>
      <w:r>
        <w:t>версию не обязательна, без ее отработки конфигурация сохранит работоспособность);</w:t>
      </w:r>
    </w:p>
    <w:p w:rsidR="0092199C" w:rsidRDefault="005A2F98">
      <w:pPr>
        <w:numPr>
          <w:ilvl w:val="0"/>
          <w:numId w:val="12"/>
        </w:numPr>
        <w:spacing w:after="200"/>
      </w:pPr>
      <w:r>
        <w:t xml:space="preserve">СС (номер сборки) – содержит только исправление ошибок (возможна «механическая» </w:t>
      </w:r>
      <w:proofErr w:type="spellStart"/>
      <w:r>
        <w:t>автозаливка</w:t>
      </w:r>
      <w:proofErr w:type="spellEnd"/>
      <w:r>
        <w:t xml:space="preserve"> метаданных библиотеки в </w:t>
      </w:r>
      <w:proofErr w:type="gramStart"/>
      <w:r>
        <w:t>конфигурацию-потребитель</w:t>
      </w:r>
      <w:proofErr w:type="gramEnd"/>
      <w:r>
        <w:t>).</w:t>
      </w:r>
    </w:p>
    <w:p w:rsidR="0092199C" w:rsidRDefault="005A2F98">
      <w:r>
        <w:t>Удалять устаревшие объекты мета</w:t>
      </w:r>
      <w:r>
        <w:t xml:space="preserve">данных следует не чаще раза в год в версиях, запланированных к выпуску ближе к концу года, а удаляемые объекты должны существовать не менее двух лет. При этом обязательно нужно будет поменять номер </w:t>
      </w:r>
      <w:proofErr w:type="spellStart"/>
      <w:r>
        <w:t>подредакции</w:t>
      </w:r>
      <w:proofErr w:type="spellEnd"/>
    </w:p>
    <w:p w:rsidR="0092199C" w:rsidRDefault="0092199C"/>
    <w:p w:rsidR="0092199C" w:rsidRDefault="005A2F98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Проверка прав доступа</w:t>
      </w:r>
    </w:p>
    <w:p w:rsidR="0092199C" w:rsidRDefault="005A2F98">
      <w:pPr>
        <w:spacing w:before="200" w:after="200"/>
      </w:pPr>
      <w:r>
        <w:t>Для проверки прав досту</w:t>
      </w:r>
      <w:r>
        <w:t xml:space="preserve">па в коде следует использовать метод </w:t>
      </w:r>
      <w:proofErr w:type="spellStart"/>
      <w:r>
        <w:rPr>
          <w:b/>
        </w:rPr>
        <w:t>ПравоДоступа</w:t>
      </w:r>
      <w:proofErr w:type="spellEnd"/>
      <w:r>
        <w:t>.</w:t>
      </w:r>
    </w:p>
    <w:p w:rsidR="0092199C" w:rsidRDefault="005A2F98">
      <w:pPr>
        <w:spacing w:before="200" w:after="200"/>
      </w:pPr>
      <w:r>
        <w:t>Такой подход позволяет повысить устойчивость кода к пересмотру состава ролей в конфигурации.</w:t>
      </w:r>
    </w:p>
    <w:p w:rsidR="0092199C" w:rsidRDefault="005A2F98">
      <w:pPr>
        <w:spacing w:before="200" w:after="200"/>
      </w:pPr>
      <w:r>
        <w:lastRenderedPageBreak/>
        <w:t xml:space="preserve">Но в тех случаях, где роль не дает никаких прав на объекты метаданных, а служит только для определения того или </w:t>
      </w:r>
      <w:r>
        <w:t xml:space="preserve">иного дополнительного права, следует использовать метод </w:t>
      </w:r>
      <w:proofErr w:type="spellStart"/>
      <w:r>
        <w:rPr>
          <w:b/>
        </w:rPr>
        <w:t>РольДоступна</w:t>
      </w:r>
      <w:proofErr w:type="spellEnd"/>
      <w:r>
        <w:t xml:space="preserve">. </w:t>
      </w:r>
    </w:p>
    <w:p w:rsidR="0092199C" w:rsidRDefault="0092199C"/>
    <w:p w:rsidR="0092199C" w:rsidRDefault="005A2F98">
      <w:pPr>
        <w:rPr>
          <w:b/>
          <w:sz w:val="26"/>
          <w:szCs w:val="26"/>
        </w:rPr>
      </w:pPr>
      <w:r>
        <w:rPr>
          <w:b/>
          <w:sz w:val="26"/>
          <w:szCs w:val="26"/>
        </w:rPr>
        <w:t>Многократное выполнение однотипных запросов</w:t>
      </w:r>
    </w:p>
    <w:p w:rsidR="0092199C" w:rsidRDefault="0092199C">
      <w:pPr>
        <w:rPr>
          <w:b/>
          <w:sz w:val="26"/>
          <w:szCs w:val="26"/>
        </w:rPr>
      </w:pPr>
    </w:p>
    <w:p w:rsidR="0092199C" w:rsidRDefault="005A2F98">
      <w:r>
        <w:t xml:space="preserve">Всегда нужно стараться получить данные одним запросом, чтобы избежать запросов в цикле. </w:t>
      </w:r>
    </w:p>
    <w:p w:rsidR="0092199C" w:rsidRDefault="005A2F98">
      <w:pPr>
        <w:spacing w:before="200" w:after="200"/>
      </w:pPr>
      <w:r>
        <w:t>Допускается разделение запроса на серию запросов в следующих случаях:</w:t>
      </w:r>
    </w:p>
    <w:p w:rsidR="0092199C" w:rsidRDefault="005A2F98">
      <w:pPr>
        <w:numPr>
          <w:ilvl w:val="0"/>
          <w:numId w:val="13"/>
        </w:numPr>
        <w:spacing w:before="200"/>
      </w:pPr>
      <w:r>
        <w:t>заметное усложнение разработки запроса для выбора сразу всех однотипных данных;</w:t>
      </w:r>
    </w:p>
    <w:p w:rsidR="0092199C" w:rsidRDefault="005A2F98">
      <w:pPr>
        <w:numPr>
          <w:ilvl w:val="0"/>
          <w:numId w:val="13"/>
        </w:numPr>
      </w:pPr>
      <w:r>
        <w:t>деградация производительности запроса. Например, когда запрос содержит обращение к виртуальным таблицам, ф</w:t>
      </w:r>
      <w:r>
        <w:t>ормируемым на определенную дату (как в случае с виртуальными таблицами остатков регистра накопления, срезом последних периодического регистра сведений и т.п.);</w:t>
      </w:r>
    </w:p>
    <w:p w:rsidR="0092199C" w:rsidRDefault="005A2F98">
      <w:pPr>
        <w:numPr>
          <w:ilvl w:val="0"/>
          <w:numId w:val="13"/>
        </w:numPr>
      </w:pPr>
      <w:r>
        <w:t>порционная обработка большого объема данных</w:t>
      </w:r>
    </w:p>
    <w:p w:rsidR="0092199C" w:rsidRDefault="005A2F98">
      <w:pPr>
        <w:numPr>
          <w:ilvl w:val="1"/>
          <w:numId w:val="13"/>
        </w:numPr>
      </w:pPr>
      <w:r>
        <w:t>в обработчиках обновления;</w:t>
      </w:r>
    </w:p>
    <w:p w:rsidR="0092199C" w:rsidRDefault="005A2F98">
      <w:pPr>
        <w:numPr>
          <w:ilvl w:val="1"/>
          <w:numId w:val="13"/>
        </w:numPr>
      </w:pPr>
      <w:r>
        <w:t>в групповом проведении, и</w:t>
      </w:r>
      <w:r>
        <w:t>зменении данных, удалении помеченных объектов, контроле ведения учета и т.п.;</w:t>
      </w:r>
    </w:p>
    <w:p w:rsidR="0092199C" w:rsidRDefault="005A2F98">
      <w:pPr>
        <w:numPr>
          <w:ilvl w:val="1"/>
          <w:numId w:val="13"/>
        </w:numPr>
        <w:spacing w:after="200"/>
      </w:pPr>
      <w:r>
        <w:t>при загрузке данных из файла или внешних источников, получении почты и т.п.</w:t>
      </w:r>
    </w:p>
    <w:p w:rsidR="0092199C" w:rsidRDefault="005A2F98">
      <w:pPr>
        <w:spacing w:before="200" w:after="200"/>
      </w:pPr>
      <w:r>
        <w:t>В этих случаях запросы в цикле:</w:t>
      </w:r>
    </w:p>
    <w:p w:rsidR="0092199C" w:rsidRDefault="005A2F98">
      <w:pPr>
        <w:numPr>
          <w:ilvl w:val="0"/>
          <w:numId w:val="14"/>
        </w:numPr>
        <w:spacing w:before="200"/>
      </w:pPr>
      <w:r>
        <w:t>необходимы для порционности;</w:t>
      </w:r>
    </w:p>
    <w:p w:rsidR="0092199C" w:rsidRDefault="005A2F98">
      <w:pPr>
        <w:numPr>
          <w:ilvl w:val="0"/>
          <w:numId w:val="14"/>
        </w:numPr>
      </w:pPr>
      <w:r>
        <w:t>либо они незначительно замедляют по сравн</w:t>
      </w:r>
      <w:r>
        <w:t>ению с записью самих данных;</w:t>
      </w:r>
    </w:p>
    <w:p w:rsidR="0092199C" w:rsidRDefault="005A2F98">
      <w:pPr>
        <w:numPr>
          <w:ilvl w:val="0"/>
          <w:numId w:val="14"/>
        </w:numPr>
        <w:spacing w:after="200"/>
      </w:pPr>
      <w:r>
        <w:t>либо они неустранимы на текущих средствах платформы (например, чтение и запись наборов регистра в цикле по значениям измерения).</w:t>
      </w:r>
    </w:p>
    <w:p w:rsidR="0092199C" w:rsidRDefault="0092199C"/>
    <w:p w:rsidR="0092199C" w:rsidRDefault="005A2F98">
      <w:pPr>
        <w:rPr>
          <w:b/>
          <w:sz w:val="26"/>
          <w:szCs w:val="26"/>
        </w:rPr>
      </w:pPr>
      <w:r>
        <w:rPr>
          <w:b/>
          <w:sz w:val="26"/>
          <w:szCs w:val="26"/>
        </w:rPr>
        <w:t>Особенности использования в запросах оператора ПОДОБНО</w:t>
      </w:r>
    </w:p>
    <w:p w:rsidR="0092199C" w:rsidRDefault="0092199C">
      <w:pPr>
        <w:rPr>
          <w:b/>
          <w:sz w:val="26"/>
          <w:szCs w:val="26"/>
        </w:rPr>
      </w:pPr>
    </w:p>
    <w:p w:rsidR="0092199C" w:rsidRDefault="005A2F98">
      <w:pPr>
        <w:numPr>
          <w:ilvl w:val="0"/>
          <w:numId w:val="5"/>
        </w:numPr>
      </w:pPr>
      <w:r>
        <w:t>Оператор ПОДОБНО в тексте запроса не след</w:t>
      </w:r>
      <w:r>
        <w:t>ует формировать строку шаблона вычислениями или конкатенацией.</w:t>
      </w:r>
    </w:p>
    <w:p w:rsidR="0092199C" w:rsidRDefault="005A2F98">
      <w:pPr>
        <w:numPr>
          <w:ilvl w:val="0"/>
          <w:numId w:val="5"/>
        </w:numPr>
      </w:pPr>
      <w:r>
        <w:t>Длина строки шаблона не должна превышать 1024 символа</w:t>
      </w:r>
    </w:p>
    <w:p w:rsidR="0092199C" w:rsidRDefault="005A2F98">
      <w:pPr>
        <w:numPr>
          <w:ilvl w:val="0"/>
          <w:numId w:val="5"/>
        </w:numPr>
      </w:pPr>
      <w:r>
        <w:t>Сравнение выполняется без учета регистра символов.</w:t>
      </w:r>
    </w:p>
    <w:p w:rsidR="0092199C" w:rsidRDefault="005A2F98">
      <w:pPr>
        <w:numPr>
          <w:ilvl w:val="0"/>
          <w:numId w:val="5"/>
        </w:numPr>
      </w:pPr>
      <w:r>
        <w:t>Необходимо экранировать все спецсимволы</w:t>
      </w:r>
      <w:proofErr w:type="gramStart"/>
      <w:r>
        <w:t xml:space="preserve"> (_%[]^), </w:t>
      </w:r>
      <w:proofErr w:type="gramEnd"/>
      <w:r>
        <w:t>чтобы они трактовались как часть искомо</w:t>
      </w:r>
      <w:r>
        <w:t>го текста (а не как спецсимвол). Иначе если пользователь в строке поиска, например, введет текст со скобками</w:t>
      </w:r>
      <w:proofErr w:type="gramStart"/>
      <w:r>
        <w:t xml:space="preserve"> [ ], </w:t>
      </w:r>
      <w:proofErr w:type="gramEnd"/>
      <w:r>
        <w:t xml:space="preserve">то при выполнении запроса возникнет ошибка вида: ERROR: 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: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(</w:t>
      </w:r>
      <w:proofErr w:type="spellStart"/>
      <w:r>
        <w:t>PostgreSQL</w:t>
      </w:r>
      <w:proofErr w:type="spellEnd"/>
      <w:r>
        <w:t>).</w:t>
      </w:r>
    </w:p>
    <w:p w:rsidR="0092199C" w:rsidRDefault="005A2F98">
      <w:pPr>
        <w:spacing w:before="200" w:after="200"/>
      </w:pPr>
      <w:r>
        <w:t>Для экранирования н</w:t>
      </w:r>
      <w:r>
        <w:t>еобходимо:</w:t>
      </w:r>
    </w:p>
    <w:p w:rsidR="0092199C" w:rsidRDefault="005A2F98">
      <w:pPr>
        <w:numPr>
          <w:ilvl w:val="0"/>
          <w:numId w:val="15"/>
        </w:numPr>
        <w:spacing w:before="200"/>
      </w:pPr>
      <w:r>
        <w:t>выбрать спецсимвол экранирования, например</w:t>
      </w:r>
      <w:proofErr w:type="gramStart"/>
      <w:r>
        <w:t xml:space="preserve"> (~);</w:t>
      </w:r>
      <w:proofErr w:type="gramEnd"/>
    </w:p>
    <w:p w:rsidR="0092199C" w:rsidRDefault="005A2F98">
      <w:pPr>
        <w:numPr>
          <w:ilvl w:val="0"/>
          <w:numId w:val="15"/>
        </w:numPr>
      </w:pPr>
      <w:r>
        <w:lastRenderedPageBreak/>
        <w:t>установить спецсимвол перед символами операнда, например</w:t>
      </w:r>
      <w:proofErr w:type="gramStart"/>
      <w:r>
        <w:t xml:space="preserve"> (~%). </w:t>
      </w:r>
      <w:proofErr w:type="gramEnd"/>
      <w:r>
        <w:t xml:space="preserve">Чтобы экранировать выбранный спецсимвол, его необходимо </w:t>
      </w:r>
      <w:proofErr w:type="spellStart"/>
      <w:r>
        <w:t>задвоить</w:t>
      </w:r>
      <w:proofErr w:type="spellEnd"/>
      <w:r>
        <w:t>, например (~~).</w:t>
      </w:r>
    </w:p>
    <w:p w:rsidR="0092199C" w:rsidRDefault="005A2F98">
      <w:pPr>
        <w:numPr>
          <w:ilvl w:val="0"/>
          <w:numId w:val="15"/>
        </w:numPr>
        <w:spacing w:after="200"/>
      </w:pPr>
      <w:r>
        <w:t xml:space="preserve">и дополнить шаблон ключевым словом СПЕЦСИМВОЛ. </w:t>
      </w:r>
    </w:p>
    <w:p w:rsidR="0092199C" w:rsidRDefault="005A2F98">
      <w:pPr>
        <w:spacing w:before="200" w:after="200"/>
      </w:pPr>
      <w:r>
        <w:t>"</w:t>
      </w:r>
      <w:r>
        <w:t>100~%" СПЕЦСИМВОЛ "~"</w:t>
      </w:r>
    </w:p>
    <w:p w:rsidR="0092199C" w:rsidRDefault="005A2F98">
      <w:pPr>
        <w:spacing w:before="200" w:after="200"/>
        <w:rPr>
          <w:b/>
          <w:sz w:val="26"/>
          <w:szCs w:val="26"/>
        </w:rPr>
      </w:pPr>
      <w:r>
        <w:rPr>
          <w:b/>
          <w:sz w:val="26"/>
          <w:szCs w:val="26"/>
        </w:rPr>
        <w:t>Стандартные роли в расширениях конфигурации</w:t>
      </w:r>
    </w:p>
    <w:p w:rsidR="0092199C" w:rsidRDefault="005A2F98">
      <w:pPr>
        <w:spacing w:before="200" w:after="200"/>
      </w:pPr>
      <w:r>
        <w:t xml:space="preserve">При разработке расширений конфигурации не рекомендуется заимствовать и изменять роли </w:t>
      </w:r>
      <w:proofErr w:type="spellStart"/>
      <w:r>
        <w:rPr>
          <w:b/>
        </w:rPr>
        <w:t>АдминистраторСистемы</w:t>
      </w:r>
      <w:proofErr w:type="spellEnd"/>
      <w:r>
        <w:t xml:space="preserve"> и </w:t>
      </w:r>
      <w:proofErr w:type="spellStart"/>
      <w:r>
        <w:rPr>
          <w:b/>
        </w:rPr>
        <w:t>ПолныеПрава</w:t>
      </w:r>
      <w:proofErr w:type="spellEnd"/>
      <w:r>
        <w:t>. Вместо этого необходимо добавить в расширение собственные роли по сле</w:t>
      </w:r>
      <w:r>
        <w:t>дующему принципу.</w:t>
      </w:r>
    </w:p>
    <w:p w:rsidR="0092199C" w:rsidRDefault="005A2F98">
      <w:pPr>
        <w:spacing w:before="200" w:after="200"/>
      </w:pPr>
      <w:r>
        <w:t>В простейшем случае, если права на все объекты расширения одинаковы для всех категорий пользователей, то создать одну роль с указанным именем, настроить в ней необходимые права на объекты расширения и включить ее в основные роли расширени</w:t>
      </w:r>
      <w:r>
        <w:t>я:</w:t>
      </w:r>
    </w:p>
    <w:p w:rsidR="0092199C" w:rsidRDefault="005A2F98">
      <w:pPr>
        <w:numPr>
          <w:ilvl w:val="0"/>
          <w:numId w:val="1"/>
        </w:numPr>
        <w:spacing w:before="200" w:after="200"/>
      </w:pPr>
      <w:r>
        <w:t>&lt;</w:t>
      </w:r>
      <w:proofErr w:type="spellStart"/>
      <w:r>
        <w:t>ПрефиксРасширения</w:t>
      </w:r>
      <w:proofErr w:type="spellEnd"/>
      <w:r>
        <w:t>&gt;</w:t>
      </w:r>
      <w:proofErr w:type="spellStart"/>
      <w:r>
        <w:rPr>
          <w:b/>
        </w:rPr>
        <w:t>ОбщиеПрава</w:t>
      </w:r>
      <w:proofErr w:type="spellEnd"/>
    </w:p>
    <w:p w:rsidR="0092199C" w:rsidRDefault="005A2F98">
      <w:pPr>
        <w:spacing w:before="200" w:after="200"/>
      </w:pPr>
      <w:r>
        <w:t>Если права на объекты расширения различаются для администратора и пользователей, то создать две роли с именами:</w:t>
      </w:r>
    </w:p>
    <w:p w:rsidR="0092199C" w:rsidRDefault="005A2F98">
      <w:pPr>
        <w:numPr>
          <w:ilvl w:val="0"/>
          <w:numId w:val="7"/>
        </w:numPr>
        <w:spacing w:before="200"/>
      </w:pPr>
      <w:r>
        <w:t>&lt;</w:t>
      </w:r>
      <w:proofErr w:type="spellStart"/>
      <w:r>
        <w:t>ПрефиксРасширения</w:t>
      </w:r>
      <w:proofErr w:type="spellEnd"/>
      <w:r>
        <w:t>&gt;</w:t>
      </w:r>
      <w:proofErr w:type="spellStart"/>
      <w:r>
        <w:rPr>
          <w:b/>
        </w:rPr>
        <w:t>ПолныеПрава</w:t>
      </w:r>
      <w:proofErr w:type="spellEnd"/>
      <w:r>
        <w:t xml:space="preserve"> (включить в основные роли расширения)</w:t>
      </w:r>
    </w:p>
    <w:p w:rsidR="0092199C" w:rsidRDefault="005A2F98">
      <w:pPr>
        <w:numPr>
          <w:ilvl w:val="0"/>
          <w:numId w:val="7"/>
        </w:numPr>
        <w:spacing w:after="200"/>
      </w:pPr>
      <w:r>
        <w:t>&lt;</w:t>
      </w:r>
      <w:proofErr w:type="spellStart"/>
      <w:r>
        <w:t>ПрефиксРасширения</w:t>
      </w:r>
      <w:proofErr w:type="spellEnd"/>
      <w:r>
        <w:t>&gt;</w:t>
      </w:r>
      <w:proofErr w:type="spellStart"/>
      <w:r>
        <w:rPr>
          <w:b/>
        </w:rPr>
        <w:t>БазовыеПрава</w:t>
      </w:r>
      <w:proofErr w:type="spellEnd"/>
    </w:p>
    <w:p w:rsidR="0092199C" w:rsidRDefault="005A2F98">
      <w:pPr>
        <w:spacing w:before="200" w:after="200"/>
      </w:pPr>
      <w:r>
        <w:t>Если права</w:t>
      </w:r>
      <w:r>
        <w:t xml:space="preserve"> на объекты расширения различаются  для администратора, пользователей и внешних пользователей, то создать три роли с именами:</w:t>
      </w:r>
    </w:p>
    <w:p w:rsidR="0092199C" w:rsidRDefault="005A2F98">
      <w:pPr>
        <w:numPr>
          <w:ilvl w:val="0"/>
          <w:numId w:val="11"/>
        </w:numPr>
        <w:spacing w:before="200"/>
      </w:pPr>
      <w:r>
        <w:t>&lt;</w:t>
      </w:r>
      <w:proofErr w:type="spellStart"/>
      <w:r>
        <w:t>ПрефиксРасширения</w:t>
      </w:r>
      <w:proofErr w:type="spellEnd"/>
      <w:r>
        <w:t>&gt;</w:t>
      </w:r>
      <w:proofErr w:type="spellStart"/>
      <w:r>
        <w:rPr>
          <w:b/>
        </w:rPr>
        <w:t>ПолныеПрава</w:t>
      </w:r>
      <w:proofErr w:type="spellEnd"/>
      <w:r>
        <w:t xml:space="preserve"> (включить в основные роли расширения)</w:t>
      </w:r>
    </w:p>
    <w:p w:rsidR="0092199C" w:rsidRDefault="005A2F98">
      <w:pPr>
        <w:numPr>
          <w:ilvl w:val="0"/>
          <w:numId w:val="11"/>
        </w:numPr>
      </w:pPr>
      <w:r>
        <w:t>&lt;</w:t>
      </w:r>
      <w:proofErr w:type="spellStart"/>
      <w:r>
        <w:t>ПрефиксРасширения</w:t>
      </w:r>
      <w:proofErr w:type="spellEnd"/>
      <w:r>
        <w:t>&gt;</w:t>
      </w:r>
      <w:proofErr w:type="spellStart"/>
      <w:r>
        <w:rPr>
          <w:b/>
        </w:rPr>
        <w:t>БазовыеПрава</w:t>
      </w:r>
      <w:proofErr w:type="spellEnd"/>
    </w:p>
    <w:p w:rsidR="0092199C" w:rsidRDefault="005A2F98">
      <w:pPr>
        <w:numPr>
          <w:ilvl w:val="0"/>
          <w:numId w:val="11"/>
        </w:numPr>
        <w:spacing w:after="200"/>
      </w:pPr>
      <w:r>
        <w:t>&lt;</w:t>
      </w:r>
      <w:proofErr w:type="spellStart"/>
      <w:r>
        <w:t>ПрефиксРасширения</w:t>
      </w:r>
      <w:proofErr w:type="spellEnd"/>
      <w:r>
        <w:t>&gt;</w:t>
      </w:r>
      <w:proofErr w:type="spellStart"/>
      <w:r>
        <w:rPr>
          <w:b/>
        </w:rPr>
        <w:t>БазовыеПра</w:t>
      </w:r>
      <w:r>
        <w:rPr>
          <w:b/>
        </w:rPr>
        <w:t>ваВнешнихПользователей</w:t>
      </w:r>
      <w:proofErr w:type="spellEnd"/>
    </w:p>
    <w:p w:rsidR="0092199C" w:rsidRDefault="0092199C">
      <w:pPr>
        <w:spacing w:before="200" w:after="200"/>
      </w:pPr>
    </w:p>
    <w:p w:rsidR="0092199C" w:rsidRDefault="005A2F98">
      <w:pPr>
        <w:spacing w:before="200" w:after="200"/>
        <w:rPr>
          <w:b/>
          <w:sz w:val="26"/>
          <w:szCs w:val="26"/>
        </w:rPr>
      </w:pPr>
      <w:r>
        <w:rPr>
          <w:b/>
          <w:sz w:val="26"/>
          <w:szCs w:val="26"/>
        </w:rPr>
        <w:t>Использование журнала регистрации</w:t>
      </w:r>
    </w:p>
    <w:p w:rsidR="0092199C" w:rsidRDefault="005A2F98">
      <w:pPr>
        <w:spacing w:before="200" w:after="200"/>
      </w:pPr>
      <w:r>
        <w:rPr>
          <w:rFonts w:ascii="Verdana" w:eastAsia="Verdana" w:hAnsi="Verdana" w:cs="Verdana"/>
          <w:b/>
        </w:rPr>
        <w:t xml:space="preserve"> </w:t>
      </w:r>
      <w:r>
        <w:rPr>
          <w:b/>
        </w:rPr>
        <w:t>Строковый идентификатор типа события.</w:t>
      </w:r>
      <w:r>
        <w:t xml:space="preserve"> Как правило, список типов событий в конфигурации может быть сколь угодно большим, поэтому типы событий рекомендуется группировать по функциональному признаку: </w:t>
      </w:r>
      <w:r>
        <w:t xml:space="preserve">«Название группы </w:t>
      </w:r>
      <w:proofErr w:type="spellStart"/>
      <w:r>
        <w:t>событий</w:t>
      </w:r>
      <w:proofErr w:type="gramStart"/>
      <w:r>
        <w:t>.Н</w:t>
      </w:r>
      <w:proofErr w:type="gramEnd"/>
      <w:r>
        <w:t>азвание</w:t>
      </w:r>
      <w:proofErr w:type="spellEnd"/>
      <w:r>
        <w:t xml:space="preserve"> события». </w:t>
      </w:r>
    </w:p>
    <w:p w:rsidR="0092199C" w:rsidRDefault="005A2F98">
      <w:pPr>
        <w:spacing w:before="200" w:after="200"/>
      </w:pPr>
      <w:r>
        <w:t>Тип события предназначен для отбора однотипных записей из журнала регистрации, поэтому неправильно включать в него любую избыточную информацию – конкретные значения из информационной базы или внешних систем. Например, неправильно:</w:t>
      </w:r>
    </w:p>
    <w:p w:rsidR="0092199C" w:rsidRDefault="005A2F98">
      <w:pPr>
        <w:numPr>
          <w:ilvl w:val="0"/>
          <w:numId w:val="6"/>
        </w:numPr>
        <w:spacing w:before="200"/>
      </w:pPr>
      <w:r>
        <w:t>Не удалось отменить прове</w:t>
      </w:r>
      <w:r>
        <w:t>дение документа &lt;Реализация КП00-00002 от 11&gt;</w:t>
      </w:r>
    </w:p>
    <w:p w:rsidR="0092199C" w:rsidRDefault="005A2F98">
      <w:pPr>
        <w:numPr>
          <w:ilvl w:val="0"/>
          <w:numId w:val="6"/>
        </w:numPr>
        <w:spacing w:after="200"/>
      </w:pPr>
      <w:r>
        <w:t>В информационной базе не найден сотрудник Найденова, банковская карта 3333</w:t>
      </w:r>
    </w:p>
    <w:p w:rsidR="0092199C" w:rsidRDefault="005A2F98">
      <w:pPr>
        <w:spacing w:before="200" w:after="200"/>
      </w:pPr>
      <w:r>
        <w:lastRenderedPageBreak/>
        <w:t xml:space="preserve">Правильно помещать метаданные в параметр </w:t>
      </w:r>
      <w:r>
        <w:rPr>
          <w:b/>
        </w:rPr>
        <w:t>Метаданные</w:t>
      </w:r>
      <w:r>
        <w:t xml:space="preserve">, а данные – в параметр </w:t>
      </w:r>
      <w:r>
        <w:rPr>
          <w:b/>
        </w:rPr>
        <w:t>Данные</w:t>
      </w:r>
      <w:r>
        <w:t xml:space="preserve"> метода </w:t>
      </w:r>
      <w:proofErr w:type="spellStart"/>
      <w:r>
        <w:rPr>
          <w:b/>
        </w:rPr>
        <w:t>ЗаписьЖурналаРегистрации</w:t>
      </w:r>
      <w:proofErr w:type="spellEnd"/>
      <w:r>
        <w:t>, и использовать более</w:t>
      </w:r>
      <w:r>
        <w:t xml:space="preserve"> общие типы событий:</w:t>
      </w:r>
    </w:p>
    <w:p w:rsidR="0092199C" w:rsidRDefault="005A2F98">
      <w:pPr>
        <w:numPr>
          <w:ilvl w:val="0"/>
          <w:numId w:val="2"/>
        </w:numPr>
        <w:spacing w:before="200"/>
      </w:pPr>
      <w:r>
        <w:t xml:space="preserve">Проведение </w:t>
      </w:r>
      <w:proofErr w:type="spellStart"/>
      <w:r>
        <w:t>документов</w:t>
      </w:r>
      <w:proofErr w:type="gramStart"/>
      <w:r>
        <w:t>.Н</w:t>
      </w:r>
      <w:proofErr w:type="gramEnd"/>
      <w:r>
        <w:t>е</w:t>
      </w:r>
      <w:proofErr w:type="spellEnd"/>
      <w:r>
        <w:t xml:space="preserve"> удалось отменить проведение</w:t>
      </w:r>
    </w:p>
    <w:p w:rsidR="0092199C" w:rsidRDefault="005A2F98">
      <w:pPr>
        <w:numPr>
          <w:ilvl w:val="0"/>
          <w:numId w:val="2"/>
        </w:numPr>
        <w:spacing w:after="200"/>
      </w:pPr>
      <w:proofErr w:type="spellStart"/>
      <w:r>
        <w:t>Сотрудники</w:t>
      </w:r>
      <w:proofErr w:type="gramStart"/>
      <w:r>
        <w:t>.В</w:t>
      </w:r>
      <w:proofErr w:type="spellEnd"/>
      <w:proofErr w:type="gramEnd"/>
      <w:r>
        <w:t xml:space="preserve"> информационной базе не найден сотрудник</w:t>
      </w:r>
    </w:p>
    <w:p w:rsidR="0092199C" w:rsidRDefault="005A2F98">
      <w:pPr>
        <w:spacing w:before="200" w:after="200"/>
        <w:rPr>
          <w:b/>
          <w:sz w:val="26"/>
          <w:szCs w:val="26"/>
        </w:rPr>
      </w:pPr>
      <w:r>
        <w:rPr>
          <w:b/>
          <w:sz w:val="26"/>
          <w:szCs w:val="26"/>
        </w:rPr>
        <w:t>Использование объектов типа Структура</w:t>
      </w:r>
    </w:p>
    <w:p w:rsidR="0092199C" w:rsidRDefault="005A2F98">
      <w:pPr>
        <w:spacing w:before="200" w:after="200"/>
      </w:pPr>
      <w:r>
        <w:t>Не рекомендуется в разных частях программного кода добавлять в структуру свойства и затем проверять их наличие в структуре. Следует сразу создавать структуру со значением свойств по умолчанию. Помимо повышения читаемости, это позволяет эффективнее применят</w:t>
      </w:r>
      <w:r>
        <w:t>ь различные средства автоматической проверки и обработки кода.</w:t>
      </w:r>
    </w:p>
    <w:p w:rsidR="0092199C" w:rsidRDefault="005A2F98">
      <w:pPr>
        <w:spacing w:before="200" w:after="200"/>
      </w:pPr>
      <w:r>
        <w:t>Исключением можно считать структуры, формат которых не фиксирован:</w:t>
      </w:r>
    </w:p>
    <w:p w:rsidR="0092199C" w:rsidRDefault="005A2F98">
      <w:pPr>
        <w:numPr>
          <w:ilvl w:val="0"/>
          <w:numId w:val="9"/>
        </w:numPr>
        <w:spacing w:before="200"/>
      </w:pPr>
      <w:r>
        <w:t xml:space="preserve">Структуры, полученные из внешних источников: результат HTTP-запроса, данные со сканера </w:t>
      </w:r>
      <w:proofErr w:type="spellStart"/>
      <w:r>
        <w:t>штрихкодов</w:t>
      </w:r>
      <w:proofErr w:type="spellEnd"/>
      <w:r>
        <w:t>, терминала сбора данных и т.</w:t>
      </w:r>
      <w:r>
        <w:t>п.</w:t>
      </w:r>
    </w:p>
    <w:p w:rsidR="0092199C" w:rsidRDefault="005A2F98">
      <w:pPr>
        <w:numPr>
          <w:ilvl w:val="0"/>
          <w:numId w:val="9"/>
        </w:numPr>
        <w:spacing w:after="200"/>
      </w:pPr>
      <w:r>
        <w:t>Системные параметры формы</w:t>
      </w:r>
      <w:proofErr w:type="gramStart"/>
      <w:r>
        <w:t xml:space="preserve"> (*), </w:t>
      </w:r>
      <w:proofErr w:type="gramEnd"/>
      <w:r>
        <w:t>параметры выбора в параметрах формы.</w:t>
      </w:r>
    </w:p>
    <w:p w:rsidR="0092199C" w:rsidRDefault="005A2F98">
      <w:pPr>
        <w:spacing w:before="200" w:after="200"/>
        <w:rPr>
          <w:b/>
          <w:sz w:val="26"/>
          <w:szCs w:val="26"/>
        </w:rPr>
      </w:pPr>
      <w:r>
        <w:rPr>
          <w:b/>
          <w:sz w:val="26"/>
          <w:szCs w:val="26"/>
        </w:rPr>
        <w:t>Открытие параметризированных форм</w:t>
      </w:r>
    </w:p>
    <w:p w:rsidR="0092199C" w:rsidRDefault="005A2F98">
      <w:pPr>
        <w:spacing w:before="200" w:after="200"/>
      </w:pPr>
      <w:r>
        <w:t xml:space="preserve">Параметры формы следует объявлять явно на закладке </w:t>
      </w:r>
      <w:r>
        <w:rPr>
          <w:b/>
        </w:rPr>
        <w:t>Параметры</w:t>
      </w:r>
      <w:r>
        <w:t xml:space="preserve"> редактора формы. В таком случае в коде обработчика </w:t>
      </w:r>
      <w:proofErr w:type="spellStart"/>
      <w:r>
        <w:rPr>
          <w:b/>
        </w:rPr>
        <w:t>ПриСозданииНаСервере</w:t>
      </w:r>
      <w:proofErr w:type="spellEnd"/>
      <w:r>
        <w:t xml:space="preserve"> не требуется прове</w:t>
      </w:r>
      <w:r>
        <w:t xml:space="preserve">рять наличие свойств у структуры </w:t>
      </w:r>
      <w:r>
        <w:rPr>
          <w:b/>
        </w:rPr>
        <w:t>Параметры</w:t>
      </w:r>
      <w:r>
        <w:t xml:space="preserve">, а сам состав параметров формы явно задекларирован (поэтому их не требуется восстанавливать, изучая весь код обработчика </w:t>
      </w:r>
      <w:proofErr w:type="spellStart"/>
      <w:r>
        <w:rPr>
          <w:b/>
        </w:rPr>
        <w:t>ПриСозданииНаСервере</w:t>
      </w:r>
      <w:proofErr w:type="spellEnd"/>
      <w:r>
        <w:t>).</w:t>
      </w:r>
    </w:p>
    <w:p w:rsidR="0092199C" w:rsidRDefault="005A2F98">
      <w:pPr>
        <w:spacing w:before="200" w:after="200"/>
      </w:pPr>
      <w:r>
        <w:t>Например, неправильно:</w:t>
      </w:r>
    </w:p>
    <w:p w:rsidR="0092199C" w:rsidRDefault="005A2F98">
      <w:pPr>
        <w:spacing w:before="200" w:after="200"/>
      </w:pPr>
      <w:r>
        <w:t>&amp;</w:t>
      </w:r>
      <w:proofErr w:type="spellStart"/>
      <w:r>
        <w:t>НаСервере</w:t>
      </w:r>
      <w:proofErr w:type="spellEnd"/>
      <w:r>
        <w:br/>
        <w:t xml:space="preserve">Процедура </w:t>
      </w:r>
      <w:proofErr w:type="spellStart"/>
      <w:r>
        <w:t>ПриСозданииНаСервере</w:t>
      </w:r>
      <w:proofErr w:type="spellEnd"/>
      <w:r>
        <w:t>(Отка</w:t>
      </w:r>
      <w:r>
        <w:t xml:space="preserve">з, </w:t>
      </w:r>
      <w:proofErr w:type="spellStart"/>
      <w:r>
        <w:t>СтандартнаяОбработка</w:t>
      </w:r>
      <w:proofErr w:type="spellEnd"/>
      <w:r>
        <w:t>)</w:t>
      </w:r>
      <w:r>
        <w:br/>
      </w:r>
      <w:r>
        <w:tab/>
      </w:r>
      <w:proofErr w:type="spellStart"/>
      <w:r>
        <w:t>ФамилияИмяОтчество</w:t>
      </w:r>
      <w:proofErr w:type="spellEnd"/>
      <w:r>
        <w:t xml:space="preserve"> = </w:t>
      </w:r>
      <w:proofErr w:type="spellStart"/>
      <w:r>
        <w:t>Неопределено</w:t>
      </w:r>
      <w:proofErr w:type="spellEnd"/>
      <w:r>
        <w:t>;</w:t>
      </w:r>
      <w:r>
        <w:br/>
      </w:r>
      <w:r>
        <w:tab/>
        <w:t xml:space="preserve">Если </w:t>
      </w:r>
      <w:proofErr w:type="spellStart"/>
      <w:r>
        <w:t>Параметры</w:t>
      </w:r>
      <w:proofErr w:type="gramStart"/>
      <w:r>
        <w:t>.С</w:t>
      </w:r>
      <w:proofErr w:type="gramEnd"/>
      <w:r>
        <w:t>войство</w:t>
      </w:r>
      <w:proofErr w:type="spellEnd"/>
      <w:r>
        <w:t>("</w:t>
      </w:r>
      <w:proofErr w:type="spellStart"/>
      <w:r>
        <w:t>ФамилияИмяОтчество</w:t>
      </w:r>
      <w:proofErr w:type="spellEnd"/>
      <w:r>
        <w:t xml:space="preserve">", </w:t>
      </w:r>
      <w:proofErr w:type="spellStart"/>
      <w:r>
        <w:t>ФамилияИмяОтчество</w:t>
      </w:r>
      <w:proofErr w:type="spellEnd"/>
      <w:r>
        <w:t>) Тогда</w:t>
      </w:r>
      <w:r>
        <w:br/>
        <w:t xml:space="preserve">    </w:t>
      </w:r>
      <w:r>
        <w:tab/>
      </w:r>
      <w:proofErr w:type="spellStart"/>
      <w:r>
        <w:t>Объект.Наименование</w:t>
      </w:r>
      <w:proofErr w:type="spellEnd"/>
      <w:r>
        <w:t xml:space="preserve"> = </w:t>
      </w:r>
      <w:proofErr w:type="spellStart"/>
      <w:r>
        <w:t>ФамилияИмяОтчество</w:t>
      </w:r>
      <w:proofErr w:type="spellEnd"/>
      <w:r>
        <w:t>;</w:t>
      </w:r>
      <w:r>
        <w:br/>
      </w:r>
      <w:r>
        <w:tab/>
      </w:r>
      <w:proofErr w:type="spellStart"/>
      <w:r>
        <w:t>КонецЕсли</w:t>
      </w:r>
      <w:proofErr w:type="spellEnd"/>
      <w:r>
        <w:t>;</w:t>
      </w:r>
      <w:r>
        <w:br/>
      </w:r>
      <w:proofErr w:type="spellStart"/>
      <w:r>
        <w:t>КонецПроцедуры</w:t>
      </w:r>
      <w:proofErr w:type="spellEnd"/>
    </w:p>
    <w:p w:rsidR="0092199C" w:rsidRDefault="005A2F98">
      <w:pPr>
        <w:spacing w:before="200" w:after="200"/>
      </w:pPr>
      <w:r>
        <w:t>правильно:</w:t>
      </w:r>
    </w:p>
    <w:p w:rsidR="0092199C" w:rsidRDefault="005A2F98">
      <w:pPr>
        <w:spacing w:before="200" w:after="200"/>
      </w:pPr>
      <w:r>
        <w:t>&amp;</w:t>
      </w:r>
      <w:proofErr w:type="spellStart"/>
      <w:r>
        <w:t>НаСервере</w:t>
      </w:r>
      <w:proofErr w:type="spellEnd"/>
      <w:r>
        <w:br/>
        <w:t xml:space="preserve">Процедура </w:t>
      </w:r>
      <w:proofErr w:type="spellStart"/>
      <w:r>
        <w:t>ПриСозданииНаСер</w:t>
      </w:r>
      <w:r>
        <w:t>вере</w:t>
      </w:r>
      <w:proofErr w:type="spellEnd"/>
      <w:r>
        <w:t xml:space="preserve">(Отказ, </w:t>
      </w:r>
      <w:proofErr w:type="spellStart"/>
      <w:r>
        <w:t>СтандартнаяОбработка</w:t>
      </w:r>
      <w:proofErr w:type="spellEnd"/>
      <w:r>
        <w:t>)</w:t>
      </w:r>
      <w:r>
        <w:br/>
      </w:r>
      <w:r>
        <w:tab/>
      </w:r>
      <w:proofErr w:type="spellStart"/>
      <w:r>
        <w:t>Объект</w:t>
      </w:r>
      <w:proofErr w:type="gramStart"/>
      <w:r>
        <w:t>.Н</w:t>
      </w:r>
      <w:proofErr w:type="gramEnd"/>
      <w:r>
        <w:t>аименование</w:t>
      </w:r>
      <w:proofErr w:type="spellEnd"/>
      <w:r>
        <w:t xml:space="preserve"> = </w:t>
      </w:r>
      <w:proofErr w:type="spellStart"/>
      <w:r>
        <w:t>Параметры.ФамилияИмяОтчество</w:t>
      </w:r>
      <w:proofErr w:type="spellEnd"/>
      <w:r>
        <w:t>;</w:t>
      </w:r>
      <w:r>
        <w:br/>
      </w:r>
      <w:proofErr w:type="spellStart"/>
      <w:r>
        <w:t>КонецПроцедуры</w:t>
      </w:r>
      <w:proofErr w:type="spellEnd"/>
    </w:p>
    <w:p w:rsidR="0092199C" w:rsidRDefault="005A2F98">
      <w:pPr>
        <w:spacing w:before="200" w:after="200"/>
        <w:rPr>
          <w:rFonts w:ascii="Verdana" w:eastAsia="Verdana" w:hAnsi="Verdana" w:cs="Verdana"/>
          <w:sz w:val="19"/>
          <w:szCs w:val="19"/>
        </w:rPr>
      </w:pPr>
      <w:r>
        <w:rPr>
          <w:b/>
          <w:sz w:val="26"/>
          <w:szCs w:val="26"/>
        </w:rPr>
        <w:t>Транзакции: правила использования</w:t>
      </w:r>
    </w:p>
    <w:p w:rsidR="0092199C" w:rsidRDefault="005A2F98">
      <w:pPr>
        <w:spacing w:before="200" w:after="200"/>
      </w:pPr>
      <w:r>
        <w:lastRenderedPageBreak/>
        <w:t xml:space="preserve">В рамках транзакции нужно стремиться выполнять минимум действий – только те, которые нельзя в соответствии с </w:t>
      </w:r>
      <w:proofErr w:type="gramStart"/>
      <w:r>
        <w:t>бизнес-логи</w:t>
      </w:r>
      <w:r>
        <w:t>кой</w:t>
      </w:r>
      <w:proofErr w:type="gramEnd"/>
      <w:r>
        <w:t xml:space="preserve"> выполнять вне транзакции. В частности:</w:t>
      </w:r>
    </w:p>
    <w:p w:rsidR="0092199C" w:rsidRDefault="005A2F98">
      <w:pPr>
        <w:numPr>
          <w:ilvl w:val="0"/>
          <w:numId w:val="10"/>
        </w:numPr>
        <w:spacing w:before="200"/>
      </w:pPr>
      <w:r>
        <w:t>сложные, ресурсоемкие расчеты нужно стремиться делать до начала транзакции, если это позволяет бизнес-логика;</w:t>
      </w:r>
    </w:p>
    <w:p w:rsidR="0092199C" w:rsidRDefault="005A2F98">
      <w:pPr>
        <w:numPr>
          <w:ilvl w:val="0"/>
          <w:numId w:val="10"/>
        </w:numPr>
      </w:pPr>
      <w:r>
        <w:t>если расчет должен выполняться в транзакции, то нужно стремиться сделать его как можно более простым. Н</w:t>
      </w:r>
      <w:r>
        <w:t>апример, контроль остатков можно делать уже после записи простым запросом к записываемому регистру;</w:t>
      </w:r>
    </w:p>
    <w:p w:rsidR="0092199C" w:rsidRDefault="005A2F98">
      <w:pPr>
        <w:numPr>
          <w:ilvl w:val="0"/>
          <w:numId w:val="10"/>
        </w:numPr>
      </w:pPr>
      <w:r>
        <w:t>проверка заполнения объекта должна делаться вне транзакции;</w:t>
      </w:r>
    </w:p>
    <w:p w:rsidR="0092199C" w:rsidRDefault="005A2F98">
      <w:pPr>
        <w:numPr>
          <w:ilvl w:val="0"/>
          <w:numId w:val="10"/>
        </w:numPr>
      </w:pPr>
      <w:r>
        <w:t>запросы, перед выполнением которых не нужно устанавливать блокировку данных, нужно стремиться вы</w:t>
      </w:r>
      <w:r>
        <w:t>полнять до начала транзакции;</w:t>
      </w:r>
    </w:p>
    <w:p w:rsidR="0092199C" w:rsidRDefault="005A2F98">
      <w:pPr>
        <w:numPr>
          <w:ilvl w:val="0"/>
          <w:numId w:val="10"/>
        </w:numPr>
      </w:pPr>
      <w:r>
        <w:t xml:space="preserve">запросы, выполняемые в рамках транзакций нужно стремиться оптимизировать </w:t>
      </w:r>
    </w:p>
    <w:p w:rsidR="0092199C" w:rsidRDefault="005A2F98">
      <w:pPr>
        <w:numPr>
          <w:ilvl w:val="0"/>
          <w:numId w:val="10"/>
        </w:numPr>
      </w:pPr>
      <w:r>
        <w:t xml:space="preserve">не следует в транзакции вызывать внешние ресурсы (сетевые папки, </w:t>
      </w:r>
      <w:proofErr w:type="spellStart"/>
      <w:r>
        <w:t>интране</w:t>
      </w:r>
      <w:proofErr w:type="gramStart"/>
      <w:r>
        <w:t>т</w:t>
      </w:r>
      <w:proofErr w:type="spellEnd"/>
      <w:r>
        <w:t>-</w:t>
      </w:r>
      <w:proofErr w:type="gramEnd"/>
      <w:r>
        <w:t xml:space="preserve"> и интернет-сайты, почтовые, FTP-, HTTP-, веб-сервисы и т.п.):</w:t>
      </w:r>
    </w:p>
    <w:p w:rsidR="0092199C" w:rsidRDefault="005A2F98">
      <w:pPr>
        <w:numPr>
          <w:ilvl w:val="1"/>
          <w:numId w:val="10"/>
        </w:numPr>
      </w:pPr>
      <w:r>
        <w:t>обращение к вне</w:t>
      </w:r>
      <w:r>
        <w:t>шнему ресурсу может быть длительным;</w:t>
      </w:r>
    </w:p>
    <w:p w:rsidR="0092199C" w:rsidRDefault="005A2F98">
      <w:pPr>
        <w:numPr>
          <w:ilvl w:val="1"/>
          <w:numId w:val="10"/>
        </w:numPr>
      </w:pPr>
      <w:r>
        <w:t>ресурс может быть недоступен;</w:t>
      </w:r>
    </w:p>
    <w:p w:rsidR="0092199C" w:rsidRDefault="005A2F98">
      <w:pPr>
        <w:numPr>
          <w:ilvl w:val="1"/>
          <w:numId w:val="10"/>
        </w:numPr>
        <w:spacing w:after="200"/>
      </w:pPr>
      <w:r>
        <w:t>может произойти ошибка тайм-аута.</w:t>
      </w:r>
    </w:p>
    <w:p w:rsidR="0092199C" w:rsidRDefault="0092199C">
      <w:pPr>
        <w:spacing w:before="200" w:after="200"/>
      </w:pPr>
    </w:p>
    <w:p w:rsidR="0092199C" w:rsidRDefault="005A2F98">
      <w:pPr>
        <w:spacing w:before="200" w:after="200"/>
      </w:pPr>
      <w:r>
        <w:t>Обязательное использование транзакции:</w:t>
      </w:r>
    </w:p>
    <w:p w:rsidR="0092199C" w:rsidRDefault="005A2F98">
      <w:pPr>
        <w:numPr>
          <w:ilvl w:val="0"/>
          <w:numId w:val="8"/>
        </w:numPr>
        <w:spacing w:before="200" w:after="200"/>
      </w:pPr>
      <w:r>
        <w:t>В случае</w:t>
      </w:r>
      <w:proofErr w:type="gramStart"/>
      <w:r>
        <w:t>,</w:t>
      </w:r>
      <w:proofErr w:type="gramEnd"/>
      <w:r>
        <w:t xml:space="preserve"> если для ускорения операции записи в регистр используется отключение итогов, такую операцию вместе с отключением и включением итогов необходимо выполнять в транзакции, иначе в других сеансах может возникнуть ошибка при получении среза последних.</w:t>
      </w:r>
    </w:p>
    <w:p w:rsidR="0092199C" w:rsidRDefault="0092199C">
      <w:pPr>
        <w:spacing w:before="200" w:after="200"/>
        <w:rPr>
          <w:rFonts w:ascii="Verdana" w:eastAsia="Verdana" w:hAnsi="Verdana" w:cs="Verdana"/>
          <w:sz w:val="19"/>
          <w:szCs w:val="19"/>
        </w:rPr>
      </w:pPr>
    </w:p>
    <w:p w:rsidR="0092199C" w:rsidRDefault="005A2F98">
      <w:pPr>
        <w:pStyle w:val="3"/>
        <w:spacing w:before="220" w:after="220"/>
      </w:pPr>
      <w:bookmarkStart w:id="5" w:name="_eynn3wcdudeo" w:colFirst="0" w:colLast="0"/>
      <w:bookmarkEnd w:id="5"/>
      <w:r>
        <w:t>Выводы</w:t>
      </w:r>
    </w:p>
    <w:p w:rsidR="0092199C" w:rsidRDefault="005A2F98">
      <w:r>
        <w:t xml:space="preserve">На сайте ИТС есть раздел с нововведениями в стандарты разработки, которые необходимо время от времени проверять, чтобы у клиентов всегда был </w:t>
      </w:r>
      <w:proofErr w:type="gramStart"/>
      <w:r>
        <w:t>продукт</w:t>
      </w:r>
      <w:proofErr w:type="gramEnd"/>
      <w:r>
        <w:t xml:space="preserve"> который работает быстро, а также его легко поддерживать</w:t>
      </w:r>
    </w:p>
    <w:p w:rsidR="0092199C" w:rsidRDefault="0092199C"/>
    <w:sectPr w:rsidR="009219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1E75"/>
    <w:multiLevelType w:val="multilevel"/>
    <w:tmpl w:val="2EBA0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DF3E6F"/>
    <w:multiLevelType w:val="multilevel"/>
    <w:tmpl w:val="C8B08A22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A3E7C52"/>
    <w:multiLevelType w:val="multilevel"/>
    <w:tmpl w:val="60562F1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D7849A8"/>
    <w:multiLevelType w:val="multilevel"/>
    <w:tmpl w:val="0702311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D9865CB"/>
    <w:multiLevelType w:val="multilevel"/>
    <w:tmpl w:val="F740051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55C4719"/>
    <w:multiLevelType w:val="multilevel"/>
    <w:tmpl w:val="82601E6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90114A9"/>
    <w:multiLevelType w:val="multilevel"/>
    <w:tmpl w:val="87FC69A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03615F7"/>
    <w:multiLevelType w:val="multilevel"/>
    <w:tmpl w:val="A254E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29F021D"/>
    <w:multiLevelType w:val="multilevel"/>
    <w:tmpl w:val="6EE85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59CF2B3D"/>
    <w:multiLevelType w:val="multilevel"/>
    <w:tmpl w:val="038C5D9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eastAsia="Verdana" w:hAnsi="Verdana" w:cs="Verdana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E703BB8"/>
    <w:multiLevelType w:val="multilevel"/>
    <w:tmpl w:val="978660C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AC8476B"/>
    <w:multiLevelType w:val="multilevel"/>
    <w:tmpl w:val="1AD274C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6D92F6A"/>
    <w:multiLevelType w:val="multilevel"/>
    <w:tmpl w:val="6A48C33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eastAsia="Verdana" w:hAnsi="Verdana" w:cs="Verdana"/>
        <w:sz w:val="19"/>
        <w:szCs w:val="1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D34158E"/>
    <w:multiLevelType w:val="multilevel"/>
    <w:tmpl w:val="36EE8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F4D7920"/>
    <w:multiLevelType w:val="multilevel"/>
    <w:tmpl w:val="0D5258F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7"/>
  </w:num>
  <w:num w:numId="5">
    <w:abstractNumId w:val="13"/>
  </w:num>
  <w:num w:numId="6">
    <w:abstractNumId w:val="3"/>
  </w:num>
  <w:num w:numId="7">
    <w:abstractNumId w:val="11"/>
  </w:num>
  <w:num w:numId="8">
    <w:abstractNumId w:val="8"/>
  </w:num>
  <w:num w:numId="9">
    <w:abstractNumId w:val="5"/>
  </w:num>
  <w:num w:numId="10">
    <w:abstractNumId w:val="12"/>
  </w:num>
  <w:num w:numId="11">
    <w:abstractNumId w:val="2"/>
  </w:num>
  <w:num w:numId="12">
    <w:abstractNumId w:val="1"/>
  </w:num>
  <w:num w:numId="13">
    <w:abstractNumId w:val="9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2199C"/>
    <w:rsid w:val="005A2F98"/>
    <w:rsid w:val="0092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1276</Words>
  <Characters>7279</Characters>
  <Application>Microsoft Office Word</Application>
  <DocSecurity>0</DocSecurity>
  <Lines>60</Lines>
  <Paragraphs>17</Paragraphs>
  <ScaleCrop>false</ScaleCrop>
  <Company/>
  <LinksUpToDate>false</LinksUpToDate>
  <CharactersWithSpaces>8538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2023-10-06T14:16:00Z</dcterms:created>
  <dcterms:modified xsi:type="dcterms:W3CDTF">2023-10-06T14:16:00Z</dcterms:modified>
</cp:coreProperties>
</file>