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tl w:val="0"/>
        </w:rPr>
      </w:r>
    </w:p>
    <w:p w:rsidR="00000000" w:rsidDel="00000000" w:rsidP="00000000" w:rsidRDefault="00000000" w:rsidRPr="00000000" w14:paraId="00000002">
      <w:pPr>
        <w:pBdr>
          <w:bottom w:color="1b3a6b" w:space="1" w:sz="8" w:val="single"/>
        </w:pBdr>
        <w:spacing w:after="40" w:lineRule="auto"/>
        <w:rPr/>
      </w:pPr>
      <w:r w:rsidDel="00000000" w:rsidR="00000000" w:rsidRPr="00000000">
        <w:rPr>
          <w:rFonts w:ascii="Arial" w:cs="Arial" w:eastAsia="Arial" w:hAnsi="Arial"/>
          <w:b w:val="1"/>
          <w:bCs w:val="1"/>
          <w:color w:val="1b3a6b"/>
          <w:sz w:val="40"/>
          <w:szCs w:val="40"/>
          <w:rtl w:val="0"/>
        </w:rPr>
        <w:t xml:space="preserve">Broadcom Inc. (AVGO)</w:t>
      </w:r>
      <w:r w:rsidDel="00000000" w:rsidR="00000000" w:rsidRPr="00000000">
        <w:rPr>
          <w:rtl w:val="0"/>
        </w:rPr>
      </w:r>
    </w:p>
    <w:p w:rsidR="00000000" w:rsidDel="00000000" w:rsidP="00000000" w:rsidRDefault="00000000" w:rsidRPr="00000000" w14:paraId="00000003">
      <w:pPr>
        <w:pBdr>
          <w:bottom w:color="cccccc" w:space="1" w:sz="4" w:val="single"/>
        </w:pBdr>
        <w:spacing w:after="80" w:before="240" w:lineRule="auto"/>
        <w:rPr/>
      </w:pPr>
      <w:r w:rsidDel="00000000" w:rsidR="00000000" w:rsidRPr="00000000">
        <w:rPr>
          <w:rFonts w:ascii="Arial" w:cs="Arial" w:eastAsia="Arial" w:hAnsi="Arial"/>
          <w:b w:val="1"/>
          <w:bCs w:val="1"/>
          <w:color w:val="1b3a6b"/>
          <w:sz w:val="28"/>
          <w:szCs w:val="28"/>
          <w:rtl w:val="0"/>
        </w:rPr>
        <w:t xml:space="preserve">EXECUTIVE SUMMARY</w:t>
      </w: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sz w:val="22"/>
          <w:szCs w:val="22"/>
          <w:rtl w:val="0"/>
        </w:rPr>
        <w:t xml:space="preserve">Broadcom is a global leader in semiconductor solutions and infrastructure software. It serves telecommunication carriers, cloud hyperscalers and enterprise customers. In FY 2024 VMware acquired $69B of Broadcom following which the company materially expanded its software revenue base. The following DCF analysis values Broadcom using a 5 year unlevered free cash flow model(FY2026-FY2030), discounted at a WACC of 11.3%.</w:t>
      </w: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sz w:val="22"/>
          <w:szCs w:val="22"/>
          <w:rtl w:val="0"/>
        </w:rPr>
        <w:t xml:space="preserve">The base case DCF got to an intrinsic value of $105-$161 per share , versus the current market price of $462.I believe this significant gap between the market price and modeled price is not merely an error , but that it reflects the premium the market is pricing Broadcom’s AI driven growth and VMware synergy realization. Investors who are buying at current levels are betting on outcomes that are well above the base case.</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pBdr>
          <w:bottom w:color="cccccc" w:space="1" w:sz="4" w:val="single"/>
        </w:pBdr>
        <w:spacing w:after="80" w:before="240" w:lineRule="auto"/>
        <w:rPr/>
      </w:pPr>
      <w:r w:rsidDel="00000000" w:rsidR="00000000" w:rsidRPr="00000000">
        <w:rPr>
          <w:rFonts w:ascii="Arial" w:cs="Arial" w:eastAsia="Arial" w:hAnsi="Arial"/>
          <w:b w:val="1"/>
          <w:bCs w:val="1"/>
          <w:color w:val="1b3a6b"/>
          <w:sz w:val="28"/>
          <w:szCs w:val="28"/>
          <w:rtl w:val="0"/>
        </w:rPr>
        <w:t xml:space="preserve">VALUATION SUMMARY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ffffff"/>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0A">
            <w:pPr>
              <w:jc w:val="right"/>
              <w:rPr/>
            </w:pPr>
            <w:r w:rsidDel="00000000" w:rsidR="00000000" w:rsidRPr="00000000">
              <w:rPr>
                <w:rFonts w:ascii="Arial" w:cs="Arial" w:eastAsia="Arial" w:hAnsi="Arial"/>
                <w:b w:val="1"/>
                <w:bCs w:val="1"/>
                <w:color w:val="ffffff"/>
                <w:rtl w:val="0"/>
              </w:rPr>
              <w:t xml:space="preserve">Implied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0B">
            <w:pPr>
              <w:jc w:val="right"/>
              <w:rPr/>
            </w:pPr>
            <w:r w:rsidDel="00000000" w:rsidR="00000000" w:rsidRPr="00000000">
              <w:rPr>
                <w:rFonts w:ascii="Arial" w:cs="Arial" w:eastAsia="Arial" w:hAnsi="Arial"/>
                <w:b w:val="1"/>
                <w:bCs w:val="1"/>
                <w:color w:val="ffffff"/>
                <w:rtl w:val="0"/>
              </w:rPr>
              <w:t xml:space="preserve">vs. Current ($462)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0"/>
                <w:bCs w:val="0"/>
                <w:rtl w:val="0"/>
              </w:rPr>
              <w:t xml:space="preserve">Perpetuity Growth (Gordon)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jc w:val="right"/>
              <w:rPr/>
            </w:pPr>
            <w:r w:rsidDel="00000000" w:rsidR="00000000" w:rsidRPr="00000000">
              <w:rPr>
                <w:rFonts w:ascii="Arial" w:cs="Arial" w:eastAsia="Arial" w:hAnsi="Arial"/>
                <w:b w:val="0"/>
                <w:bCs w:val="0"/>
                <w:rtl w:val="0"/>
              </w:rPr>
              <w:t xml:space="preserve">$104.74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jc w:val="right"/>
              <w:rPr/>
            </w:pPr>
            <w:r w:rsidDel="00000000" w:rsidR="00000000" w:rsidRPr="00000000">
              <w:rPr>
                <w:rFonts w:ascii="Arial" w:cs="Arial" w:eastAsia="Arial" w:hAnsi="Arial"/>
                <w:b w:val="0"/>
                <w:bCs w:val="0"/>
                <w:color w:val="c0392b"/>
                <w:rtl w:val="0"/>
              </w:rPr>
              <w:t xml:space="preserve">(77.3%)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0"/>
                <w:bCs w:val="0"/>
                <w:rtl w:val="0"/>
              </w:rPr>
              <w:t xml:space="preserve">Exit Multiple (EV/EBITDA 18x)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jc w:val="right"/>
              <w:rPr/>
            </w:pPr>
            <w:r w:rsidDel="00000000" w:rsidR="00000000" w:rsidRPr="00000000">
              <w:rPr>
                <w:rFonts w:ascii="Arial" w:cs="Arial" w:eastAsia="Arial" w:hAnsi="Arial"/>
                <w:b w:val="0"/>
                <w:bCs w:val="0"/>
                <w:rtl w:val="0"/>
              </w:rPr>
              <w:t xml:space="preserve">$160.64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jc w:val="right"/>
              <w:rPr/>
            </w:pPr>
            <w:r w:rsidDel="00000000" w:rsidR="00000000" w:rsidRPr="00000000">
              <w:rPr>
                <w:rFonts w:ascii="Arial" w:cs="Arial" w:eastAsia="Arial" w:hAnsi="Arial"/>
                <w:b w:val="0"/>
                <w:bCs w:val="0"/>
                <w:color w:val="c0392b"/>
                <w:rtl w:val="0"/>
              </w:rPr>
              <w:t xml:space="preserve">(65.2%)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rtl w:val="0"/>
              </w:rPr>
              <w:t xml:space="preserve">Average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013">
            <w:pPr>
              <w:jc w:val="right"/>
              <w:rPr/>
            </w:pPr>
            <w:r w:rsidDel="00000000" w:rsidR="00000000" w:rsidRPr="00000000">
              <w:rPr>
                <w:rFonts w:ascii="Arial" w:cs="Arial" w:eastAsia="Arial" w:hAnsi="Arial"/>
                <w:b w:val="1"/>
                <w:bCs w:val="1"/>
                <w:rtl w:val="0"/>
              </w:rPr>
              <w:t xml:space="preserve">$132.69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014">
            <w:pPr>
              <w:jc w:val="right"/>
              <w:rPr/>
            </w:pPr>
            <w:r w:rsidDel="00000000" w:rsidR="00000000" w:rsidRPr="00000000">
              <w:rPr>
                <w:rFonts w:ascii="Arial" w:cs="Arial" w:eastAsia="Arial" w:hAnsi="Arial"/>
                <w:b w:val="1"/>
                <w:bCs w:val="1"/>
                <w:color w:val="c0392b"/>
                <w:rtl w:val="0"/>
              </w:rPr>
              <w:t xml:space="preserve">(71.3%)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rtl w:val="0"/>
              </w:rPr>
              <w:t xml:space="preserve">Current Market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16">
            <w:pPr>
              <w:jc w:val="right"/>
              <w:rPr/>
            </w:pPr>
            <w:r w:rsidDel="00000000" w:rsidR="00000000" w:rsidRPr="00000000">
              <w:rPr>
                <w:rFonts w:ascii="Arial" w:cs="Arial" w:eastAsia="Arial" w:hAnsi="Arial"/>
                <w:b w:val="1"/>
                <w:bCs w:val="1"/>
                <w:rtl w:val="0"/>
              </w:rPr>
              <w:t xml:space="preserve">$462.00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17">
            <w:pPr>
              <w:jc w:val="right"/>
              <w:rPr/>
            </w:pPr>
            <w:r w:rsidDel="00000000" w:rsidR="00000000" w:rsidRPr="00000000">
              <w:rPr>
                <w:rFonts w:ascii="Arial" w:cs="Arial" w:eastAsia="Arial" w:hAnsi="Arial"/>
                <w:rtl w:val="0"/>
              </w:rPr>
              <w:t xml:space="preserve">—</w:t>
            </w:r>
            <w:r w:rsidDel="00000000" w:rsidR="00000000" w:rsidRPr="00000000">
              <w:rPr>
                <w:rtl w:val="0"/>
              </w:rPr>
            </w:r>
          </w:p>
        </w:tc>
      </w:tr>
    </w:tbl>
    <w:p w:rsidR="00000000" w:rsidDel="00000000" w:rsidP="00000000" w:rsidRDefault="00000000" w:rsidRPr="00000000" w14:paraId="00000018">
      <w:pPr>
        <w:spacing w:after="180" w:lineRule="auto"/>
        <w:rPr/>
      </w:pPr>
      <w:r w:rsidDel="00000000" w:rsidR="00000000" w:rsidRPr="00000000">
        <w:rPr>
          <w:rtl w:val="0"/>
        </w:rPr>
      </w:r>
    </w:p>
    <w:p w:rsidR="00000000" w:rsidDel="00000000" w:rsidP="00000000" w:rsidRDefault="00000000" w:rsidRPr="00000000" w14:paraId="00000019">
      <w:pPr>
        <w:pBdr>
          <w:bottom w:color="cccccc" w:space="1" w:sz="4" w:val="single"/>
        </w:pBdr>
        <w:spacing w:after="80" w:before="240" w:lineRule="auto"/>
        <w:rPr>
          <w:rFonts w:ascii="Arial" w:cs="Arial" w:eastAsia="Arial" w:hAnsi="Arial"/>
          <w:b w:val="1"/>
          <w:bCs w:val="1"/>
          <w:color w:val="1b3a6b"/>
          <w:sz w:val="28"/>
          <w:szCs w:val="28"/>
        </w:rPr>
      </w:pPr>
      <w:r w:rsidDel="00000000" w:rsidR="00000000" w:rsidRPr="00000000">
        <w:rPr>
          <w:rFonts w:ascii="Arial" w:cs="Arial" w:eastAsia="Arial" w:hAnsi="Arial"/>
          <w:b w:val="1"/>
          <w:bCs w:val="1"/>
          <w:color w:val="1b3a6b"/>
          <w:sz w:val="28"/>
          <w:szCs w:val="28"/>
          <w:rtl w:val="0"/>
        </w:rPr>
        <w:t xml:space="preserve">BUSINESS OVERVIEW</w:t>
      </w:r>
    </w:p>
    <w:p w:rsidR="00000000" w:rsidDel="00000000" w:rsidP="00000000" w:rsidRDefault="00000000" w:rsidRPr="00000000" w14:paraId="0000001A">
      <w:pPr>
        <w:spacing w:line="276" w:lineRule="auto"/>
        <w:rPr>
          <w:sz w:val="22"/>
          <w:szCs w:val="22"/>
        </w:rPr>
      </w:pPr>
      <w:r w:rsidDel="00000000" w:rsidR="00000000" w:rsidRPr="00000000">
        <w:rPr>
          <w:sz w:val="22"/>
          <w:szCs w:val="22"/>
          <w:rtl w:val="0"/>
        </w:rPr>
        <w:t xml:space="preserve">Broadcom operates in two segments, Semiconductor solutions and Infrastructure software. The semiconductor segment designs and sells a variety of products most importantly including custom AI accelerators, networking ASICs, storage controllers and broadband chips. Whereas the other segment, the infrastructure software, which was heavily expanded by VMware provides cloud management,security software to enterprises and virtualization.</w:t>
      </w:r>
    </w:p>
    <w:p w:rsidR="00000000" w:rsidDel="00000000" w:rsidP="00000000" w:rsidRDefault="00000000" w:rsidRPr="00000000" w14:paraId="0000001B">
      <w:pPr>
        <w:spacing w:line="276" w:lineRule="auto"/>
        <w:rPr>
          <w:sz w:val="22"/>
          <w:szCs w:val="22"/>
        </w:rPr>
      </w:pPr>
      <w:r w:rsidDel="00000000" w:rsidR="00000000" w:rsidRPr="00000000">
        <w:rPr>
          <w:rtl w:val="0"/>
        </w:rPr>
      </w:r>
    </w:p>
    <w:p w:rsidR="00000000" w:rsidDel="00000000" w:rsidP="00000000" w:rsidRDefault="00000000" w:rsidRPr="00000000" w14:paraId="0000001C">
      <w:pPr>
        <w:spacing w:line="276" w:lineRule="auto"/>
        <w:rPr>
          <w:b w:val="1"/>
          <w:bCs w:val="1"/>
          <w:color w:val="1b3a6b"/>
          <w:sz w:val="28"/>
          <w:szCs w:val="28"/>
        </w:rPr>
      </w:pPr>
      <w:r w:rsidDel="00000000" w:rsidR="00000000" w:rsidRPr="00000000">
        <w:rPr>
          <w:sz w:val="22"/>
          <w:szCs w:val="22"/>
          <w:rtl w:val="0"/>
        </w:rPr>
        <w:t xml:space="preserve">The VMware deal was the largest strategic transformation in the company’s history. According to data it added approximately $14B in software revenue and shifted Broadcom to a recurring revenue model. By FY2025 total revenue reached $63.9B (up 24% year on year) with infrastructure software growing to $27B</w:t>
      </w:r>
      <w:r w:rsidDel="00000000" w:rsidR="00000000" w:rsidRPr="00000000">
        <w:rPr>
          <w:rtl w:val="0"/>
        </w:rPr>
      </w:r>
    </w:p>
    <w:p w:rsidR="00000000" w:rsidDel="00000000" w:rsidP="00000000" w:rsidRDefault="00000000" w:rsidRPr="00000000" w14:paraId="0000001D">
      <w:pPr>
        <w:pBdr>
          <w:bottom w:color="cccccc" w:space="1" w:sz="4" w:val="single"/>
        </w:pBdr>
        <w:spacing w:after="80" w:before="240" w:lineRule="auto"/>
        <w:rPr/>
      </w:pPr>
      <w:r w:rsidDel="00000000" w:rsidR="00000000" w:rsidRPr="00000000">
        <w:rPr>
          <w:rFonts w:ascii="Arial" w:cs="Arial" w:eastAsia="Arial" w:hAnsi="Arial"/>
          <w:b w:val="1"/>
          <w:bCs w:val="1"/>
          <w:color w:val="1b3a6b"/>
          <w:sz w:val="28"/>
          <w:szCs w:val="28"/>
          <w:rtl w:val="0"/>
        </w:rPr>
        <w:t xml:space="preserve">KEY FINANCIAL TRENDS (FY2021–FY2025)</w:t>
      </w:r>
      <w:r w:rsidDel="00000000" w:rsidR="00000000" w:rsidRPr="00000000">
        <w:rPr>
          <w:rtl w:val="0"/>
        </w:rPr>
      </w:r>
    </w:p>
    <w:tbl>
      <w:tblPr>
        <w:tblStyle w:val="Table2"/>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1404"/>
        <w:gridCol w:w="1404"/>
        <w:gridCol w:w="1404"/>
        <w:gridCol w:w="1404"/>
        <w:gridCol w:w="1404"/>
        <w:tblGridChange w:id="0">
          <w:tblGrid>
            <w:gridCol w:w="2340"/>
            <w:gridCol w:w="1404"/>
            <w:gridCol w:w="1404"/>
            <w:gridCol w:w="1404"/>
            <w:gridCol w:w="1404"/>
            <w:gridCol w:w="140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1E">
            <w:pPr>
              <w:jc w:val="left"/>
              <w:rPr>
                <w:sz w:val="22"/>
                <w:szCs w:val="22"/>
              </w:rPr>
            </w:pPr>
            <w:r w:rsidDel="00000000" w:rsidR="00000000" w:rsidRPr="00000000">
              <w:rPr>
                <w:rFonts w:ascii="Arial" w:cs="Arial" w:eastAsia="Arial" w:hAnsi="Arial"/>
                <w:b w:val="1"/>
                <w:bCs w:val="1"/>
                <w:color w:val="ffffff"/>
                <w:sz w:val="22"/>
                <w:szCs w:val="22"/>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1F">
            <w:pPr>
              <w:jc w:val="right"/>
              <w:rPr>
                <w:sz w:val="22"/>
                <w:szCs w:val="22"/>
              </w:rPr>
            </w:pPr>
            <w:r w:rsidDel="00000000" w:rsidR="00000000" w:rsidRPr="00000000">
              <w:rPr>
                <w:rFonts w:ascii="Arial" w:cs="Arial" w:eastAsia="Arial" w:hAnsi="Arial"/>
                <w:b w:val="1"/>
                <w:bCs w:val="1"/>
                <w:color w:val="ffffff"/>
                <w:sz w:val="22"/>
                <w:szCs w:val="22"/>
                <w:rtl w:val="0"/>
              </w:rPr>
              <w:t xml:space="preserve">FY2021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20">
            <w:pPr>
              <w:jc w:val="right"/>
              <w:rPr>
                <w:sz w:val="22"/>
                <w:szCs w:val="22"/>
              </w:rPr>
            </w:pPr>
            <w:r w:rsidDel="00000000" w:rsidR="00000000" w:rsidRPr="00000000">
              <w:rPr>
                <w:rFonts w:ascii="Arial" w:cs="Arial" w:eastAsia="Arial" w:hAnsi="Arial"/>
                <w:b w:val="1"/>
                <w:bCs w:val="1"/>
                <w:color w:val="ffffff"/>
                <w:sz w:val="22"/>
                <w:szCs w:val="22"/>
                <w:rtl w:val="0"/>
              </w:rPr>
              <w:t xml:space="preserve">FY2022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21">
            <w:pPr>
              <w:jc w:val="right"/>
              <w:rPr>
                <w:sz w:val="22"/>
                <w:szCs w:val="22"/>
              </w:rPr>
            </w:pPr>
            <w:r w:rsidDel="00000000" w:rsidR="00000000" w:rsidRPr="00000000">
              <w:rPr>
                <w:rFonts w:ascii="Arial" w:cs="Arial" w:eastAsia="Arial" w:hAnsi="Arial"/>
                <w:b w:val="1"/>
                <w:bCs w:val="1"/>
                <w:color w:val="ffffff"/>
                <w:sz w:val="22"/>
                <w:szCs w:val="22"/>
                <w:rtl w:val="0"/>
              </w:rPr>
              <w:t xml:space="preserve">FY2023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22">
            <w:pPr>
              <w:jc w:val="right"/>
              <w:rPr>
                <w:sz w:val="22"/>
                <w:szCs w:val="22"/>
              </w:rPr>
            </w:pPr>
            <w:r w:rsidDel="00000000" w:rsidR="00000000" w:rsidRPr="00000000">
              <w:rPr>
                <w:rFonts w:ascii="Arial" w:cs="Arial" w:eastAsia="Arial" w:hAnsi="Arial"/>
                <w:b w:val="1"/>
                <w:bCs w:val="1"/>
                <w:color w:val="ffffff"/>
                <w:sz w:val="22"/>
                <w:szCs w:val="22"/>
                <w:rtl w:val="0"/>
              </w:rPr>
              <w:t xml:space="preserve">FY2024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23">
            <w:pPr>
              <w:jc w:val="right"/>
              <w:rPr>
                <w:sz w:val="22"/>
                <w:szCs w:val="22"/>
              </w:rPr>
            </w:pPr>
            <w:r w:rsidDel="00000000" w:rsidR="00000000" w:rsidRPr="00000000">
              <w:rPr>
                <w:rFonts w:ascii="Arial" w:cs="Arial" w:eastAsia="Arial" w:hAnsi="Arial"/>
                <w:b w:val="1"/>
                <w:bCs w:val="1"/>
                <w:color w:val="ffffff"/>
                <w:sz w:val="22"/>
                <w:szCs w:val="22"/>
                <w:rtl w:val="0"/>
              </w:rPr>
              <w:t xml:space="preserve">FY2025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24">
            <w:pPr>
              <w:jc w:val="left"/>
              <w:rPr>
                <w:sz w:val="22"/>
                <w:szCs w:val="22"/>
              </w:rPr>
            </w:pPr>
            <w:r w:rsidDel="00000000" w:rsidR="00000000" w:rsidRPr="00000000">
              <w:rPr>
                <w:rFonts w:ascii="Arial" w:cs="Arial" w:eastAsia="Arial" w:hAnsi="Arial"/>
                <w:sz w:val="22"/>
                <w:szCs w:val="22"/>
                <w:rtl w:val="0"/>
              </w:rPr>
              <w:t xml:space="preserve">Revenue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25">
            <w:pPr>
              <w:jc w:val="right"/>
              <w:rPr>
                <w:sz w:val="22"/>
                <w:szCs w:val="22"/>
              </w:rPr>
            </w:pPr>
            <w:r w:rsidDel="00000000" w:rsidR="00000000" w:rsidRPr="00000000">
              <w:rPr>
                <w:rFonts w:ascii="Arial" w:cs="Arial" w:eastAsia="Arial" w:hAnsi="Arial"/>
                <w:sz w:val="22"/>
                <w:szCs w:val="22"/>
                <w:rtl w:val="0"/>
              </w:rPr>
              <w:t xml:space="preserve">$27.5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26">
            <w:pPr>
              <w:jc w:val="right"/>
              <w:rPr>
                <w:sz w:val="22"/>
                <w:szCs w:val="22"/>
              </w:rPr>
            </w:pPr>
            <w:r w:rsidDel="00000000" w:rsidR="00000000" w:rsidRPr="00000000">
              <w:rPr>
                <w:rFonts w:ascii="Arial" w:cs="Arial" w:eastAsia="Arial" w:hAnsi="Arial"/>
                <w:sz w:val="22"/>
                <w:szCs w:val="22"/>
                <w:rtl w:val="0"/>
              </w:rPr>
              <w:t xml:space="preserve">$33.2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27">
            <w:pPr>
              <w:jc w:val="right"/>
              <w:rPr>
                <w:sz w:val="22"/>
                <w:szCs w:val="22"/>
              </w:rPr>
            </w:pPr>
            <w:r w:rsidDel="00000000" w:rsidR="00000000" w:rsidRPr="00000000">
              <w:rPr>
                <w:rFonts w:ascii="Arial" w:cs="Arial" w:eastAsia="Arial" w:hAnsi="Arial"/>
                <w:sz w:val="22"/>
                <w:szCs w:val="22"/>
                <w:rtl w:val="0"/>
              </w:rPr>
              <w:t xml:space="preserve">$35.8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28">
            <w:pPr>
              <w:jc w:val="right"/>
              <w:rPr>
                <w:sz w:val="22"/>
                <w:szCs w:val="22"/>
              </w:rPr>
            </w:pPr>
            <w:r w:rsidDel="00000000" w:rsidR="00000000" w:rsidRPr="00000000">
              <w:rPr>
                <w:rFonts w:ascii="Arial" w:cs="Arial" w:eastAsia="Arial" w:hAnsi="Arial"/>
                <w:sz w:val="22"/>
                <w:szCs w:val="22"/>
                <w:rtl w:val="0"/>
              </w:rPr>
              <w:t xml:space="preserve">$51.6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29">
            <w:pPr>
              <w:jc w:val="right"/>
              <w:rPr>
                <w:sz w:val="22"/>
                <w:szCs w:val="22"/>
              </w:rPr>
            </w:pPr>
            <w:r w:rsidDel="00000000" w:rsidR="00000000" w:rsidRPr="00000000">
              <w:rPr>
                <w:rFonts w:ascii="Arial" w:cs="Arial" w:eastAsia="Arial" w:hAnsi="Arial"/>
                <w:sz w:val="22"/>
                <w:szCs w:val="22"/>
                <w:rtl w:val="0"/>
              </w:rPr>
              <w:t xml:space="preserve">$63.9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jc w:val="left"/>
              <w:rPr>
                <w:sz w:val="22"/>
                <w:szCs w:val="22"/>
              </w:rPr>
            </w:pPr>
            <w:r w:rsidDel="00000000" w:rsidR="00000000" w:rsidRPr="00000000">
              <w:rPr>
                <w:rFonts w:ascii="Arial" w:cs="Arial" w:eastAsia="Arial" w:hAnsi="Arial"/>
                <w:sz w:val="22"/>
                <w:szCs w:val="22"/>
                <w:rtl w:val="0"/>
              </w:rPr>
              <w:t xml:space="preserve">Revenue Growth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jc w:val="right"/>
              <w:rPr>
                <w:sz w:val="22"/>
                <w:szCs w:val="22"/>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jc w:val="right"/>
              <w:rPr>
                <w:sz w:val="22"/>
                <w:szCs w:val="22"/>
              </w:rPr>
            </w:pPr>
            <w:r w:rsidDel="00000000" w:rsidR="00000000" w:rsidRPr="00000000">
              <w:rPr>
                <w:rFonts w:ascii="Arial" w:cs="Arial" w:eastAsia="Arial" w:hAnsi="Arial"/>
                <w:sz w:val="22"/>
                <w:szCs w:val="22"/>
                <w:rtl w:val="0"/>
              </w:rPr>
              <w:t xml:space="preserve">20.9%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jc w:val="right"/>
              <w:rPr>
                <w:sz w:val="22"/>
                <w:szCs w:val="22"/>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jc w:val="right"/>
              <w:rPr>
                <w:sz w:val="22"/>
                <w:szCs w:val="22"/>
              </w:rPr>
            </w:pPr>
            <w:r w:rsidDel="00000000" w:rsidR="00000000" w:rsidRPr="00000000">
              <w:rPr>
                <w:rFonts w:ascii="Arial" w:cs="Arial" w:eastAsia="Arial" w:hAnsi="Arial"/>
                <w:sz w:val="22"/>
                <w:szCs w:val="22"/>
                <w:rtl w:val="0"/>
              </w:rPr>
              <w:t xml:space="preserve">44.0%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jc w:val="right"/>
              <w:rPr>
                <w:sz w:val="22"/>
                <w:szCs w:val="22"/>
              </w:rPr>
            </w:pPr>
            <w:r w:rsidDel="00000000" w:rsidR="00000000" w:rsidRPr="00000000">
              <w:rPr>
                <w:rFonts w:ascii="Arial" w:cs="Arial" w:eastAsia="Arial" w:hAnsi="Arial"/>
                <w:sz w:val="22"/>
                <w:szCs w:val="22"/>
                <w:rtl w:val="0"/>
              </w:rPr>
              <w:t xml:space="preserve">23.9%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30">
            <w:pPr>
              <w:jc w:val="left"/>
              <w:rPr>
                <w:sz w:val="22"/>
                <w:szCs w:val="22"/>
              </w:rPr>
            </w:pPr>
            <w:r w:rsidDel="00000000" w:rsidR="00000000" w:rsidRPr="00000000">
              <w:rPr>
                <w:rFonts w:ascii="Arial" w:cs="Arial" w:eastAsia="Arial" w:hAnsi="Arial"/>
                <w:sz w:val="22"/>
                <w:szCs w:val="22"/>
                <w:rtl w:val="0"/>
              </w:rPr>
              <w:t xml:space="preserve">Gross Margin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31">
            <w:pPr>
              <w:jc w:val="right"/>
              <w:rPr>
                <w:sz w:val="22"/>
                <w:szCs w:val="22"/>
              </w:rPr>
            </w:pPr>
            <w:r w:rsidDel="00000000" w:rsidR="00000000" w:rsidRPr="00000000">
              <w:rPr>
                <w:rFonts w:ascii="Arial" w:cs="Arial" w:eastAsia="Arial" w:hAnsi="Arial"/>
                <w:sz w:val="22"/>
                <w:szCs w:val="22"/>
                <w:rtl w:val="0"/>
              </w:rPr>
              <w:t xml:space="preserve">61.4%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32">
            <w:pPr>
              <w:jc w:val="right"/>
              <w:rPr>
                <w:sz w:val="22"/>
                <w:szCs w:val="22"/>
              </w:rPr>
            </w:pPr>
            <w:r w:rsidDel="00000000" w:rsidR="00000000" w:rsidRPr="00000000">
              <w:rPr>
                <w:rFonts w:ascii="Arial" w:cs="Arial" w:eastAsia="Arial" w:hAnsi="Arial"/>
                <w:sz w:val="22"/>
                <w:szCs w:val="22"/>
                <w:rtl w:val="0"/>
              </w:rPr>
              <w:t xml:space="preserve">66.5%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33">
            <w:pPr>
              <w:jc w:val="right"/>
              <w:rPr>
                <w:sz w:val="22"/>
                <w:szCs w:val="22"/>
              </w:rPr>
            </w:pPr>
            <w:r w:rsidDel="00000000" w:rsidR="00000000" w:rsidRPr="00000000">
              <w:rPr>
                <w:rFonts w:ascii="Arial" w:cs="Arial" w:eastAsia="Arial" w:hAnsi="Arial"/>
                <w:sz w:val="22"/>
                <w:szCs w:val="22"/>
                <w:rtl w:val="0"/>
              </w:rPr>
              <w:t xml:space="preserve">68.9%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34">
            <w:pPr>
              <w:jc w:val="right"/>
              <w:rPr>
                <w:sz w:val="22"/>
                <w:szCs w:val="22"/>
              </w:rPr>
            </w:pPr>
            <w:r w:rsidDel="00000000" w:rsidR="00000000" w:rsidRPr="00000000">
              <w:rPr>
                <w:rFonts w:ascii="Arial" w:cs="Arial" w:eastAsia="Arial" w:hAnsi="Arial"/>
                <w:sz w:val="22"/>
                <w:szCs w:val="22"/>
                <w:rtl w:val="0"/>
              </w:rPr>
              <w:t xml:space="preserve">63.0%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35">
            <w:pPr>
              <w:jc w:val="right"/>
              <w:rPr>
                <w:sz w:val="22"/>
                <w:szCs w:val="22"/>
              </w:rPr>
            </w:pPr>
            <w:r w:rsidDel="00000000" w:rsidR="00000000" w:rsidRPr="00000000">
              <w:rPr>
                <w:rFonts w:ascii="Arial" w:cs="Arial" w:eastAsia="Arial" w:hAnsi="Arial"/>
                <w:sz w:val="22"/>
                <w:szCs w:val="22"/>
                <w:rtl w:val="0"/>
              </w:rPr>
              <w:t xml:space="preserve">67.8%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jc w:val="left"/>
              <w:rPr>
                <w:sz w:val="22"/>
                <w:szCs w:val="22"/>
              </w:rPr>
            </w:pPr>
            <w:r w:rsidDel="00000000" w:rsidR="00000000" w:rsidRPr="00000000">
              <w:rPr>
                <w:rFonts w:ascii="Arial" w:cs="Arial" w:eastAsia="Arial" w:hAnsi="Arial"/>
                <w:sz w:val="22"/>
                <w:szCs w:val="22"/>
                <w:rtl w:val="0"/>
              </w:rPr>
              <w:t xml:space="preserve">EBITDA Margin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jc w:val="right"/>
              <w:rPr>
                <w:sz w:val="22"/>
                <w:szCs w:val="22"/>
              </w:rPr>
            </w:pPr>
            <w:r w:rsidDel="00000000" w:rsidR="00000000" w:rsidRPr="00000000">
              <w:rPr>
                <w:rFonts w:ascii="Arial" w:cs="Arial" w:eastAsia="Arial" w:hAnsi="Arial"/>
                <w:sz w:val="22"/>
                <w:szCs w:val="22"/>
                <w:rtl w:val="0"/>
              </w:rPr>
              <w:t xml:space="preserve">53.0%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jc w:val="right"/>
              <w:rPr>
                <w:sz w:val="22"/>
                <w:szCs w:val="22"/>
              </w:rPr>
            </w:pPr>
            <w:r w:rsidDel="00000000" w:rsidR="00000000" w:rsidRPr="00000000">
              <w:rPr>
                <w:rFonts w:ascii="Arial" w:cs="Arial" w:eastAsia="Arial" w:hAnsi="Arial"/>
                <w:sz w:val="22"/>
                <w:szCs w:val="22"/>
                <w:rtl w:val="0"/>
              </w:rPr>
              <w:t xml:space="preserve">57.9%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jc w:val="right"/>
              <w:rPr>
                <w:sz w:val="22"/>
                <w:szCs w:val="22"/>
              </w:rPr>
            </w:pPr>
            <w:r w:rsidDel="00000000" w:rsidR="00000000" w:rsidRPr="00000000">
              <w:rPr>
                <w:rFonts w:ascii="Arial" w:cs="Arial" w:eastAsia="Arial" w:hAnsi="Arial"/>
                <w:sz w:val="22"/>
                <w:szCs w:val="22"/>
                <w:rtl w:val="0"/>
              </w:rPr>
              <w:t xml:space="preserve">56.0%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jc w:val="right"/>
              <w:rPr>
                <w:sz w:val="22"/>
                <w:szCs w:val="22"/>
              </w:rPr>
            </w:pPr>
            <w:r w:rsidDel="00000000" w:rsidR="00000000" w:rsidRPr="00000000">
              <w:rPr>
                <w:rFonts w:ascii="Arial" w:cs="Arial" w:eastAsia="Arial" w:hAnsi="Arial"/>
                <w:sz w:val="22"/>
                <w:szCs w:val="22"/>
                <w:rtl w:val="0"/>
              </w:rPr>
              <w:t xml:space="preserve">45.5%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jc w:val="right"/>
              <w:rPr>
                <w:sz w:val="22"/>
                <w:szCs w:val="22"/>
              </w:rPr>
            </w:pPr>
            <w:r w:rsidDel="00000000" w:rsidR="00000000" w:rsidRPr="00000000">
              <w:rPr>
                <w:rFonts w:ascii="Arial" w:cs="Arial" w:eastAsia="Arial" w:hAnsi="Arial"/>
                <w:sz w:val="22"/>
                <w:szCs w:val="22"/>
                <w:rtl w:val="0"/>
              </w:rPr>
              <w:t xml:space="preserve">53.6%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3C">
            <w:pPr>
              <w:jc w:val="left"/>
              <w:rPr>
                <w:sz w:val="22"/>
                <w:szCs w:val="22"/>
              </w:rPr>
            </w:pPr>
            <w:r w:rsidDel="00000000" w:rsidR="00000000" w:rsidRPr="00000000">
              <w:rPr>
                <w:rFonts w:ascii="Arial" w:cs="Arial" w:eastAsia="Arial" w:hAnsi="Arial"/>
                <w:sz w:val="22"/>
                <w:szCs w:val="22"/>
                <w:rtl w:val="0"/>
              </w:rPr>
              <w:t xml:space="preserve">Free Cash Flow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3D">
            <w:pPr>
              <w:jc w:val="right"/>
              <w:rPr>
                <w:sz w:val="22"/>
                <w:szCs w:val="22"/>
              </w:rPr>
            </w:pPr>
            <w:r w:rsidDel="00000000" w:rsidR="00000000" w:rsidRPr="00000000">
              <w:rPr>
                <w:rFonts w:ascii="Arial" w:cs="Arial" w:eastAsia="Arial" w:hAnsi="Arial"/>
                <w:sz w:val="22"/>
                <w:szCs w:val="22"/>
                <w:rtl w:val="0"/>
              </w:rPr>
              <w:t xml:space="preserve">$13.3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3E">
            <w:pPr>
              <w:jc w:val="right"/>
              <w:rPr>
                <w:sz w:val="22"/>
                <w:szCs w:val="22"/>
              </w:rPr>
            </w:pPr>
            <w:r w:rsidDel="00000000" w:rsidR="00000000" w:rsidRPr="00000000">
              <w:rPr>
                <w:rFonts w:ascii="Arial" w:cs="Arial" w:eastAsia="Arial" w:hAnsi="Arial"/>
                <w:sz w:val="22"/>
                <w:szCs w:val="22"/>
                <w:rtl w:val="0"/>
              </w:rPr>
              <w:t xml:space="preserve">$16.3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3F">
            <w:pPr>
              <w:jc w:val="right"/>
              <w:rPr>
                <w:sz w:val="22"/>
                <w:szCs w:val="22"/>
              </w:rPr>
            </w:pPr>
            <w:r w:rsidDel="00000000" w:rsidR="00000000" w:rsidRPr="00000000">
              <w:rPr>
                <w:rFonts w:ascii="Arial" w:cs="Arial" w:eastAsia="Arial" w:hAnsi="Arial"/>
                <w:sz w:val="22"/>
                <w:szCs w:val="22"/>
                <w:rtl w:val="0"/>
              </w:rPr>
              <w:t xml:space="preserve">$17.6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40">
            <w:pPr>
              <w:jc w:val="right"/>
              <w:rPr>
                <w:sz w:val="22"/>
                <w:szCs w:val="22"/>
              </w:rPr>
            </w:pPr>
            <w:r w:rsidDel="00000000" w:rsidR="00000000" w:rsidRPr="00000000">
              <w:rPr>
                <w:rFonts w:ascii="Arial" w:cs="Arial" w:eastAsia="Arial" w:hAnsi="Arial"/>
                <w:sz w:val="22"/>
                <w:szCs w:val="22"/>
                <w:rtl w:val="0"/>
              </w:rPr>
              <w:t xml:space="preserve">$19.4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41">
            <w:pPr>
              <w:jc w:val="right"/>
              <w:rPr>
                <w:sz w:val="22"/>
                <w:szCs w:val="22"/>
              </w:rPr>
            </w:pPr>
            <w:r w:rsidDel="00000000" w:rsidR="00000000" w:rsidRPr="00000000">
              <w:rPr>
                <w:rFonts w:ascii="Arial" w:cs="Arial" w:eastAsia="Arial" w:hAnsi="Arial"/>
                <w:sz w:val="22"/>
                <w:szCs w:val="22"/>
                <w:rtl w:val="0"/>
              </w:rPr>
              <w:t xml:space="preserve">$26.9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jc w:val="left"/>
              <w:rPr>
                <w:sz w:val="22"/>
                <w:szCs w:val="22"/>
              </w:rPr>
            </w:pPr>
            <w:r w:rsidDel="00000000" w:rsidR="00000000" w:rsidRPr="00000000">
              <w:rPr>
                <w:rFonts w:ascii="Arial" w:cs="Arial" w:eastAsia="Arial" w:hAnsi="Arial"/>
                <w:sz w:val="22"/>
                <w:szCs w:val="22"/>
                <w:rtl w:val="0"/>
              </w:rPr>
              <w:t xml:space="preserve">Net Debt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jc w:val="right"/>
              <w:rPr>
                <w:sz w:val="22"/>
                <w:szCs w:val="22"/>
              </w:rPr>
            </w:pPr>
            <w:r w:rsidDel="00000000" w:rsidR="00000000" w:rsidRPr="00000000">
              <w:rPr>
                <w:rFonts w:ascii="Arial" w:cs="Arial" w:eastAsia="Arial" w:hAnsi="Arial"/>
                <w:sz w:val="22"/>
                <w:szCs w:val="22"/>
                <w:rtl w:val="0"/>
              </w:rPr>
              <w:t xml:space="preserve">$27.6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jc w:val="right"/>
              <w:rPr>
                <w:sz w:val="22"/>
                <w:szCs w:val="22"/>
              </w:rPr>
            </w:pPr>
            <w:r w:rsidDel="00000000" w:rsidR="00000000" w:rsidRPr="00000000">
              <w:rPr>
                <w:rFonts w:ascii="Arial" w:cs="Arial" w:eastAsia="Arial" w:hAnsi="Arial"/>
                <w:sz w:val="22"/>
                <w:szCs w:val="22"/>
                <w:rtl w:val="0"/>
              </w:rPr>
              <w:t xml:space="preserve">$27.1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jc w:val="right"/>
              <w:rPr>
                <w:sz w:val="22"/>
                <w:szCs w:val="22"/>
              </w:rPr>
            </w:pPr>
            <w:r w:rsidDel="00000000" w:rsidR="00000000" w:rsidRPr="00000000">
              <w:rPr>
                <w:rFonts w:ascii="Arial" w:cs="Arial" w:eastAsia="Arial" w:hAnsi="Arial"/>
                <w:sz w:val="22"/>
                <w:szCs w:val="22"/>
                <w:rtl w:val="0"/>
              </w:rPr>
              <w:t xml:space="preserve">$25.0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jc w:val="right"/>
              <w:rPr>
                <w:sz w:val="22"/>
                <w:szCs w:val="22"/>
              </w:rPr>
            </w:pPr>
            <w:r w:rsidDel="00000000" w:rsidR="00000000" w:rsidRPr="00000000">
              <w:rPr>
                <w:rFonts w:ascii="Arial" w:cs="Arial" w:eastAsia="Arial" w:hAnsi="Arial"/>
                <w:sz w:val="22"/>
                <w:szCs w:val="22"/>
                <w:rtl w:val="0"/>
              </w:rPr>
              <w:t xml:space="preserve">$58.2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jc w:val="right"/>
              <w:rPr>
                <w:sz w:val="22"/>
                <w:szCs w:val="22"/>
              </w:rPr>
            </w:pPr>
            <w:r w:rsidDel="00000000" w:rsidR="00000000" w:rsidRPr="00000000">
              <w:rPr>
                <w:rFonts w:ascii="Arial" w:cs="Arial" w:eastAsia="Arial" w:hAnsi="Arial"/>
                <w:sz w:val="22"/>
                <w:szCs w:val="22"/>
                <w:rtl w:val="0"/>
              </w:rPr>
              <w:t xml:space="preserve">$49.0</w:t>
            </w:r>
            <w:r w:rsidDel="00000000" w:rsidR="00000000" w:rsidRPr="00000000">
              <w:rPr>
                <w:rtl w:val="0"/>
              </w:rPr>
            </w:r>
          </w:p>
        </w:tc>
      </w:tr>
    </w:tbl>
    <w:p w:rsidR="00000000" w:rsidDel="00000000" w:rsidP="00000000" w:rsidRDefault="00000000" w:rsidRPr="00000000" w14:paraId="00000048">
      <w:pPr>
        <w:spacing w:after="60" w:lineRule="auto"/>
        <w:rPr/>
      </w:pPr>
      <w:r w:rsidDel="00000000" w:rsidR="00000000" w:rsidRPr="00000000">
        <w:rPr>
          <w:rtl w:val="0"/>
        </w:rPr>
      </w:r>
    </w:p>
    <w:p w:rsidR="00000000" w:rsidDel="00000000" w:rsidP="00000000" w:rsidRDefault="00000000" w:rsidRPr="00000000" w14:paraId="00000049">
      <w:pPr>
        <w:spacing w:after="60" w:before="60" w:lineRule="auto"/>
        <w:rPr/>
      </w:pPr>
      <w:r w:rsidDel="00000000" w:rsidR="00000000" w:rsidRPr="00000000">
        <w:rPr>
          <w:rtl w:val="0"/>
        </w:rPr>
      </w:r>
    </w:p>
    <w:p w:rsidR="00000000" w:rsidDel="00000000" w:rsidP="00000000" w:rsidRDefault="00000000" w:rsidRPr="00000000" w14:paraId="0000004A">
      <w:pPr>
        <w:spacing w:after="180" w:lineRule="auto"/>
        <w:rPr/>
      </w:pPr>
      <w:r w:rsidDel="00000000" w:rsidR="00000000" w:rsidRPr="00000000">
        <w:rPr>
          <w:rtl w:val="0"/>
        </w:rPr>
      </w:r>
    </w:p>
    <w:p w:rsidR="00000000" w:rsidDel="00000000" w:rsidP="00000000" w:rsidRDefault="00000000" w:rsidRPr="00000000" w14:paraId="0000004B">
      <w:pPr>
        <w:pBdr>
          <w:bottom w:color="cccccc" w:space="1" w:sz="4" w:val="single"/>
        </w:pBdr>
        <w:spacing w:after="80" w:before="240" w:lineRule="auto"/>
        <w:rPr/>
      </w:pPr>
      <w:r w:rsidDel="00000000" w:rsidR="00000000" w:rsidRPr="00000000">
        <w:rPr>
          <w:rFonts w:ascii="Arial" w:cs="Arial" w:eastAsia="Arial" w:hAnsi="Arial"/>
          <w:b w:val="1"/>
          <w:bCs w:val="1"/>
          <w:color w:val="1b3a6b"/>
          <w:sz w:val="28"/>
          <w:szCs w:val="28"/>
          <w:rtl w:val="0"/>
        </w:rPr>
        <w:t xml:space="preserve">KEY MODEL ASSUMPTIONS</w:t>
      </w:r>
      <w:r w:rsidDel="00000000" w:rsidR="00000000" w:rsidRPr="00000000">
        <w:rPr>
          <w:rtl w:val="0"/>
        </w:rPr>
      </w:r>
    </w:p>
    <w:p w:rsidR="00000000" w:rsidDel="00000000" w:rsidP="00000000" w:rsidRDefault="00000000" w:rsidRPr="00000000" w14:paraId="0000004C">
      <w:pPr>
        <w:spacing w:after="60" w:before="200" w:lineRule="auto"/>
        <w:rPr>
          <w:sz w:val="26"/>
          <w:szCs w:val="26"/>
        </w:rPr>
      </w:pPr>
      <w:r w:rsidDel="00000000" w:rsidR="00000000" w:rsidRPr="00000000">
        <w:rPr>
          <w:rFonts w:ascii="Arial" w:cs="Arial" w:eastAsia="Arial" w:hAnsi="Arial"/>
          <w:b w:val="1"/>
          <w:bCs w:val="1"/>
          <w:color w:val="1b3a6b"/>
          <w:sz w:val="26"/>
          <w:szCs w:val="26"/>
          <w:rtl w:val="0"/>
        </w:rPr>
        <w:t xml:space="preserve">Revenue Growth</w:t>
      </w:r>
      <w:r w:rsidDel="00000000" w:rsidR="00000000" w:rsidRPr="00000000">
        <w:rPr>
          <w:rtl w:val="0"/>
        </w:rPr>
      </w:r>
    </w:p>
    <w:p w:rsidR="00000000" w:rsidDel="00000000" w:rsidP="00000000" w:rsidRDefault="00000000" w:rsidRPr="00000000" w14:paraId="0000004D">
      <w:pPr>
        <w:spacing w:line="276" w:lineRule="auto"/>
        <w:rPr>
          <w:sz w:val="22"/>
          <w:szCs w:val="22"/>
        </w:rPr>
      </w:pPr>
      <w:r w:rsidDel="00000000" w:rsidR="00000000" w:rsidRPr="00000000">
        <w:rPr>
          <w:sz w:val="22"/>
          <w:szCs w:val="22"/>
          <w:rtl w:val="0"/>
        </w:rPr>
        <w:t xml:space="preserve">Revenue growth is expected to moderate from 24% (FY2025) to 8% by FY2030. Due to continued AI XPU supply to mega companies like Google and Meta and VMware subscription conversions the near term FY2026-2027 revenue growth expected is 15-18%. The slower growth in later years accounts for ‘ the law of large numbers’ with a $60B+ revenue and normalization of hyperscaler custom silicon spend.</w:t>
      </w:r>
    </w:p>
    <w:p w:rsidR="00000000" w:rsidDel="00000000" w:rsidP="00000000" w:rsidRDefault="00000000" w:rsidRPr="00000000" w14:paraId="0000004E">
      <w:pPr>
        <w:spacing w:after="60" w:before="200" w:lineRule="auto"/>
        <w:rPr>
          <w:sz w:val="24"/>
          <w:szCs w:val="24"/>
        </w:rPr>
      </w:pPr>
      <w:r w:rsidDel="00000000" w:rsidR="00000000" w:rsidRPr="00000000">
        <w:rPr>
          <w:rFonts w:ascii="Arial" w:cs="Arial" w:eastAsia="Arial" w:hAnsi="Arial"/>
          <w:b w:val="1"/>
          <w:bCs w:val="1"/>
          <w:color w:val="1b3a6b"/>
          <w:sz w:val="24"/>
          <w:szCs w:val="24"/>
          <w:rtl w:val="0"/>
        </w:rPr>
        <w:t xml:space="preserve">Margins</w:t>
      </w:r>
      <w:r w:rsidDel="00000000" w:rsidR="00000000" w:rsidRPr="00000000">
        <w:rPr>
          <w:rtl w:val="0"/>
        </w:rPr>
      </w:r>
    </w:p>
    <w:p w:rsidR="00000000" w:rsidDel="00000000" w:rsidP="00000000" w:rsidRDefault="00000000" w:rsidRPr="00000000" w14:paraId="0000004F">
      <w:pPr>
        <w:spacing w:after="60" w:before="60" w:lineRule="auto"/>
        <w:rPr>
          <w:sz w:val="22"/>
          <w:szCs w:val="22"/>
        </w:rPr>
      </w:pPr>
      <w:r w:rsidDel="00000000" w:rsidR="00000000" w:rsidRPr="00000000">
        <w:rPr>
          <w:sz w:val="22"/>
          <w:szCs w:val="22"/>
          <w:rtl w:val="0"/>
        </w:rPr>
        <w:t xml:space="preserve">EBIT margin is kept at 40% throughout the forecast period, which aligns with the company’s adjusted operating margin trend following the VMware integration. Gross margin has historically been in the 61–69% range,the decline in FY2024 was mainly due to the acquisition and has recovered after that. D&amp;A is modeled at 13.7% of revenue to account for the significant amortization of VMware related intangible assets. Capex is kept low at around 1.2% of revenue, reflecting Broadcom’s asset light business model.</w:t>
      </w:r>
    </w:p>
    <w:p w:rsidR="00000000" w:rsidDel="00000000" w:rsidP="00000000" w:rsidRDefault="00000000" w:rsidRPr="00000000" w14:paraId="00000050">
      <w:pPr>
        <w:spacing w:after="60" w:before="200" w:lineRule="auto"/>
        <w:rPr>
          <w:rFonts w:ascii="Arial" w:cs="Arial" w:eastAsia="Arial" w:hAnsi="Arial"/>
          <w:b w:val="1"/>
          <w:bCs w:val="1"/>
          <w:color w:val="1b3a6b"/>
          <w:sz w:val="24"/>
          <w:szCs w:val="24"/>
        </w:rPr>
      </w:pPr>
      <w:r w:rsidDel="00000000" w:rsidR="00000000" w:rsidRPr="00000000">
        <w:rPr>
          <w:rFonts w:ascii="Arial" w:cs="Arial" w:eastAsia="Arial" w:hAnsi="Arial"/>
          <w:b w:val="1"/>
          <w:bCs w:val="1"/>
          <w:color w:val="1b3a6b"/>
          <w:sz w:val="24"/>
          <w:szCs w:val="24"/>
          <w:rtl w:val="0"/>
        </w:rPr>
        <w:t xml:space="preserve">WACC</w:t>
      </w:r>
    </w:p>
    <w:p w:rsidR="00000000" w:rsidDel="00000000" w:rsidP="00000000" w:rsidRDefault="00000000" w:rsidRPr="00000000" w14:paraId="00000051">
      <w:pPr>
        <w:rPr>
          <w:sz w:val="22"/>
          <w:szCs w:val="22"/>
        </w:rPr>
      </w:pPr>
      <w:r w:rsidDel="00000000" w:rsidR="00000000" w:rsidRPr="00000000">
        <w:rPr>
          <w:sz w:val="22"/>
          <w:szCs w:val="22"/>
          <w:rtl w:val="0"/>
        </w:rPr>
        <w:t xml:space="preserve">WACC is estimated at 11.3% using CAPM, based on a 4.3% risk free rate from the 10 year U.S. Treasury, a 5.0% equity risk premium from Damodaran, and a beta of 1.45.The higher WACC mainly reflects Broadcom’s increased leverage after the VMware acquisition, along with the greater systematic risk typically associated with semiconductor businesses.</w:t>
      </w:r>
    </w:p>
    <w:p w:rsidR="00000000" w:rsidDel="00000000" w:rsidP="00000000" w:rsidRDefault="00000000" w:rsidRPr="00000000" w14:paraId="00000052">
      <w:pPr>
        <w:spacing w:after="60" w:before="200" w:lineRule="auto"/>
        <w:rPr/>
      </w:pPr>
      <w:r w:rsidDel="00000000" w:rsidR="00000000" w:rsidRPr="00000000">
        <w:rPr>
          <w:rFonts w:ascii="Arial" w:cs="Arial" w:eastAsia="Arial" w:hAnsi="Arial"/>
          <w:b w:val="1"/>
          <w:bCs w:val="1"/>
          <w:color w:val="1b3a6b"/>
          <w:sz w:val="22"/>
          <w:szCs w:val="22"/>
          <w:rtl w:val="0"/>
        </w:rPr>
        <w:t xml:space="preserve">Terminal Value</w:t>
      </w:r>
      <w:r w:rsidDel="00000000" w:rsidR="00000000" w:rsidRPr="00000000">
        <w:rPr>
          <w:rtl w:val="0"/>
        </w:rPr>
      </w:r>
    </w:p>
    <w:p w:rsidR="00000000" w:rsidDel="00000000" w:rsidP="00000000" w:rsidRDefault="00000000" w:rsidRPr="00000000" w14:paraId="00000053">
      <w:pPr>
        <w:spacing w:after="240" w:before="240" w:lineRule="auto"/>
        <w:rPr>
          <w:sz w:val="22"/>
          <w:szCs w:val="22"/>
        </w:rPr>
      </w:pPr>
      <w:r w:rsidDel="00000000" w:rsidR="00000000" w:rsidRPr="00000000">
        <w:rPr>
          <w:sz w:val="22"/>
          <w:szCs w:val="22"/>
          <w:rtl w:val="0"/>
        </w:rPr>
        <w:t xml:space="preserve">Terminal value is estimated using two methods. The Gordon Growth Model applies a 3.5% perpetuity growth rate to FY2030 FCF, reflecting long term nominal GDP growth with a modest technology premium. The exit multiple method applies an 18x EV/EBITDA multiple to FY2030 EBITDA, which is in line with other semiconductor and software company’s.The difference between the two implied values, $105 vs. $161, highlights how sensitive the terminal value is to the method used.</w:t>
      </w:r>
    </w:p>
    <w:p w:rsidR="00000000" w:rsidDel="00000000" w:rsidP="00000000" w:rsidRDefault="00000000" w:rsidRPr="00000000" w14:paraId="00000054">
      <w:pPr>
        <w:spacing w:after="180" w:lineRule="auto"/>
        <w:rPr/>
      </w:pPr>
      <w:r w:rsidDel="00000000" w:rsidR="00000000" w:rsidRPr="00000000">
        <w:rPr>
          <w:rtl w:val="0"/>
        </w:rPr>
      </w:r>
    </w:p>
    <w:p w:rsidR="00000000" w:rsidDel="00000000" w:rsidP="00000000" w:rsidRDefault="00000000" w:rsidRPr="00000000" w14:paraId="00000055">
      <w:pPr>
        <w:pBdr>
          <w:bottom w:color="cccccc" w:space="1" w:sz="4" w:val="single"/>
        </w:pBdr>
        <w:spacing w:after="80" w:before="240" w:lineRule="auto"/>
        <w:rPr/>
      </w:pPr>
      <w:r w:rsidDel="00000000" w:rsidR="00000000" w:rsidRPr="00000000">
        <w:rPr>
          <w:rFonts w:ascii="Arial" w:cs="Arial" w:eastAsia="Arial" w:hAnsi="Arial"/>
          <w:b w:val="1"/>
          <w:bCs w:val="1"/>
          <w:color w:val="1b3a6b"/>
          <w:sz w:val="28"/>
          <w:szCs w:val="28"/>
          <w:rtl w:val="0"/>
        </w:rPr>
        <w:t xml:space="preserve">INVESTMENT CONSIDERATIONS</w:t>
      </w:r>
      <w:r w:rsidDel="00000000" w:rsidR="00000000" w:rsidRPr="00000000">
        <w:rPr>
          <w:rtl w:val="0"/>
        </w:rPr>
      </w:r>
    </w:p>
    <w:p w:rsidR="00000000" w:rsidDel="00000000" w:rsidP="00000000" w:rsidRDefault="00000000" w:rsidRPr="00000000" w14:paraId="00000056">
      <w:pPr>
        <w:spacing w:after="60" w:before="200" w:lineRule="auto"/>
        <w:rPr>
          <w:sz w:val="22"/>
          <w:szCs w:val="22"/>
        </w:rPr>
      </w:pPr>
      <w:r w:rsidDel="00000000" w:rsidR="00000000" w:rsidRPr="00000000">
        <w:rPr>
          <w:rFonts w:ascii="Arial" w:cs="Arial" w:eastAsia="Arial" w:hAnsi="Arial"/>
          <w:b w:val="1"/>
          <w:bCs w:val="1"/>
          <w:color w:val="1b3a6b"/>
          <w:sz w:val="24"/>
          <w:szCs w:val="24"/>
          <w:rtl w:val="0"/>
        </w:rPr>
        <w:t xml:space="preserve">Bull Case Arguments</w:t>
      </w:r>
      <w:r w:rsidDel="00000000" w:rsidR="00000000" w:rsidRPr="00000000">
        <w:rPr>
          <w:rtl w:val="0"/>
        </w:rPr>
      </w:r>
    </w:p>
    <w:p w:rsidR="00000000" w:rsidDel="00000000" w:rsidP="00000000" w:rsidRDefault="00000000" w:rsidRPr="00000000" w14:paraId="00000057">
      <w:pPr>
        <w:numPr>
          <w:ilvl w:val="0"/>
          <w:numId w:val="2"/>
        </w:numPr>
        <w:spacing w:after="0" w:afterAutospacing="0" w:before="240" w:lineRule="auto"/>
        <w:ind w:left="720" w:hanging="360"/>
        <w:rPr>
          <w:sz w:val="22"/>
          <w:szCs w:val="22"/>
        </w:rPr>
      </w:pPr>
      <w:r w:rsidDel="00000000" w:rsidR="00000000" w:rsidRPr="00000000">
        <w:rPr>
          <w:sz w:val="22"/>
          <w:szCs w:val="22"/>
          <w:rtl w:val="0"/>
        </w:rPr>
        <w:t xml:space="preserve">AI XPU revenue could outperform the base case if Google and Meta accelerate their custom silicon ramp faster than expected. Management has indicated that AI revenue could reach $60–90B by FY2027.</w:t>
      </w:r>
    </w:p>
    <w:p w:rsidR="00000000" w:rsidDel="00000000" w:rsidP="00000000" w:rsidRDefault="00000000" w:rsidRPr="00000000" w14:paraId="00000058">
      <w:pPr>
        <w:numPr>
          <w:ilvl w:val="0"/>
          <w:numId w:val="2"/>
        </w:numPr>
        <w:spacing w:after="0" w:afterAutospacing="0" w:before="0" w:beforeAutospacing="0" w:lineRule="auto"/>
        <w:ind w:left="720" w:hanging="360"/>
        <w:rPr>
          <w:sz w:val="22"/>
          <w:szCs w:val="22"/>
        </w:rPr>
      </w:pPr>
      <w:r w:rsidDel="00000000" w:rsidR="00000000" w:rsidRPr="00000000">
        <w:rPr>
          <w:sz w:val="22"/>
          <w:szCs w:val="22"/>
          <w:rtl w:val="0"/>
        </w:rPr>
        <w:t xml:space="preserve">VMware synergies are still unfolding. As more customers move toward subscription licenses, recurring revenue and margins could improve beyond the levels currently modeled.</w:t>
      </w:r>
    </w:p>
    <w:p w:rsidR="00000000" w:rsidDel="00000000" w:rsidP="00000000" w:rsidRDefault="00000000" w:rsidRPr="00000000" w14:paraId="00000059">
      <w:pPr>
        <w:numPr>
          <w:ilvl w:val="0"/>
          <w:numId w:val="2"/>
        </w:numPr>
        <w:spacing w:after="240" w:before="0" w:beforeAutospacing="0" w:lineRule="auto"/>
        <w:ind w:left="720" w:hanging="360"/>
        <w:rPr>
          <w:sz w:val="22"/>
          <w:szCs w:val="22"/>
        </w:rPr>
      </w:pPr>
      <w:r w:rsidDel="00000000" w:rsidR="00000000" w:rsidRPr="00000000">
        <w:rPr>
          <w:sz w:val="22"/>
          <w:szCs w:val="22"/>
          <w:rtl w:val="0"/>
        </w:rPr>
        <w:t xml:space="preserve">Broadcom’s FCF conversion remains a major strength. With free cash flow margins consistently above 40%.</w:t>
      </w:r>
    </w:p>
    <w:p w:rsidR="00000000" w:rsidDel="00000000" w:rsidP="00000000" w:rsidRDefault="00000000" w:rsidRPr="00000000" w14:paraId="0000005A">
      <w:pPr>
        <w:spacing w:after="60" w:lineRule="auto"/>
        <w:rPr/>
      </w:pPr>
      <w:r w:rsidDel="00000000" w:rsidR="00000000" w:rsidRPr="00000000">
        <w:rPr>
          <w:rtl w:val="0"/>
        </w:rPr>
      </w:r>
    </w:p>
    <w:p w:rsidR="00000000" w:rsidDel="00000000" w:rsidP="00000000" w:rsidRDefault="00000000" w:rsidRPr="00000000" w14:paraId="0000005B">
      <w:pPr>
        <w:spacing w:after="60" w:before="200" w:lineRule="auto"/>
        <w:rPr>
          <w:sz w:val="22"/>
          <w:szCs w:val="22"/>
        </w:rPr>
      </w:pPr>
      <w:r w:rsidDel="00000000" w:rsidR="00000000" w:rsidRPr="00000000">
        <w:rPr>
          <w:rFonts w:ascii="Arial" w:cs="Arial" w:eastAsia="Arial" w:hAnsi="Arial"/>
          <w:b w:val="1"/>
          <w:bCs w:val="1"/>
          <w:color w:val="1b3a6b"/>
          <w:sz w:val="24"/>
          <w:szCs w:val="24"/>
          <w:rtl w:val="0"/>
        </w:rPr>
        <w:t xml:space="preserve">Bear Case / Key Risks</w:t>
      </w:r>
      <w:r w:rsidDel="00000000" w:rsidR="00000000" w:rsidRPr="00000000">
        <w:rPr>
          <w:rtl w:val="0"/>
        </w:rPr>
      </w:r>
    </w:p>
    <w:p w:rsidR="00000000" w:rsidDel="00000000" w:rsidP="00000000" w:rsidRDefault="00000000" w:rsidRPr="00000000" w14:paraId="0000005C">
      <w:pPr>
        <w:numPr>
          <w:ilvl w:val="0"/>
          <w:numId w:val="1"/>
        </w:numPr>
        <w:spacing w:after="0" w:afterAutospacing="0" w:before="240" w:lineRule="auto"/>
        <w:ind w:left="720" w:hanging="360"/>
        <w:rPr>
          <w:sz w:val="22"/>
          <w:szCs w:val="22"/>
        </w:rPr>
      </w:pPr>
      <w:r w:rsidDel="00000000" w:rsidR="00000000" w:rsidRPr="00000000">
        <w:rPr>
          <w:sz w:val="22"/>
          <w:szCs w:val="22"/>
          <w:rtl w:val="0"/>
        </w:rPr>
        <w:t xml:space="preserve">Hyperscaler concentration remains a key risk. Google and Meta make up a disproportionate share of AI revenue, so any slowdown in their capex spending could directly affect Broadcom’s growth.</w:t>
      </w:r>
    </w:p>
    <w:p w:rsidR="00000000" w:rsidDel="00000000" w:rsidP="00000000" w:rsidRDefault="00000000" w:rsidRPr="00000000" w14:paraId="0000005D">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VMware integration still carries execution risk. Some enterprise customers have pushed back against licensing price increases, which makes churn within the VMware customer base a meaningful concern.</w:t>
      </w:r>
    </w:p>
    <w:p w:rsidR="00000000" w:rsidDel="00000000" w:rsidP="00000000" w:rsidRDefault="00000000" w:rsidRPr="00000000" w14:paraId="0000005E">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Valuation, at $462, the stock trades at around 28x forward EBITDA, meaning even a modest growth disappointment versus high expectations could lead to a sharp repricing.</w:t>
      </w:r>
    </w:p>
    <w:p w:rsidR="00000000" w:rsidDel="00000000" w:rsidP="00000000" w:rsidRDefault="00000000" w:rsidRPr="00000000" w14:paraId="0000005F">
      <w:pPr>
        <w:numPr>
          <w:ilvl w:val="0"/>
          <w:numId w:val="1"/>
        </w:numPr>
        <w:spacing w:after="240" w:before="0" w:beforeAutospacing="0" w:lineRule="auto"/>
        <w:ind w:left="720" w:hanging="360"/>
        <w:rPr>
          <w:sz w:val="22"/>
          <w:szCs w:val="22"/>
        </w:rPr>
      </w:pPr>
      <w:r w:rsidDel="00000000" w:rsidR="00000000" w:rsidRPr="00000000">
        <w:rPr>
          <w:sz w:val="22"/>
          <w:szCs w:val="22"/>
          <w:rtl w:val="0"/>
        </w:rPr>
        <w:t xml:space="preserve">Leverage is still a lot after the VMware deal. With roughly $49B in net debt, higher rates or a cyclical downturn could affect the company.</w:t>
      </w:r>
    </w:p>
    <w:p w:rsidR="00000000" w:rsidDel="00000000" w:rsidP="00000000" w:rsidRDefault="00000000" w:rsidRPr="00000000" w14:paraId="00000060">
      <w:pPr>
        <w:spacing w:after="180" w:lineRule="auto"/>
        <w:rPr/>
      </w:pPr>
      <w:r w:rsidDel="00000000" w:rsidR="00000000" w:rsidRPr="00000000">
        <w:rPr>
          <w:rtl w:val="0"/>
        </w:rPr>
      </w:r>
    </w:p>
    <w:p w:rsidR="00000000" w:rsidDel="00000000" w:rsidP="00000000" w:rsidRDefault="00000000" w:rsidRPr="00000000" w14:paraId="00000061">
      <w:pPr>
        <w:pBdr>
          <w:bottom w:color="cccccc" w:space="1" w:sz="4" w:val="single"/>
        </w:pBdr>
        <w:spacing w:after="80" w:before="240" w:lineRule="auto"/>
        <w:rPr/>
      </w:pPr>
      <w:r w:rsidDel="00000000" w:rsidR="00000000" w:rsidRPr="00000000">
        <w:rPr>
          <w:rFonts w:ascii="Arial" w:cs="Arial" w:eastAsia="Arial" w:hAnsi="Arial"/>
          <w:b w:val="1"/>
          <w:bCs w:val="1"/>
          <w:color w:val="1b3a6b"/>
          <w:sz w:val="28"/>
          <w:szCs w:val="28"/>
          <w:rtl w:val="0"/>
        </w:rPr>
        <w:t xml:space="preserve">CONCLUSION</w:t>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My base case DCF gives an intrinsic value range of $105–$161 per share, which implies 65–77% downside from the current price of $462. However, this does not automatically mean the stock is an obvious short. The market is clearly giving Broadcom a meaningful growth premium because of its AI positioning, and our conservative base case does not fully capture that upside.</w:t>
      </w:r>
    </w:p>
    <w:p w:rsidR="00000000" w:rsidDel="00000000" w:rsidP="00000000" w:rsidRDefault="00000000" w:rsidRPr="00000000" w14:paraId="00000063">
      <w:pPr>
        <w:spacing w:after="240" w:before="240" w:lineRule="auto"/>
        <w:rPr/>
      </w:pPr>
      <w:r w:rsidDel="00000000" w:rsidR="00000000" w:rsidRPr="00000000">
        <w:rPr>
          <w:rtl w:val="0"/>
        </w:rPr>
        <w:t xml:space="preserve">For the current market price of $462 to be justified within our model, the assumptions would need to become much more optimistic. This would likely require either 20%+ revenue growth continuing beyond FY2030, EBIT margins increasing to 45–50%, or a lower WACC of around 9% combined with a terminal growth rate of 4–5%. These scenarios are not impossible, especially given Broadcom’s AI exposure, but they do require strong confidence that the current macro and competitive environment will remain favorable.</w:t>
      </w:r>
    </w:p>
    <w:p w:rsidR="00000000" w:rsidDel="00000000" w:rsidP="00000000" w:rsidRDefault="00000000" w:rsidRPr="00000000" w14:paraId="00000064">
      <w:pPr>
        <w:spacing w:after="240" w:before="240" w:lineRule="auto"/>
        <w:rPr/>
      </w:pPr>
      <w:r w:rsidDel="00000000" w:rsidR="00000000" w:rsidRPr="00000000">
        <w:rPr>
          <w:rtl w:val="0"/>
        </w:rPr>
        <w:t xml:space="preserve">Our sensitivity analysis shows an implied share price range of roughly $75 to $210 across realistic WACC and growth assumptions. This suggests that the current stock price is only supported under the most optimistic set of assumptions.</w:t>
      </w:r>
    </w:p>
    <w:p w:rsidR="00000000" w:rsidDel="00000000" w:rsidP="00000000" w:rsidRDefault="00000000" w:rsidRPr="00000000" w14:paraId="00000065">
      <w:pPr>
        <w:pBdr>
          <w:top w:color="cccccc" w:space="1" w:sz="4" w:val="single"/>
        </w:pBdr>
        <w:spacing w:before="80" w:lineRule="auto"/>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