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01CF8" w14:textId="77777777" w:rsidR="001464F1" w:rsidRDefault="001464F1" w:rsidP="001464F1">
      <w:pPr>
        <w:pStyle w:val="Title"/>
        <w:jc w:val="center"/>
        <w:rPr>
          <w:rFonts w:ascii="Aptos Black" w:hAnsi="Aptos Black"/>
          <w:color w:val="C00000"/>
        </w:rPr>
      </w:pPr>
      <w:r>
        <w:rPr>
          <w:rFonts w:ascii="Aptos Black" w:hAnsi="Aptos Black"/>
          <w:color w:val="C00000"/>
        </w:rPr>
        <w:t>ABSTRACT</w:t>
      </w:r>
    </w:p>
    <w:p w14:paraId="6D34194D" w14:textId="77777777" w:rsidR="001464F1" w:rsidRPr="00955677" w:rsidRDefault="001464F1" w:rsidP="001464F1"/>
    <w:p w14:paraId="12C002B2" w14:textId="77777777" w:rsidR="001464F1" w:rsidRPr="001464F1" w:rsidRDefault="001464F1" w:rsidP="001464F1">
      <w:r w:rsidRPr="001464F1">
        <w:t>This project presents an in-depth analysis of the Bank Marketing Dataset, consisting of 11,162 client records with 17 distinct attributes. The dataset serves as a rich source for understanding the factors that influence a client's decision to subscribe to a term deposit.</w:t>
      </w:r>
    </w:p>
    <w:p w14:paraId="6B343137" w14:textId="77777777" w:rsidR="001464F1" w:rsidRPr="001464F1" w:rsidRDefault="001464F1" w:rsidP="001464F1">
      <w:r w:rsidRPr="001464F1">
        <w:t>Through detailed preprocessing, visual exploration, and correlation studies, the project examines how features like age, occupation, marital status, and previous campaign interactions impact the response variable. Key findings include a balanced yet slightly negative response rate (52.6% non-subscribers vs. 47.4% subscribers), a predominance of married clients, and strong representation from specific occupations like blue-collar and management roles.</w:t>
      </w:r>
    </w:p>
    <w:p w14:paraId="4C5100EB" w14:textId="77777777" w:rsidR="001464F1" w:rsidRPr="001464F1" w:rsidRDefault="001464F1" w:rsidP="001464F1">
      <w:r w:rsidRPr="001464F1">
        <w:t xml:space="preserve">The study identifies potential customer segments, reveals campaign effectiveness trends, and highlights opportunities to tailor future outreach strategies more effectively. These insights lay the groundwork for predictive </w:t>
      </w:r>
      <w:proofErr w:type="spellStart"/>
      <w:r w:rsidRPr="001464F1">
        <w:t>modeling</w:t>
      </w:r>
      <w:proofErr w:type="spellEnd"/>
      <w:r w:rsidRPr="001464F1">
        <w:t xml:space="preserve"> and targeted marketing enhancements.</w:t>
      </w:r>
    </w:p>
    <w:p w14:paraId="3D539B0D" w14:textId="77777777" w:rsidR="00AA6543" w:rsidRDefault="00AA6543"/>
    <w:sectPr w:rsidR="00AA6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4F1"/>
    <w:rsid w:val="001464F1"/>
    <w:rsid w:val="0066702D"/>
    <w:rsid w:val="006C60C5"/>
    <w:rsid w:val="00847440"/>
    <w:rsid w:val="00A841B9"/>
    <w:rsid w:val="00AA6543"/>
    <w:rsid w:val="00BB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808AE"/>
  <w15:chartTrackingRefBased/>
  <w15:docId w15:val="{56B7CC07-45F4-4FB6-8F8C-13F08EA6D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4F1"/>
  </w:style>
  <w:style w:type="paragraph" w:styleId="Heading1">
    <w:name w:val="heading 1"/>
    <w:basedOn w:val="Normal"/>
    <w:next w:val="Normal"/>
    <w:link w:val="Heading1Char"/>
    <w:uiPriority w:val="9"/>
    <w:qFormat/>
    <w:rsid w:val="00146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4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4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4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4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4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4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4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4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4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4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4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48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Lalu</dc:creator>
  <cp:keywords/>
  <dc:description/>
  <cp:lastModifiedBy>Nihal Lalu</cp:lastModifiedBy>
  <cp:revision>1</cp:revision>
  <dcterms:created xsi:type="dcterms:W3CDTF">2025-06-24T08:18:00Z</dcterms:created>
  <dcterms:modified xsi:type="dcterms:W3CDTF">2025-06-24T08:20:00Z</dcterms:modified>
</cp:coreProperties>
</file>