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FF4800"/>
          <w:spacing w:val="40"/>
          <w:sz w:val="18"/>
          <w:szCs w:val="18"/>
        </w:rPr>
        <w:t xml:space="preserve">BOLDSIGN  |  SEO</w:t>
      </w:r>
    </w:p>
    <w:p>
      <w:pPr>
        <w:spacing w:after="60"/>
      </w:pPr>
      <w:r>
        <w:rPr>
          <w:rFonts w:ascii="Calibri" w:cs="Calibri" w:eastAsia="Calibri" w:hAnsi="Calibri"/>
          <w:b/>
          <w:bCs/>
          <w:color w:val="283A5E"/>
          <w:sz w:val="44"/>
          <w:szCs w:val="44"/>
        </w:rPr>
        <w:t xml:space="preserve">Traffic Generation Playbook</w:t>
      </w:r>
    </w:p>
    <w:p>
      <w:pPr>
        <w:pBdr>
          <w:bottom w:val="single" w:color="FF4800" w:sz="18" w:space="8"/>
        </w:pBdr>
        <w:spacing w:after="140"/>
      </w:pPr>
      <w:r>
        <w:rPr>
          <w:rFonts w:ascii="Calibri" w:cs="Calibri" w:eastAsia="Calibri" w:hAnsi="Calibri"/>
          <w:color w:val="5A6472"/>
          <w:sz w:val="24"/>
          <w:szCs w:val="24"/>
        </w:rPr>
        <w:t xml:space="preserve">Beyond the free PDF tools hub: the next traffic engines, and the fix for the signup gap</w:t>
      </w:r>
    </w:p>
    <w:p>
      <w:pPr>
        <w:spacing w:after="40" w:before="0" w:line="276"/>
      </w:pPr>
      <w:r>
        <w:rPr>
          <w:rFonts w:ascii="Calibri" w:cs="Calibri" w:eastAsia="Calibri" w:hAnsi="Calibri"/>
          <w:b/>
          <w:bCs/>
          <w:i w:val="false"/>
          <w:iCs w:val="false"/>
          <w:color w:val="1A1A1A"/>
          <w:sz w:val="18"/>
          <w:szCs w:val="18"/>
        </w:rPr>
        <w:t xml:space="preserve">Prepared by: </w:t>
      </w:r>
      <w:r>
        <w:rPr>
          <w:rFonts w:ascii="Calibri" w:cs="Calibri" w:eastAsia="Calibri" w:hAnsi="Calibri"/>
          <w:b w:val="false"/>
          <w:bCs w:val="false"/>
          <w:i w:val="false"/>
          <w:iCs w:val="false"/>
          <w:color w:val="1A1A1A"/>
          <w:sz w:val="18"/>
          <w:szCs w:val="18"/>
        </w:rPr>
        <w:t xml:space="preserve">Nihal Mohamed Ali, SEO Engineer   </w:t>
      </w:r>
      <w:r>
        <w:rPr>
          <w:rFonts w:ascii="Calibri" w:cs="Calibri" w:eastAsia="Calibri" w:hAnsi="Calibri"/>
          <w:b/>
          <w:bCs/>
          <w:i w:val="false"/>
          <w:iCs w:val="false"/>
          <w:color w:val="1A1A1A"/>
          <w:sz w:val="18"/>
          <w:szCs w:val="18"/>
        </w:rPr>
        <w:t xml:space="preserve">Reviewer: </w:t>
      </w:r>
      <w:r>
        <w:rPr>
          <w:rFonts w:ascii="Calibri" w:cs="Calibri" w:eastAsia="Calibri" w:hAnsi="Calibri"/>
          <w:b w:val="false"/>
          <w:bCs w:val="false"/>
          <w:i w:val="false"/>
          <w:iCs w:val="false"/>
          <w:color w:val="1A1A1A"/>
          <w:sz w:val="18"/>
          <w:szCs w:val="18"/>
        </w:rPr>
        <w:t xml:space="preserve">Meikandan, SEO Manager   </w:t>
      </w:r>
      <w:r>
        <w:rPr>
          <w:rFonts w:ascii="Calibri" w:cs="Calibri" w:eastAsia="Calibri" w:hAnsi="Calibri"/>
          <w:b/>
          <w:bCs/>
          <w:i w:val="false"/>
          <w:iCs w:val="false"/>
          <w:color w:val="1A1A1A"/>
          <w:sz w:val="18"/>
          <w:szCs w:val="18"/>
        </w:rPr>
        <w:t xml:space="preserve">Date: </w:t>
      </w:r>
      <w:r>
        <w:rPr>
          <w:rFonts w:ascii="Calibri" w:cs="Calibri" w:eastAsia="Calibri" w:hAnsi="Calibri"/>
          <w:b w:val="false"/>
          <w:bCs w:val="false"/>
          <w:i w:val="false"/>
          <w:iCs w:val="false"/>
          <w:color w:val="1A1A1A"/>
          <w:sz w:val="18"/>
          <w:szCs w:val="18"/>
        </w:rPr>
        <w:t xml:space="preserve">August 2026</w:t>
      </w:r>
    </w:p>
    <w:p>
      <w:pPr>
        <w:spacing w:after="240" w:before="0" w:line="276"/>
      </w:pPr>
      <w:r>
        <w:rPr>
          <w:rFonts w:ascii="Calibri" w:cs="Calibri" w:eastAsia="Calibri" w:hAnsi="Calibri"/>
          <w:b/>
          <w:bCs/>
          <w:i w:val="false"/>
          <w:iCs w:val="false"/>
          <w:color w:val="1A1A1A"/>
          <w:sz w:val="18"/>
          <w:szCs w:val="18"/>
        </w:rPr>
        <w:t xml:space="preserve">Scope: </w:t>
      </w:r>
      <w:r>
        <w:rPr>
          <w:rFonts w:ascii="Calibri" w:cs="Calibri" w:eastAsia="Calibri" w:hAnsi="Calibri"/>
          <w:b w:val="false"/>
          <w:bCs w:val="false"/>
          <w:i w:val="false"/>
          <w:iCs w:val="false"/>
          <w:color w:val="1A1A1A"/>
          <w:sz w:val="18"/>
          <w:szCs w:val="18"/>
        </w:rPr>
        <w:t xml:space="preserve">US organic search primary, global where applicable.   </w:t>
      </w:r>
      <w:r>
        <w:rPr>
          <w:rFonts w:ascii="Calibri" w:cs="Calibri" w:eastAsia="Calibri" w:hAnsi="Calibri"/>
          <w:b/>
          <w:bCs/>
          <w:i w:val="false"/>
          <w:iCs w:val="false"/>
          <w:color w:val="1A1A1A"/>
          <w:sz w:val="18"/>
          <w:szCs w:val="18"/>
        </w:rPr>
        <w:t xml:space="preserve">Framework: </w:t>
      </w:r>
      <w:r>
        <w:rPr>
          <w:rFonts w:ascii="Calibri" w:cs="Calibri" w:eastAsia="Calibri" w:hAnsi="Calibri"/>
          <w:b w:val="false"/>
          <w:bCs w:val="false"/>
          <w:i w:val="false"/>
          <w:iCs w:val="false"/>
          <w:color w:val="1A1A1A"/>
          <w:sz w:val="18"/>
          <w:szCs w:val="18"/>
        </w:rPr>
        <w:t xml:space="preserve">PO1 / PO2 / PO3 priority tiers.</w:t>
      </w:r>
    </w:p>
    <w:p>
      <w:pPr>
        <w:pStyle w:val="Heading1"/>
        <w:pBdr>
          <w:bottom w:val="single" w:color="FF4800" w:sz="12" w:space="6"/>
        </w:pBdr>
        <w:spacing w:after="160" w:before="340"/>
      </w:pPr>
      <w:r>
        <w:rPr>
          <w:rFonts w:ascii="Calibri" w:cs="Calibri" w:eastAsia="Calibri" w:hAnsi="Calibri"/>
          <w:b/>
          <w:bCs/>
          <w:color w:val="283A5E"/>
          <w:sz w:val="28"/>
          <w:szCs w:val="28"/>
        </w:rPr>
        <w:t xml:space="preserve">1. Executive summary</w:t>
      </w:r>
    </w:p>
    <w:tbl>
      <w:tblPr>
        <w:tblW w:type="dxa" w:w="10512"/>
        <w:tblBorders>
          <w:top w:val="none"/>
          <w:left w:val="none"/>
          <w:bottom w:val="none"/>
          <w:right w:val="none"/>
          <w:insideH w:val="none"/>
          <w:insideV w:val="none"/>
        </w:tblBorders>
      </w:tblPr>
      <w:tblGrid>
        <w:gridCol w:w="10512"/>
      </w:tblGrid>
      <w:tr>
        <w:tc>
          <w:tcPr>
            <w:tcW w:type="dxa" w:w="10512"/>
            <w:shd w:fill="283A5E"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The free tools instinct is right. The problem is that the tools have no bridge into the product.</w:t>
            </w:r>
          </w:p>
        </w:tc>
      </w:tr>
    </w:tbl>
    <w:p>
      <w:pPr>
        <w:spacing w:after="140"/>
      </w:pPr>
    </w:p>
    <w:p>
      <w:pPr>
        <w:spacing w:after="120" w:before="0" w:line="276"/>
      </w:pPr>
      <w:r>
        <w:rPr>
          <w:rFonts w:ascii="Calibri" w:cs="Calibri" w:eastAsia="Calibri" w:hAnsi="Calibri"/>
          <w:b w:val="false"/>
          <w:bCs w:val="false"/>
          <w:i w:val="false"/>
          <w:iCs w:val="false"/>
          <w:color w:val="1A1A1A"/>
          <w:sz w:val="20"/>
          <w:szCs w:val="20"/>
        </w:rPr>
        <w:t xml:space="preserve">BoldSign's free tools page promises no fees, no sign up, no catch and no watermarks. That is excellent for traffic and goodwill, and it is exactly why the signup number is low. Every natural upgrade moment has been removed from the experience. Users complete their task and leave with nothing pulling them toward the product.</w:t>
      </w:r>
    </w:p>
    <w:p>
      <w:pPr>
        <w:spacing w:after="120" w:before="0" w:line="276"/>
      </w:pPr>
      <w:r>
        <w:rPr>
          <w:rFonts w:ascii="Calibri" w:cs="Calibri" w:eastAsia="Calibri" w:hAnsi="Calibri"/>
          <w:b w:val="false"/>
          <w:bCs w:val="false"/>
          <w:i w:val="false"/>
          <w:iCs w:val="false"/>
          <w:color w:val="1A1A1A"/>
          <w:sz w:val="20"/>
          <w:szCs w:val="20"/>
        </w:rPr>
        <w:t xml:space="preserve">This playbook does two things. First, it fixes the conversion bridge on the traffic you already have, which is the cheapest win available. Second, it lays out the next set of traffic engines in the same engineering as marketing spirit, ranked by impact against effort.</w:t>
      </w:r>
    </w:p>
    <w:p>
      <w:pPr>
        <w:pStyle w:val="Heading3"/>
        <w:spacing w:after="90" w:before="200"/>
      </w:pPr>
      <w:r>
        <w:rPr>
          <w:rFonts w:ascii="Calibri" w:cs="Calibri" w:eastAsia="Calibri" w:hAnsi="Calibri"/>
          <w:b/>
          <w:bCs/>
          <w:color w:val="283A5E"/>
          <w:sz w:val="21"/>
          <w:szCs w:val="21"/>
        </w:rPr>
        <w:t xml:space="preserve">The three highest leverage new engines</w:t>
      </w:r>
    </w:p>
    <w:p>
      <w:pPr>
        <w:pStyle w:val="ListParagraph"/>
        <w:numPr>
          <w:ilvl w:val="0"/>
          <w:numId w:val="2"/>
        </w:numPr>
        <w:spacing w:after="70" w:line="276"/>
      </w:pPr>
      <w:r>
        <w:rPr>
          <w:rFonts w:ascii="Calibri" w:cs="Calibri" w:eastAsia="Calibri" w:hAnsi="Calibri"/>
          <w:b/>
          <w:bCs/>
          <w:i w:val="false"/>
          <w:iCs w:val="false"/>
          <w:color w:val="283A5E"/>
          <w:sz w:val="20"/>
          <w:szCs w:val="20"/>
        </w:rPr>
        <w:t xml:space="preserve">Programmatic template library. </w:t>
      </w:r>
      <w:r>
        <w:rPr>
          <w:rFonts w:ascii="Calibri" w:cs="Calibri" w:eastAsia="Calibri" w:hAnsi="Calibri"/>
          <w:b w:val="false"/>
          <w:bCs w:val="false"/>
          <w:i w:val="false"/>
          <w:iCs w:val="false"/>
          <w:color w:val="1A1A1A"/>
          <w:sz w:val="20"/>
          <w:szCs w:val="20"/>
        </w:rPr>
        <w:t xml:space="preserve">PandaDoc and Jotform prove this model works for document software. PandaDoc draws roughly 853,700 monthly organic visits according to an upGrowth teardown, largely on template pages. Jotform runs more than 10,000 templated pages.</w:t>
      </w:r>
    </w:p>
    <w:p>
      <w:pPr>
        <w:pStyle w:val="ListParagraph"/>
        <w:numPr>
          <w:ilvl w:val="0"/>
          <w:numId w:val="2"/>
        </w:numPr>
        <w:spacing w:after="70" w:line="276"/>
      </w:pPr>
      <w:r>
        <w:rPr>
          <w:rFonts w:ascii="Calibri" w:cs="Calibri" w:eastAsia="Calibri" w:hAnsi="Calibri"/>
          <w:b/>
          <w:bCs/>
          <w:i w:val="false"/>
          <w:iCs w:val="false"/>
          <w:color w:val="283A5E"/>
          <w:sz w:val="20"/>
          <w:szCs w:val="20"/>
        </w:rPr>
        <w:t xml:space="preserve">eSignature legality hub. </w:t>
      </w:r>
      <w:r>
        <w:rPr>
          <w:rFonts w:ascii="Calibri" w:cs="Calibri" w:eastAsia="Calibri" w:hAnsi="Calibri"/>
          <w:b w:val="false"/>
          <w:bCs w:val="false"/>
          <w:i w:val="false"/>
          <w:iCs w:val="false"/>
          <w:color w:val="1A1A1A"/>
          <w:sz w:val="20"/>
          <w:szCs w:val="20"/>
        </w:rPr>
        <w:t xml:space="preserve">DocuSign runs a legality guide covering 188 countries plus US states. This captures "is an electronic signature legal in X" demand, earns links from legal and HR sites, and fits BoldSign's ESIGN, UETA and eIDAS positioning.</w:t>
      </w:r>
    </w:p>
    <w:p>
      <w:pPr>
        <w:pStyle w:val="ListParagraph"/>
        <w:numPr>
          <w:ilvl w:val="0"/>
          <w:numId w:val="2"/>
        </w:numPr>
        <w:spacing w:after="70" w:line="276"/>
      </w:pPr>
      <w:r>
        <w:rPr>
          <w:rFonts w:ascii="Calibri" w:cs="Calibri" w:eastAsia="Calibri" w:hAnsi="Calibri"/>
          <w:b/>
          <w:bCs/>
          <w:i w:val="false"/>
          <w:iCs w:val="false"/>
          <w:color w:val="283A5E"/>
          <w:sz w:val="20"/>
          <w:szCs w:val="20"/>
        </w:rPr>
        <w:t xml:space="preserve">Listicles, integrations and comparison pages. </w:t>
      </w:r>
      <w:r>
        <w:rPr>
          <w:rFonts w:ascii="Calibri" w:cs="Calibri" w:eastAsia="Calibri" w:hAnsi="Calibri"/>
          <w:b w:val="false"/>
          <w:bCs w:val="false"/>
          <w:i w:val="false"/>
          <w:iCs w:val="false"/>
          <w:color w:val="1A1A1A"/>
          <w:sz w:val="20"/>
          <w:szCs w:val="20"/>
        </w:rPr>
        <w:t xml:space="preserve">The Zapier model. Per Ahrefs' own case study, Zapier integration pages drive roughly 16 percent of organic traffic while its best-apps listicles are the far larger engine at over 60 percent.</w:t>
      </w:r>
    </w:p>
    <w:p>
      <w:pPr>
        <w:spacing w:after="60"/>
      </w:pPr>
    </w:p>
    <w:tbl>
      <w:tblPr>
        <w:tblW w:type="dxa" w:w="10512"/>
        <w:tblBorders>
          <w:top w:val="none"/>
          <w:left w:val="single" w:color="FF4800" w:sz="18"/>
          <w:bottom w:val="none"/>
          <w:right w:val="none"/>
          <w:insideH w:val="none"/>
          <w:insideV w:val="none"/>
        </w:tblBorders>
      </w:tblPr>
      <w:tblGrid>
        <w:gridCol w:w="10512"/>
      </w:tblGrid>
      <w:tr>
        <w:tc>
          <w:tcPr>
            <w:tcW w:type="dxa" w:w="10512"/>
            <w:shd w:fill="FCEBDF" w:color="auto" w:val="clear"/>
            <w:tcMar>
              <w:top w:type="dxa" w:w="110"/>
              <w:left w:type="dxa" w:w="160"/>
              <w:bottom w:type="dxa" w:w="110"/>
              <w:right w:type="dxa" w:w="160"/>
            </w:tcMar>
          </w:tcPr>
          <w:p>
            <w:pPr>
              <w:spacing w:after="0" w:line="270"/>
            </w:pPr>
            <w:r>
              <w:rPr>
                <w:rFonts w:ascii="Calibri" w:cs="Calibri" w:eastAsia="Calibri" w:hAnsi="Calibri"/>
                <w:b/>
                <w:bCs/>
                <w:color w:val="D2440C"/>
                <w:sz w:val="19"/>
                <w:szCs w:val="19"/>
              </w:rPr>
              <w:t xml:space="preserve">Set expectations now. </w:t>
            </w:r>
            <w:r>
              <w:rPr>
                <w:rFonts w:ascii="Calibri" w:cs="Calibri" w:eastAsia="Calibri" w:hAnsi="Calibri"/>
                <w:color w:val="1A1A1A"/>
                <w:sz w:val="19"/>
                <w:szCs w:val="19"/>
              </w:rPr>
              <w:t xml:space="preserve">Free tool and anonymous traffic converts to product signups in the low single digits. Median B2B SaaS freemium free to paid sits near 2.6 percent, with the top quartile at 5 to 8 percent. Do not report raw traffic to leadership. Report signups per 1,000 tool visits.</w:t>
            </w:r>
          </w:p>
        </w:tc>
      </w:tr>
    </w:tbl>
    <w:p>
      <w:pPr>
        <w:pStyle w:val="Heading1"/>
        <w:pBdr>
          <w:bottom w:val="single" w:color="FF4800" w:sz="12" w:space="6"/>
        </w:pBdr>
        <w:spacing w:after="160" w:before="340"/>
      </w:pPr>
      <w:r>
        <w:rPr>
          <w:rFonts w:ascii="Calibri" w:cs="Calibri" w:eastAsia="Calibri" w:hAnsi="Calibri"/>
          <w:b/>
          <w:bCs/>
          <w:color w:val="283A5E"/>
          <w:sz w:val="28"/>
          <w:szCs w:val="28"/>
        </w:rPr>
        <w:t xml:space="preserve">2. Key findings</w:t>
      </w:r>
    </w:p>
    <w:p>
      <w:pPr>
        <w:pStyle w:val="Heading3"/>
        <w:spacing w:after="90" w:before="200"/>
      </w:pPr>
      <w:r>
        <w:rPr>
          <w:rFonts w:ascii="Calibri" w:cs="Calibri" w:eastAsia="Calibri" w:hAnsi="Calibri"/>
          <w:b/>
          <w:bCs/>
          <w:color w:val="283A5E"/>
          <w:sz w:val="21"/>
          <w:szCs w:val="21"/>
        </w:rPr>
        <w:t xml:space="preserve">2.1 Free tools are a proven and AI resistant engine</w:t>
      </w:r>
    </w:p>
    <w:p>
      <w:pPr>
        <w:spacing w:after="120" w:before="0" w:line="276"/>
      </w:pPr>
      <w:r>
        <w:rPr>
          <w:rFonts w:ascii="Calibri" w:cs="Calibri" w:eastAsia="Calibri" w:hAnsi="Calibri"/>
          <w:b w:val="false"/>
          <w:bCs w:val="false"/>
          <w:i w:val="false"/>
          <w:iCs w:val="false"/>
          <w:color w:val="1A1A1A"/>
          <w:sz w:val="20"/>
          <w:szCs w:val="20"/>
        </w:rPr>
        <w:t xml:space="preserve">Ahrefs launched their /writing-tools/ subfolder from scratch in mid 2023, climbed to close to one million US organic visits a month at peak, and now hold steady in the hundreds of thousands. Ryan Law's argument for prioritising this now is that tools resist AI Overviews: an AI answer can describe how to convert a file or calculate a margin, but it cannot hand the user a working converter.</w:t>
      </w:r>
    </w:p>
    <w:p>
      <w:pPr>
        <w:spacing w:after="120" w:before="0" w:line="276"/>
      </w:pPr>
      <w:r>
        <w:rPr>
          <w:rFonts w:ascii="Calibri" w:cs="Calibri" w:eastAsia="Calibri" w:hAnsi="Calibri"/>
          <w:b w:val="false"/>
          <w:bCs w:val="false"/>
          <w:i w:val="false"/>
          <w:iCs w:val="false"/>
          <w:color w:val="1A1A1A"/>
          <w:sz w:val="20"/>
          <w:szCs w:val="20"/>
        </w:rPr>
        <w:t xml:space="preserve">HubSpot's Website Grader has graded more than four million websites and earned roughly 40,000 organic backlinks, which lifted authority across the entire HubSpot domain. That is the second, often overlooked payoff of tools: domain level link equity.</w:t>
      </w:r>
    </w:p>
    <w:p>
      <w:pPr>
        <w:pStyle w:val="Heading3"/>
        <w:spacing w:after="90" w:before="200"/>
      </w:pPr>
      <w:r>
        <w:rPr>
          <w:rFonts w:ascii="Calibri" w:cs="Calibri" w:eastAsia="Calibri" w:hAnsi="Calibri"/>
          <w:b/>
          <w:bCs/>
          <w:color w:val="283A5E"/>
          <w:sz w:val="21"/>
          <w:szCs w:val="21"/>
        </w:rPr>
        <w:t xml:space="preserve">2.2 Your tools are conversion dead ends by design</w:t>
      </w:r>
    </w:p>
    <w:p>
      <w:pPr>
        <w:spacing w:after="120" w:before="0" w:line="276"/>
      </w:pPr>
      <w:r>
        <w:rPr>
          <w:rFonts w:ascii="Calibri" w:cs="Calibri" w:eastAsia="Calibri" w:hAnsi="Calibri"/>
          <w:b w:val="false"/>
          <w:bCs w:val="false"/>
          <w:i w:val="false"/>
          <w:iCs w:val="false"/>
          <w:color w:val="1A1A1A"/>
          <w:sz w:val="20"/>
          <w:szCs w:val="20"/>
        </w:rPr>
        <w:t xml:space="preserve">Competitors deliberately keep a value gate in place. Foxit's free sign tool explicitly warns that signatures collected with the free tool are not legally binding, which pushes serious users into the paid product. BoldSign removed every equivalent gate. That decision needs revisiting, carefully, without killing the traffic.</w:t>
      </w:r>
    </w:p>
    <w:p>
      <w:pPr>
        <w:pStyle w:val="Heading3"/>
        <w:spacing w:after="90" w:before="200"/>
      </w:pPr>
      <w:r>
        <w:rPr>
          <w:rFonts w:ascii="Calibri" w:cs="Calibri" w:eastAsia="Calibri" w:hAnsi="Calibri"/>
          <w:b/>
          <w:bCs/>
          <w:color w:val="283A5E"/>
          <w:sz w:val="21"/>
          <w:szCs w:val="21"/>
        </w:rPr>
        <w:t xml:space="preserve">2.3 The PDF tool space you entered is enormous and already owned</w:t>
      </w:r>
    </w:p>
    <w:p>
      <w:pPr>
        <w:spacing w:after="120" w:before="0" w:line="276"/>
      </w:pPr>
      <w:r>
        <w:rPr>
          <w:rFonts w:ascii="Calibri" w:cs="Calibri" w:eastAsia="Calibri" w:hAnsi="Calibri"/>
          <w:b w:val="false"/>
          <w:bCs w:val="false"/>
          <w:i w:val="false"/>
          <w:iCs w:val="false"/>
          <w:color w:val="1A1A1A"/>
          <w:sz w:val="20"/>
          <w:szCs w:val="20"/>
        </w:rPr>
        <w:t xml:space="preserve">Public Semrush figures put ilovepdf.com at roughly 195 to 221 million monthly visits, smallpdf.com at roughly 37 to 38 million, pdf24.org at roughly 15 million and sejda.com at roughly 19.6 million. You will not outrank iLovePDF on "merge pdf". The winnable path is lower competition, intent rich, signature adjacent tools plus template, legality and comparison territory where the PDF incumbents do not compete.</w:t>
      </w:r>
    </w:p>
    <w:p>
      <w:pPr>
        <w:pStyle w:val="Heading3"/>
        <w:spacing w:after="90" w:before="200"/>
      </w:pPr>
      <w:r>
        <w:rPr>
          <w:rFonts w:ascii="Calibri" w:cs="Calibri" w:eastAsia="Calibri" w:hAnsi="Calibri"/>
          <w:b/>
          <w:bCs/>
          <w:color w:val="283A5E"/>
          <w:sz w:val="21"/>
          <w:szCs w:val="21"/>
        </w:rPr>
        <w:t xml:space="preserve">2.4 The conversion problem is structural, not unique to BoldSign</w:t>
      </w:r>
    </w:p>
    <w:tbl>
      <w:tblPr>
        <w:tblW w:type="dxa" w:w="10512"/>
        <w:tblBorders>
          <w:top w:val="single" w:color="C9CFD8" w:sz="4"/>
          <w:left w:val="single" w:color="C9CFD8" w:sz="4"/>
          <w:bottom w:val="single" w:color="C9CFD8" w:sz="4"/>
          <w:right w:val="single" w:color="C9CFD8" w:sz="4"/>
          <w:insideH w:val="single" w:color="DDE1E8" w:sz="3"/>
          <w:insideV w:val="single" w:color="DDE1E8" w:sz="3"/>
        </w:tblBorders>
      </w:tblPr>
      <w:tblGrid>
        <w:gridCol w:w="4400"/>
        <w:gridCol w:w="2100"/>
        <w:gridCol w:w="4012"/>
      </w:tblGrid>
      <w:tr>
        <w:trPr>
          <w:cantSplit/>
          <w:tblHeader/>
        </w:trPr>
        <w:tc>
          <w:tcPr>
            <w:tcW w:type="dxa" w:w="440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Benchmark</w:t>
            </w:r>
          </w:p>
        </w:tc>
        <w:tc>
          <w:tcPr>
            <w:tcW w:type="dxa" w:w="210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Figure</w:t>
            </w:r>
          </w:p>
        </w:tc>
        <w:tc>
          <w:tcPr>
            <w:tcW w:type="dxa" w:w="4012"/>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Source</w:t>
            </w:r>
          </w:p>
        </w:tc>
      </w:tr>
      <w:tr>
        <w:trPr>
          <w:cantSplit/>
        </w:trPr>
        <w:tc>
          <w:tcPr>
            <w:tcW w:type="dxa" w:w="44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Median B2B SaaS freemium free to paid</w:t>
            </w:r>
          </w:p>
        </w:tc>
        <w:tc>
          <w:tcPr>
            <w:tcW w:type="dxa" w:w="21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2.6 percent</w:t>
            </w:r>
          </w:p>
        </w:tc>
        <w:tc>
          <w:tcPr>
            <w:tcW w:type="dxa" w:w="40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OpenView 2025 Product Benchmarks</w:t>
            </w:r>
          </w:p>
        </w:tc>
      </w:tr>
      <w:tr>
        <w:trPr>
          <w:cantSplit/>
        </w:trPr>
        <w:tc>
          <w:tcPr>
            <w:tcW w:type="dxa" w:w="44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Top quartile freemium free to paid</w:t>
            </w:r>
          </w:p>
        </w:tc>
        <w:tc>
          <w:tcPr>
            <w:tcW w:type="dxa" w:w="21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5 to 8 percent</w:t>
            </w:r>
          </w:p>
        </w:tc>
        <w:tc>
          <w:tcPr>
            <w:tcW w:type="dxa" w:w="401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OpenView 2025 Product Benchmarks</w:t>
            </w:r>
          </w:p>
        </w:tc>
      </w:tr>
      <w:tr>
        <w:trPr>
          <w:cantSplit/>
        </w:trPr>
        <w:tc>
          <w:tcPr>
            <w:tcW w:type="dxa" w:w="44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Freemium to paid across 86 SaaS companies</w:t>
            </w:r>
          </w:p>
        </w:tc>
        <w:tc>
          <w:tcPr>
            <w:tcW w:type="dxa" w:w="21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2.6 percent</w:t>
            </w:r>
          </w:p>
        </w:tc>
        <w:tc>
          <w:tcPr>
            <w:tcW w:type="dxa" w:w="40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First Page Sage</w:t>
            </w:r>
          </w:p>
        </w:tc>
      </w:tr>
      <w:tr>
        <w:trPr>
          <w:cantSplit/>
        </w:trPr>
        <w:tc>
          <w:tcPr>
            <w:tcW w:type="dxa" w:w="44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Average free account to paid, all models</w:t>
            </w:r>
          </w:p>
        </w:tc>
        <w:tc>
          <w:tcPr>
            <w:tcW w:type="dxa" w:w="21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9 percent</w:t>
            </w:r>
          </w:p>
        </w:tc>
        <w:tc>
          <w:tcPr>
            <w:tcW w:type="dxa" w:w="401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ProductLed survey, 600+ companies</w:t>
            </w:r>
          </w:p>
        </w:tc>
      </w:tr>
      <w:tr>
        <w:trPr>
          <w:cantSplit/>
        </w:trPr>
        <w:tc>
          <w:tcPr>
            <w:tcW w:type="dxa" w:w="44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Free trial to paid when PQLs are identified</w:t>
            </w:r>
          </w:p>
        </w:tc>
        <w:tc>
          <w:tcPr>
            <w:tcW w:type="dxa" w:w="21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25 percent</w:t>
            </w:r>
          </w:p>
        </w:tc>
        <w:tc>
          <w:tcPr>
            <w:tcW w:type="dxa" w:w="40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ProductLed / Gainsight PLG Index</w:t>
            </w:r>
          </w:p>
        </w:tc>
      </w:tr>
      <w:tr>
        <w:trPr>
          <w:cantSplit/>
        </w:trPr>
        <w:tc>
          <w:tcPr>
            <w:tcW w:type="dxa" w:w="44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Visitor to signup, opt in trials, organic</w:t>
            </w:r>
          </w:p>
        </w:tc>
        <w:tc>
          <w:tcPr>
            <w:tcW w:type="dxa" w:w="21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8.5 percent</w:t>
            </w:r>
          </w:p>
        </w:tc>
        <w:tc>
          <w:tcPr>
            <w:tcW w:type="dxa" w:w="401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Flint aggregate</w:t>
            </w:r>
          </w:p>
        </w:tc>
      </w:tr>
      <w:tr>
        <w:trPr>
          <w:cantSplit/>
        </w:trPr>
        <w:tc>
          <w:tcPr>
            <w:tcW w:type="dxa" w:w="44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Opt in trial to paid, median organic</w:t>
            </w:r>
          </w:p>
        </w:tc>
        <w:tc>
          <w:tcPr>
            <w:tcW w:type="dxa" w:w="21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18.2 percent</w:t>
            </w:r>
          </w:p>
        </w:tc>
        <w:tc>
          <w:tcPr>
            <w:tcW w:type="dxa" w:w="40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First Page Sage</w:t>
            </w:r>
          </w:p>
        </w:tc>
      </w:tr>
      <w:tr>
        <w:trPr>
          <w:cantSplit/>
        </w:trPr>
        <w:tc>
          <w:tcPr>
            <w:tcW w:type="dxa" w:w="44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Opt out trial to paid, credit card required</w:t>
            </w:r>
          </w:p>
        </w:tc>
        <w:tc>
          <w:tcPr>
            <w:tcW w:type="dxa" w:w="21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48.8 percent</w:t>
            </w:r>
          </w:p>
        </w:tc>
        <w:tc>
          <w:tcPr>
            <w:tcW w:type="dxa" w:w="401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First Page Sage</w:t>
            </w:r>
          </w:p>
        </w:tc>
      </w:tr>
      <w:tr>
        <w:trPr>
          <w:cantSplit/>
        </w:trPr>
        <w:tc>
          <w:tcPr>
            <w:tcW w:type="dxa" w:w="44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Opt in trial to paid, 200 product study</w:t>
            </w:r>
          </w:p>
        </w:tc>
        <w:tc>
          <w:tcPr>
            <w:tcW w:type="dxa" w:w="21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8.9 percent</w:t>
            </w:r>
          </w:p>
        </w:tc>
        <w:tc>
          <w:tcPr>
            <w:tcW w:type="dxa" w:w="40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ChartMogul 2026</w:t>
            </w:r>
          </w:p>
        </w:tc>
      </w:tr>
      <w:tr>
        <w:trPr>
          <w:cantSplit/>
        </w:trPr>
        <w:tc>
          <w:tcPr>
            <w:tcW w:type="dxa" w:w="44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Uplift in product starts from ungated tools</w:t>
            </w:r>
          </w:p>
        </w:tc>
        <w:tc>
          <w:tcPr>
            <w:tcW w:type="dxa" w:w="21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Up to 3x more visitors</w:t>
            </w:r>
          </w:p>
        </w:tc>
        <w:tc>
          <w:tcPr>
            <w:tcW w:type="dxa" w:w="401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Kyle Poyar, ChartMogul / Growth Unhinged</w:t>
            </w:r>
          </w:p>
        </w:tc>
      </w:tr>
    </w:tbl>
    <w:p>
      <w:pPr>
        <w:spacing w:after="80"/>
      </w:pPr>
    </w:p>
    <w:p>
      <w:pPr>
        <w:spacing w:after="120" w:before="0" w:line="276"/>
      </w:pPr>
      <w:r>
        <w:rPr>
          <w:rFonts w:ascii="Calibri" w:cs="Calibri" w:eastAsia="Calibri" w:hAnsi="Calibri"/>
          <w:b w:val="false"/>
          <w:bCs w:val="false"/>
          <w:i/>
          <w:iCs/>
          <w:color w:val="1A1A1A"/>
          <w:sz w:val="20"/>
          <w:szCs w:val="20"/>
        </w:rPr>
        <w:t xml:space="preserve">The Poyar finding is the important one for BoldSign. Ungated tools can drive up to three times more visitors who actually start using the product, but slightly fewer of them create an account than in a classic freemium experience. An ungated tool therefore has to be paired with a strong in-tool reason to make an account. That reason is what is currently missing.</w:t>
      </w:r>
    </w:p>
    <w:p>
      <w:pPr>
        <w:pStyle w:val="Heading1"/>
        <w:pBdr>
          <w:bottom w:val="single" w:color="FF4800" w:sz="12" w:space="6"/>
        </w:pBdr>
        <w:spacing w:after="160" w:before="340"/>
      </w:pPr>
      <w:r>
        <w:rPr>
          <w:rFonts w:ascii="Calibri" w:cs="Calibri" w:eastAsia="Calibri" w:hAnsi="Calibri"/>
          <w:b/>
          <w:bCs/>
          <w:color w:val="283A5E"/>
          <w:sz w:val="28"/>
          <w:szCs w:val="28"/>
        </w:rPr>
        <w:t xml:space="preserve">3. What competitors actually do</w:t>
      </w:r>
    </w:p>
    <w:p>
      <w:pPr>
        <w:spacing w:after="120" w:before="0" w:line="276"/>
      </w:pPr>
      <w:r>
        <w:rPr>
          <w:rFonts w:ascii="Calibri" w:cs="Calibri" w:eastAsia="Calibri" w:hAnsi="Calibri"/>
          <w:b w:val="false"/>
          <w:bCs w:val="false"/>
          <w:i w:val="false"/>
          <w:iCs w:val="false"/>
          <w:color w:val="1A1A1A"/>
          <w:sz w:val="20"/>
          <w:szCs w:val="20"/>
        </w:rPr>
        <w:t xml:space="preserve">These are the page types driving competitor traffic, and what is worth copying for BoldSign.</w:t>
      </w:r>
    </w:p>
    <w:tbl>
      <w:tblPr>
        <w:tblW w:type="dxa" w:w="10512"/>
        <w:tblBorders>
          <w:top w:val="single" w:color="C9CFD8" w:sz="4"/>
          <w:left w:val="single" w:color="C9CFD8" w:sz="4"/>
          <w:bottom w:val="single" w:color="C9CFD8" w:sz="4"/>
          <w:right w:val="single" w:color="C9CFD8" w:sz="4"/>
          <w:insideH w:val="single" w:color="DDE1E8" w:sz="3"/>
          <w:insideV w:val="single" w:color="DDE1E8" w:sz="3"/>
        </w:tblBorders>
      </w:tblPr>
      <w:tblGrid>
        <w:gridCol w:w="1700"/>
        <w:gridCol w:w="2300"/>
        <w:gridCol w:w="3200"/>
        <w:gridCol w:w="3312"/>
      </w:tblGrid>
      <w:tr>
        <w:trPr>
          <w:cantSplit/>
          <w:tblHeader/>
        </w:trPr>
        <w:tc>
          <w:tcPr>
            <w:tcW w:type="dxa" w:w="170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Competitor</w:t>
            </w:r>
          </w:p>
        </w:tc>
        <w:tc>
          <w:tcPr>
            <w:tcW w:type="dxa" w:w="230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Signature traffic play</w:t>
            </w:r>
          </w:p>
        </w:tc>
        <w:tc>
          <w:tcPr>
            <w:tcW w:type="dxa" w:w="320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Page type and structure</w:t>
            </w:r>
          </w:p>
        </w:tc>
        <w:tc>
          <w:tcPr>
            <w:tcW w:type="dxa" w:w="3312"/>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What to copy</w:t>
            </w:r>
          </w:p>
        </w:tc>
      </w:tr>
      <w:tr>
        <w:trPr>
          <w:cantSplit/>
        </w:trPr>
        <w:tc>
          <w:tcPr>
            <w:tcW w:type="dxa" w:w="17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PandaDoc</w:t>
            </w:r>
          </w:p>
        </w:tc>
        <w:tc>
          <w:tcPr>
            <w:tcW w:type="dxa" w:w="23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Template library at scale</w:t>
            </w:r>
          </w:p>
        </w:tc>
        <w:tc>
          <w:tcPr>
            <w:tcW w:type="dxa" w:w="32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/[doc-type]-template/ pages with preview, explanatory copy, clone and customise free CTA</w:t>
            </w:r>
          </w:p>
        </w:tc>
        <w:tc>
          <w:tcPr>
            <w:tcW w:type="dxa" w:w="33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Build a signable template library, gate the send for signature step into BoldSign</w:t>
            </w:r>
          </w:p>
        </w:tc>
      </w:tr>
      <w:tr>
        <w:trPr>
          <w:cantSplit/>
        </w:trPr>
        <w:tc>
          <w:tcPr>
            <w:tcW w:type="dxa" w:w="17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DocuSign</w:t>
            </w:r>
          </w:p>
        </w:tc>
        <w:tc>
          <w:tcPr>
            <w:tcW w:type="dxa" w:w="23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Legality hub plus template hub</w:t>
            </w:r>
          </w:p>
        </w:tc>
        <w:tc>
          <w:tcPr>
            <w:tcW w:type="dxa" w:w="32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/legality/ global country picker, one page per country and US state</w:t>
            </w:r>
          </w:p>
        </w:tc>
        <w:tc>
          <w:tcPr>
            <w:tcW w:type="dxa" w:w="331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Build the eSignature legality hub with ESIGN, UETA and eIDAS positioning</w:t>
            </w:r>
          </w:p>
        </w:tc>
      </w:tr>
      <w:tr>
        <w:trPr>
          <w:cantSplit/>
        </w:trPr>
        <w:tc>
          <w:tcPr>
            <w:tcW w:type="dxa" w:w="17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Jotform</w:t>
            </w:r>
          </w:p>
        </w:tc>
        <w:tc>
          <w:tcPr>
            <w:tcW w:type="dxa" w:w="23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Programmatic form and PDF templates</w:t>
            </w:r>
          </w:p>
        </w:tc>
        <w:tc>
          <w:tcPr>
            <w:tcW w:type="dxa" w:w="32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More than 10,000 templated pages</w:t>
            </w:r>
          </w:p>
        </w:tc>
        <w:tc>
          <w:tcPr>
            <w:tcW w:type="dxa" w:w="33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Programmatic template generation with genuinely unique data per page</w:t>
            </w:r>
          </w:p>
        </w:tc>
      </w:tr>
      <w:tr>
        <w:trPr>
          <w:cantSplit/>
        </w:trPr>
        <w:tc>
          <w:tcPr>
            <w:tcW w:type="dxa" w:w="17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Zapier</w:t>
            </w:r>
          </w:p>
        </w:tc>
        <w:tc>
          <w:tcPr>
            <w:tcW w:type="dxa" w:w="23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Listicles plus integration directory</w:t>
            </w:r>
          </w:p>
        </w:tc>
        <w:tc>
          <w:tcPr>
            <w:tcW w:type="dxa" w:w="32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Best-apps blog listicles at 60 percent plus, /apps/[app]/integrations/[app2] at roughly 16 percent</w:t>
            </w:r>
          </w:p>
        </w:tc>
        <w:tc>
          <w:tcPr>
            <w:tcW w:type="dxa" w:w="331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Best eSignature and document tool listicles first, then integration and pairwise pages</w:t>
            </w:r>
          </w:p>
        </w:tc>
      </w:tr>
      <w:tr>
        <w:trPr>
          <w:cantSplit/>
        </w:trPr>
        <w:tc>
          <w:tcPr>
            <w:tcW w:type="dxa" w:w="17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SignWell</w:t>
            </w:r>
          </w:p>
        </w:tc>
        <w:tc>
          <w:tcPr>
            <w:tcW w:type="dxa" w:w="23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Free tools, free forever plan, developer hub</w:t>
            </w:r>
          </w:p>
        </w:tc>
        <w:tc>
          <w:tcPr>
            <w:tcW w:type="dxa" w:w="32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Free online signature maker, /signwell-for-developers/</w:t>
            </w:r>
          </w:p>
        </w:tc>
        <w:tc>
          <w:tcPr>
            <w:tcW w:type="dxa" w:w="33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API playground and sandbox page for developers</w:t>
            </w:r>
          </w:p>
        </w:tc>
      </w:tr>
      <w:tr>
        <w:trPr>
          <w:cantSplit/>
        </w:trPr>
        <w:tc>
          <w:tcPr>
            <w:tcW w:type="dxa" w:w="17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iLovePDF and Smallpdf</w:t>
            </w:r>
          </w:p>
        </w:tc>
        <w:tc>
          <w:tcPr>
            <w:tcW w:type="dxa" w:w="23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PDF tool clusters</w:t>
            </w:r>
          </w:p>
        </w:tc>
        <w:tc>
          <w:tcPr>
            <w:tcW w:type="dxa" w:w="32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One tool per URL in a very large cluster</w:t>
            </w:r>
          </w:p>
        </w:tc>
        <w:tc>
          <w:tcPr>
            <w:tcW w:type="dxa" w:w="331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Copy the cluster structure and internal linking, not the head PDF terms</w:t>
            </w:r>
          </w:p>
        </w:tc>
      </w:tr>
      <w:tr>
        <w:trPr>
          <w:cantSplit/>
        </w:trPr>
        <w:tc>
          <w:tcPr>
            <w:tcW w:type="dxa" w:w="17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HubSpot</w:t>
            </w:r>
          </w:p>
        </w:tc>
        <w:tc>
          <w:tcPr>
            <w:tcW w:type="dxa" w:w="23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Grader tool</w:t>
            </w:r>
          </w:p>
        </w:tc>
        <w:tc>
          <w:tcPr>
            <w:tcW w:type="dxa" w:w="32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website.grader.com, email required to unlock the full report</w:t>
            </w:r>
          </w:p>
        </w:tc>
        <w:tc>
          <w:tcPr>
            <w:tcW w:type="dxa" w:w="33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A grader or analyser tool that gates the full result behind an account</w:t>
            </w:r>
          </w:p>
        </w:tc>
      </w:tr>
      <w:tr>
        <w:trPr>
          <w:cantSplit/>
        </w:trPr>
        <w:tc>
          <w:tcPr>
            <w:tcW w:type="dxa" w:w="17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Adobe and Foxit</w:t>
            </w:r>
          </w:p>
        </w:tc>
        <w:tc>
          <w:tcPr>
            <w:tcW w:type="dxa" w:w="23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Free sign tool with a value gate</w:t>
            </w:r>
          </w:p>
        </w:tc>
        <w:tc>
          <w:tcPr>
            <w:tcW w:type="dxa" w:w="32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Free tool plus a not legally binding warning and upgrade path</w:t>
            </w:r>
          </w:p>
        </w:tc>
        <w:tc>
          <w:tcPr>
            <w:tcW w:type="dxa" w:w="331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Add a compliance and legality value gate to the free signature tool</w:t>
            </w:r>
          </w:p>
        </w:tc>
      </w:tr>
    </w:tbl>
    <w:p>
      <w:pPr>
        <w:pStyle w:val="Heading1"/>
        <w:pBdr>
          <w:bottom w:val="single" w:color="FF4800" w:sz="12" w:space="6"/>
        </w:pBdr>
        <w:spacing w:after="160" w:before="340"/>
      </w:pPr>
      <w:r>
        <w:rPr>
          <w:rFonts w:ascii="Calibri" w:cs="Calibri" w:eastAsia="Calibri" w:hAnsi="Calibri"/>
          <w:b/>
          <w:bCs/>
          <w:color w:val="283A5E"/>
          <w:sz w:val="28"/>
          <w:szCs w:val="28"/>
        </w:rPr>
        <w:t xml:space="preserve">4. Fixing the signup gap</w:t>
      </w:r>
    </w:p>
    <w:p>
      <w:pPr>
        <w:spacing w:after="120" w:before="0" w:line="276"/>
      </w:pPr>
      <w:r>
        <w:rPr>
          <w:rFonts w:ascii="Calibri" w:cs="Calibri" w:eastAsia="Calibri" w:hAnsi="Calibri"/>
          <w:b w:val="false"/>
          <w:bCs w:val="false"/>
          <w:i w:val="false"/>
          <w:iCs w:val="false"/>
          <w:color w:val="1A1A1A"/>
          <w:sz w:val="20"/>
          <w:szCs w:val="20"/>
        </w:rPr>
        <w:t xml:space="preserve">Every tactic below is documented practice, not theory. Implement them in this order.</w:t>
      </w:r>
    </w:p>
    <w:p>
      <w:pPr>
        <w:pStyle w:val="ListParagraph"/>
        <w:numPr>
          <w:ilvl w:val="0"/>
          <w:numId w:val="2"/>
        </w:numPr>
        <w:spacing w:after="70" w:line="276"/>
      </w:pPr>
      <w:r>
        <w:rPr>
          <w:rFonts w:ascii="Calibri" w:cs="Calibri" w:eastAsia="Calibri" w:hAnsi="Calibri"/>
          <w:b/>
          <w:bCs/>
          <w:i w:val="false"/>
          <w:iCs w:val="false"/>
          <w:color w:val="283A5E"/>
          <w:sz w:val="20"/>
          <w:szCs w:val="20"/>
        </w:rPr>
        <w:t xml:space="preserve">Result gating. </w:t>
      </w:r>
      <w:r>
        <w:rPr>
          <w:rFonts w:ascii="Calibri" w:cs="Calibri" w:eastAsia="Calibri" w:hAnsi="Calibri"/>
          <w:b w:val="false"/>
          <w:bCs w:val="false"/>
          <w:i w:val="false"/>
          <w:iCs w:val="false"/>
          <w:color w:val="1A1A1A"/>
          <w:sz w:val="20"/>
          <w:szCs w:val="20"/>
        </w:rPr>
        <w:t xml:space="preserve">Let the user do the work, then require a free account to download, email or save the output. HubSpot's Website Grader is the canonical model: instant score, email to unlock the full report. It qualified leads for free and earned roughly 40,000 backlinks doing it.</w:t>
      </w:r>
    </w:p>
    <w:p>
      <w:pPr>
        <w:pStyle w:val="ListParagraph"/>
        <w:numPr>
          <w:ilvl w:val="0"/>
          <w:numId w:val="2"/>
        </w:numPr>
        <w:spacing w:after="70" w:line="276"/>
      </w:pPr>
      <w:r>
        <w:rPr>
          <w:rFonts w:ascii="Calibri" w:cs="Calibri" w:eastAsia="Calibri" w:hAnsi="Calibri"/>
          <w:b/>
          <w:bCs/>
          <w:i w:val="false"/>
          <w:iCs w:val="false"/>
          <w:color w:val="283A5E"/>
          <w:sz w:val="20"/>
          <w:szCs w:val="20"/>
        </w:rPr>
        <w:t xml:space="preserve">Account for advanced features. </w:t>
      </w:r>
      <w:r>
        <w:rPr>
          <w:rFonts w:ascii="Calibri" w:cs="Calibri" w:eastAsia="Calibri" w:hAnsi="Calibri"/>
          <w:b w:val="false"/>
          <w:bCs w:val="false"/>
          <w:i w:val="false"/>
          <w:iCs w:val="false"/>
          <w:color w:val="1A1A1A"/>
          <w:sz w:val="20"/>
          <w:szCs w:val="20"/>
        </w:rPr>
        <w:t xml:space="preserve">The basic action stays free. Adding signature fields for multiple signers, sending for signature, and saving as a reusable template require an account. This is precisely what the paid product does, so the gate is honest.</w:t>
      </w:r>
    </w:p>
    <w:p>
      <w:pPr>
        <w:pStyle w:val="ListParagraph"/>
        <w:numPr>
          <w:ilvl w:val="0"/>
          <w:numId w:val="2"/>
        </w:numPr>
        <w:spacing w:after="70" w:line="276"/>
      </w:pPr>
      <w:r>
        <w:rPr>
          <w:rFonts w:ascii="Calibri" w:cs="Calibri" w:eastAsia="Calibri" w:hAnsi="Calibri"/>
          <w:b/>
          <w:bCs/>
          <w:i w:val="false"/>
          <w:iCs w:val="false"/>
          <w:color w:val="283A5E"/>
          <w:sz w:val="20"/>
          <w:szCs w:val="20"/>
        </w:rPr>
        <w:t xml:space="preserve">Tool to product bridge. </w:t>
      </w:r>
      <w:r>
        <w:rPr>
          <w:rFonts w:ascii="Calibri" w:cs="Calibri" w:eastAsia="Calibri" w:hAnsi="Calibri"/>
          <w:b w:val="false"/>
          <w:bCs w:val="false"/>
          <w:i w:val="false"/>
          <w:iCs w:val="false"/>
          <w:color w:val="1A1A1A"/>
          <w:sz w:val="20"/>
          <w:szCs w:val="20"/>
        </w:rPr>
        <w:t xml:space="preserve">After Sign PDF, show "Need others to sign this too? Send it for signature with BoldSign." A tool matched CTA, not a generic footer link.</w:t>
      </w:r>
    </w:p>
    <w:p>
      <w:pPr>
        <w:pStyle w:val="ListParagraph"/>
        <w:numPr>
          <w:ilvl w:val="0"/>
          <w:numId w:val="2"/>
        </w:numPr>
        <w:spacing w:after="70" w:line="276"/>
      </w:pPr>
      <w:r>
        <w:rPr>
          <w:rFonts w:ascii="Calibri" w:cs="Calibri" w:eastAsia="Calibri" w:hAnsi="Calibri"/>
          <w:b/>
          <w:bCs/>
          <w:i w:val="false"/>
          <w:iCs w:val="false"/>
          <w:color w:val="283A5E"/>
          <w:sz w:val="20"/>
          <w:szCs w:val="20"/>
        </w:rPr>
        <w:t xml:space="preserve">Inline email capture with domain routing. </w:t>
      </w:r>
      <w:r>
        <w:rPr>
          <w:rFonts w:ascii="Calibri" w:cs="Calibri" w:eastAsia="Calibri" w:hAnsi="Calibri"/>
          <w:b w:val="false"/>
          <w:bCs w:val="false"/>
          <w:i w:val="false"/>
          <w:iCs w:val="false"/>
          <w:color w:val="1A1A1A"/>
          <w:sz w:val="20"/>
          <w:szCs w:val="20"/>
        </w:rPr>
        <w:t xml:space="preserve">The Clearbit and Auth0 pattern: capture the email next to the CTA, then route personal domains and work domains into different follow up flows.</w:t>
      </w:r>
    </w:p>
    <w:p>
      <w:pPr>
        <w:pStyle w:val="ListParagraph"/>
        <w:numPr>
          <w:ilvl w:val="0"/>
          <w:numId w:val="2"/>
        </w:numPr>
        <w:spacing w:after="70" w:line="276"/>
      </w:pPr>
      <w:r>
        <w:rPr>
          <w:rFonts w:ascii="Calibri" w:cs="Calibri" w:eastAsia="Calibri" w:hAnsi="Calibri"/>
          <w:b/>
          <w:bCs/>
          <w:i w:val="false"/>
          <w:iCs w:val="false"/>
          <w:color w:val="283A5E"/>
          <w:sz w:val="20"/>
          <w:szCs w:val="20"/>
        </w:rPr>
        <w:t xml:space="preserve">Retarget tool visitors. </w:t>
      </w:r>
      <w:r>
        <w:rPr>
          <w:rFonts w:ascii="Calibri" w:cs="Calibri" w:eastAsia="Calibri" w:hAnsi="Calibri"/>
          <w:b w:val="false"/>
          <w:bCs w:val="false"/>
          <w:i w:val="false"/>
          <w:iCs w:val="false"/>
          <w:color w:val="1A1A1A"/>
          <w:sz w:val="20"/>
          <w:szCs w:val="20"/>
        </w:rPr>
        <w:t xml:space="preserve">Tag everyone who used a tool and did not sign up. This is a large, cheap and highly qualified pool.</w:t>
      </w:r>
    </w:p>
    <w:p>
      <w:pPr>
        <w:spacing w:after="60"/>
      </w:pPr>
    </w:p>
    <w:tbl>
      <w:tblPr>
        <w:tblW w:type="dxa" w:w="10512"/>
        <w:tblBorders>
          <w:top w:val="none"/>
          <w:left w:val="single" w:color="FF4800" w:sz="18"/>
          <w:bottom w:val="none"/>
          <w:right w:val="none"/>
          <w:insideH w:val="none"/>
          <w:insideV w:val="none"/>
        </w:tblBorders>
      </w:tblPr>
      <w:tblGrid>
        <w:gridCol w:w="10512"/>
      </w:tblGrid>
      <w:tr>
        <w:tc>
          <w:tcPr>
            <w:tcW w:type="dxa" w:w="10512"/>
            <w:shd w:fill="FCEBDF" w:color="auto" w:val="clear"/>
            <w:tcMar>
              <w:top w:type="dxa" w:w="110"/>
              <w:left w:type="dxa" w:w="160"/>
              <w:bottom w:type="dxa" w:w="110"/>
              <w:right w:type="dxa" w:w="160"/>
            </w:tcMar>
          </w:tcPr>
          <w:p>
            <w:pPr>
              <w:spacing w:after="0" w:line="270"/>
            </w:pPr>
            <w:r>
              <w:rPr>
                <w:rFonts w:ascii="Calibri" w:cs="Calibri" w:eastAsia="Calibri" w:hAnsi="Calibri"/>
                <w:b/>
                <w:bCs/>
                <w:color w:val="D2440C"/>
                <w:sz w:val="19"/>
                <w:szCs w:val="19"/>
              </w:rPr>
              <w:t xml:space="preserve">Privacy angle worth testing. </w:t>
            </w:r>
            <w:r>
              <w:rPr>
                <w:rFonts w:ascii="Calibri" w:cs="Calibri" w:eastAsia="Calibri" w:hAnsi="Calibri"/>
                <w:color w:val="1A1A1A"/>
                <w:sz w:val="19"/>
                <w:szCs w:val="19"/>
              </w:rPr>
              <w:t xml:space="preserve">Reddit threads in r/linux and r/commandline consistently push users toward local and open source tools over uploaders like Smallpdf and iLovePDF, because those upload your files. A "processed in your browser, never uploaded" line on BoldSign tool pages is a real differentiator and cheap to test.</w:t>
            </w:r>
          </w:p>
        </w:tc>
      </w:tr>
    </w:tbl>
    <w:p>
      <w:pPr>
        <w:pStyle w:val="Heading1"/>
        <w:pBdr>
          <w:bottom w:val="single" w:color="FF4800" w:sz="12" w:space="6"/>
        </w:pBdr>
        <w:spacing w:after="160" w:before="340"/>
      </w:pPr>
      <w:r>
        <w:rPr>
          <w:rFonts w:ascii="Calibri" w:cs="Calibri" w:eastAsia="Calibri" w:hAnsi="Calibri"/>
          <w:b/>
          <w:bCs/>
          <w:color w:val="283A5E"/>
          <w:sz w:val="28"/>
          <w:szCs w:val="28"/>
        </w:rPr>
        <w:t xml:space="preserve">5. What practitioners say on Reddit and the forums</w:t>
      </w:r>
    </w:p>
    <w:p>
      <w:pPr>
        <w:pStyle w:val="Heading3"/>
        <w:spacing w:after="90" w:before="200"/>
      </w:pPr>
      <w:r>
        <w:rPr>
          <w:rFonts w:ascii="Calibri" w:cs="Calibri" w:eastAsia="Calibri" w:hAnsi="Calibri"/>
          <w:b/>
          <w:bCs/>
          <w:color w:val="283A5E"/>
          <w:sz w:val="21"/>
          <w:szCs w:val="21"/>
        </w:rPr>
        <w:t xml:space="preserve">Indie Hackers: "Creating free tools to boost traffic?"</w:t>
      </w:r>
    </w:p>
    <w:p>
      <w:pPr>
        <w:spacing w:after="120" w:before="0" w:line="276"/>
      </w:pPr>
      <w:r>
        <w:rPr>
          <w:rFonts w:ascii="Calibri" w:cs="Calibri" w:eastAsia="Calibri" w:hAnsi="Calibri"/>
          <w:b w:val="false"/>
          <w:bCs w:val="false"/>
          <w:i w:val="false"/>
          <w:iCs w:val="false"/>
          <w:color w:val="1A1A1A"/>
          <w:sz w:val="20"/>
          <w:szCs w:val="20"/>
        </w:rPr>
        <w:t xml:space="preserve">Founders confirm the free tool as funnel model and point to Rick Blyth using free tools to feed paid tools. The consistent caveat across the thread is that the tool has to connect to the paid product, otherwise it is just a public utility you pay to host.</w:t>
      </w:r>
    </w:p>
    <w:p>
      <w:pPr>
        <w:pStyle w:val="Heading3"/>
        <w:spacing w:after="90" w:before="200"/>
      </w:pPr>
      <w:r>
        <w:rPr>
          <w:rFonts w:ascii="Calibri" w:cs="Calibri" w:eastAsia="Calibri" w:hAnsi="Calibri"/>
          <w:b/>
          <w:bCs/>
          <w:color w:val="283A5E"/>
          <w:sz w:val="21"/>
          <w:szCs w:val="21"/>
        </w:rPr>
        <w:t xml:space="preserve">Indie Hackers: "I built a B2B AI tool. 500 signups in 30 days, 0 paying customers."</w:t>
      </w:r>
    </w:p>
    <w:p>
      <w:pPr>
        <w:spacing w:after="120" w:before="0" w:line="276"/>
      </w:pPr>
      <w:r>
        <w:rPr>
          <w:rFonts w:ascii="Calibri" w:cs="Calibri" w:eastAsia="Calibri" w:hAnsi="Calibri"/>
          <w:b w:val="false"/>
          <w:bCs w:val="false"/>
          <w:i w:val="false"/>
          <w:iCs w:val="false"/>
          <w:color w:val="1A1A1A"/>
          <w:sz w:val="20"/>
          <w:szCs w:val="20"/>
        </w:rPr>
        <w:t xml:space="preserve">The top response is directly relevant to your situation. It argues that a 0.6 percent conversion rate is not a product problem yet, it is a data segmentation problem, and advises tagging every signup by company size, channel, and whether the user tried the core workflow before rebuilding anything. Segment your tool sourced signups before concluding they are low quality.</w:t>
      </w:r>
    </w:p>
    <w:p>
      <w:pPr>
        <w:pStyle w:val="Heading3"/>
        <w:spacing w:after="90" w:before="200"/>
      </w:pPr>
      <w:r>
        <w:rPr>
          <w:rFonts w:ascii="Calibri" w:cs="Calibri" w:eastAsia="Calibri" w:hAnsi="Calibri"/>
          <w:b/>
          <w:bCs/>
          <w:color w:val="283A5E"/>
          <w:sz w:val="21"/>
          <w:szCs w:val="21"/>
        </w:rPr>
        <w:t xml:space="preserve">Indie Hackers: Product Hunt launch teardown</w:t>
      </w:r>
    </w:p>
    <w:p>
      <w:pPr>
        <w:spacing w:after="120" w:before="0" w:line="276"/>
      </w:pPr>
      <w:r>
        <w:rPr>
          <w:rFonts w:ascii="Calibri" w:cs="Calibri" w:eastAsia="Calibri" w:hAnsi="Calibri"/>
          <w:b w:val="false"/>
          <w:bCs w:val="false"/>
          <w:i w:val="false"/>
          <w:iCs w:val="false"/>
          <w:color w:val="1A1A1A"/>
          <w:sz w:val="20"/>
          <w:szCs w:val="20"/>
        </w:rPr>
        <w:t xml:space="preserve">A useful distinction from that thread: discovery mode traffic browses and leaves, pain mode traffic arrives mid problem and converts. Free PDF and signature tools capture pain mode users at the exact moment they need to sign something. That is why the bridge matters so much here and why the traffic is worth more than the current signup number suggests.</w:t>
      </w:r>
    </w:p>
    <w:p>
      <w:pPr>
        <w:pStyle w:val="Heading3"/>
        <w:spacing w:after="90" w:before="200"/>
      </w:pPr>
      <w:r>
        <w:rPr>
          <w:rFonts w:ascii="Calibri" w:cs="Calibri" w:eastAsia="Calibri" w:hAnsi="Calibri"/>
          <w:b/>
          <w:bCs/>
          <w:color w:val="283A5E"/>
          <w:sz w:val="21"/>
          <w:szCs w:val="21"/>
        </w:rPr>
        <w:t xml:space="preserve">r/SaaS and Reddit marketing threads</w:t>
      </w:r>
    </w:p>
    <w:p>
      <w:pPr>
        <w:spacing w:after="120" w:before="0" w:line="276"/>
      </w:pPr>
      <w:r>
        <w:rPr>
          <w:rFonts w:ascii="Calibri" w:cs="Calibri" w:eastAsia="Calibri" w:hAnsi="Calibri"/>
          <w:b w:val="false"/>
          <w:bCs w:val="false"/>
          <w:i w:val="false"/>
          <w:iCs w:val="false"/>
          <w:color w:val="1A1A1A"/>
          <w:sz w:val="20"/>
          <w:szCs w:val="20"/>
        </w:rPr>
        <w:t xml:space="preserve">The SaaS subreddit has more than 94,000 members. Practitioners report that a single well targeted, non promotional post can drive thousands of visitors, and they warn strongly against link blasting. Treat Reddit as an answer channel, not a broadcast channel.</w:t>
      </w:r>
    </w:p>
    <w:p>
      <w:pPr>
        <w:spacing w:after="60"/>
      </w:pPr>
    </w:p>
    <w:tbl>
      <w:tblPr>
        <w:tblW w:type="dxa" w:w="10512"/>
        <w:tblBorders>
          <w:top w:val="none"/>
          <w:left w:val="single" w:color="FF4800" w:sz="18"/>
          <w:bottom w:val="none"/>
          <w:right w:val="none"/>
          <w:insideH w:val="none"/>
          <w:insideV w:val="none"/>
        </w:tblBorders>
      </w:tblPr>
      <w:tblGrid>
        <w:gridCol w:w="10512"/>
      </w:tblGrid>
      <w:tr>
        <w:tc>
          <w:tcPr>
            <w:tcW w:type="dxa" w:w="10512"/>
            <w:shd w:fill="FCEBDF" w:color="auto" w:val="clear"/>
            <w:tcMar>
              <w:top w:type="dxa" w:w="110"/>
              <w:left w:type="dxa" w:w="160"/>
              <w:bottom w:type="dxa" w:w="110"/>
              <w:right w:type="dxa" w:w="160"/>
            </w:tcMar>
          </w:tcPr>
          <w:p>
            <w:pPr>
              <w:spacing w:after="0" w:line="270"/>
            </w:pPr>
            <w:r>
              <w:rPr>
                <w:rFonts w:ascii="Calibri" w:cs="Calibri" w:eastAsia="Calibri" w:hAnsi="Calibri"/>
                <w:b/>
                <w:bCs/>
                <w:color w:val="D2440C"/>
                <w:sz w:val="19"/>
                <w:szCs w:val="19"/>
              </w:rPr>
              <w:t xml:space="preserve">Source quality. </w:t>
            </w:r>
            <w:r>
              <w:rPr>
                <w:rFonts w:ascii="Calibri" w:cs="Calibri" w:eastAsia="Calibri" w:hAnsi="Calibri"/>
                <w:color w:val="1A1A1A"/>
                <w:sz w:val="19"/>
                <w:szCs w:val="19"/>
              </w:rPr>
              <w:t xml:space="preserve">Several of these are individual anecdotes rather than controlled studies. Treat the conversion percentages quoted inside forum posts as directional only.</w:t>
            </w:r>
          </w:p>
        </w:tc>
      </w:tr>
    </w:tbl>
    <w:p>
      <w:pPr>
        <w:pStyle w:val="Heading1"/>
        <w:pBdr>
          <w:bottom w:val="single" w:color="FF4800" w:sz="12" w:space="6"/>
        </w:pBdr>
        <w:spacing w:after="160" w:before="340"/>
      </w:pPr>
      <w:r>
        <w:rPr>
          <w:rFonts w:ascii="Calibri" w:cs="Calibri" w:eastAsia="Calibri" w:hAnsi="Calibri"/>
          <w:b/>
          <w:bCs/>
          <w:color w:val="283A5E"/>
          <w:sz w:val="28"/>
          <w:szCs w:val="28"/>
        </w:rPr>
        <w:t xml:space="preserve">6. Video references</w:t>
      </w:r>
    </w:p>
    <w:p>
      <w:pPr>
        <w:spacing w:after="120" w:before="0" w:line="276"/>
      </w:pPr>
      <w:r>
        <w:rPr>
          <w:rFonts w:ascii="Calibri" w:cs="Calibri" w:eastAsia="Calibri" w:hAnsi="Calibri"/>
          <w:b w:val="false"/>
          <w:bCs w:val="false"/>
          <w:i w:val="false"/>
          <w:iCs w:val="false"/>
          <w:color w:val="1A1A1A"/>
          <w:sz w:val="20"/>
          <w:szCs w:val="20"/>
        </w:rPr>
        <w:t xml:space="preserve">All URLs were returned verbatim by search and the titles matched, so the videos exist. YouTube blocked direct fetches during research, so publish dates, runtimes and some channel attributions are unconfirmed. Spot check each before forwarding.</w:t>
      </w:r>
    </w:p>
    <w:tbl>
      <w:tblPr>
        <w:tblW w:type="dxa" w:w="10512"/>
        <w:tblBorders>
          <w:top w:val="single" w:color="C9CFD8" w:sz="4"/>
          <w:left w:val="single" w:color="C9CFD8" w:sz="4"/>
          <w:bottom w:val="single" w:color="C9CFD8" w:sz="4"/>
          <w:right w:val="single" w:color="C9CFD8" w:sz="4"/>
          <w:insideH w:val="single" w:color="DDE1E8" w:sz="3"/>
          <w:insideV w:val="single" w:color="DDE1E8" w:sz="3"/>
        </w:tblBorders>
      </w:tblPr>
      <w:tblGrid>
        <w:gridCol w:w="2350"/>
        <w:gridCol w:w="1450"/>
        <w:gridCol w:w="2900"/>
        <w:gridCol w:w="1900"/>
        <w:gridCol w:w="1912"/>
      </w:tblGrid>
      <w:tr>
        <w:trPr>
          <w:cantSplit/>
          <w:tblHeader/>
        </w:trPr>
        <w:tc>
          <w:tcPr>
            <w:tcW w:type="dxa" w:w="235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Video title</w:t>
            </w:r>
          </w:p>
        </w:tc>
        <w:tc>
          <w:tcPr>
            <w:tcW w:type="dxa" w:w="145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Channel</w:t>
            </w:r>
          </w:p>
        </w:tc>
        <w:tc>
          <w:tcPr>
            <w:tcW w:type="dxa" w:w="290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URL</w:t>
            </w:r>
          </w:p>
        </w:tc>
        <w:tc>
          <w:tcPr>
            <w:tcW w:type="dxa" w:w="190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Why relevant</w:t>
            </w:r>
          </w:p>
        </w:tc>
        <w:tc>
          <w:tcPr>
            <w:tcW w:type="dxa" w:w="1912"/>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Key takeaway</w:t>
            </w:r>
          </w:p>
        </w:tc>
      </w:tr>
      <w:tr>
        <w:trPr>
          <w:cantSplit/>
        </w:trPr>
        <w:tc>
          <w:tcPr>
            <w:tcW w:type="dxa" w:w="23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Is SEO the Right Lever for Your B2B SaaS Startup?</w:t>
            </w:r>
          </w:p>
        </w:tc>
        <w:tc>
          <w:tcPr>
            <w:tcW w:type="dxa" w:w="14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Interview, guest Kevin Indig</w:t>
            </w:r>
          </w:p>
        </w:tc>
        <w:tc>
          <w:tcPr>
            <w:tcW w:type="dxa" w:w="2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youtube.com/watch?v=XTCIbcL1UI0</w:t>
            </w:r>
          </w:p>
        </w:tc>
        <w:tc>
          <w:tcPr>
            <w:tcW w:type="dxa" w:w="1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Frames when SEO and PLG is the right growth lever</w:t>
            </w:r>
          </w:p>
        </w:tc>
        <w:tc>
          <w:tcPr>
            <w:tcW w:type="dxa" w:w="19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Match the engine to the funnel, do not chase traffic that cannot convert</w:t>
            </w:r>
          </w:p>
        </w:tc>
      </w:tr>
      <w:tr>
        <w:trPr>
          <w:cantSplit/>
        </w:trPr>
        <w:tc>
          <w:tcPr>
            <w:tcW w:type="dxa" w:w="235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PandaDoc's Programmatic SEO Strategy</w:t>
            </w:r>
          </w:p>
        </w:tc>
        <w:tc>
          <w:tcPr>
            <w:tcW w:type="dxa" w:w="145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YouTube teardown</w:t>
            </w:r>
          </w:p>
        </w:tc>
        <w:tc>
          <w:tcPr>
            <w:tcW w:type="dxa" w:w="2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youtube.com/watch?v=Cvgs5wgw9AE</w:t>
            </w:r>
          </w:p>
        </w:tc>
        <w:tc>
          <w:tcPr>
            <w:tcW w:type="dxa" w:w="1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Direct competitor programmatic and template teardown</w:t>
            </w:r>
          </w:p>
        </w:tc>
        <w:tc>
          <w:tcPr>
            <w:tcW w:type="dxa" w:w="191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Template library plus programmatic pages is the document SaaS engine</w:t>
            </w:r>
          </w:p>
        </w:tc>
      </w:tr>
      <w:tr>
        <w:trPr>
          <w:cantSplit/>
        </w:trPr>
        <w:tc>
          <w:tcPr>
            <w:tcW w:type="dxa" w:w="23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The SEO Playbook of Y Combinator Startups</w:t>
            </w:r>
          </w:p>
        </w:tc>
        <w:tc>
          <w:tcPr>
            <w:tcW w:type="dxa" w:w="14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Siege Media</w:t>
            </w:r>
          </w:p>
        </w:tc>
        <w:tc>
          <w:tcPr>
            <w:tcW w:type="dxa" w:w="2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youtube.com/watch?v=q7-pTtkUZVs</w:t>
            </w:r>
          </w:p>
        </w:tc>
        <w:tc>
          <w:tcPr>
            <w:tcW w:type="dxa" w:w="1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How startup SaaS win organic traffic including tools and templates</w:t>
            </w:r>
          </w:p>
        </w:tc>
        <w:tc>
          <w:tcPr>
            <w:tcW w:type="dxa" w:w="19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Combine tools, templates and programmatic pages</w:t>
            </w:r>
          </w:p>
        </w:tc>
      </w:tr>
      <w:tr>
        <w:trPr>
          <w:cantSplit/>
        </w:trPr>
        <w:tc>
          <w:tcPr>
            <w:tcW w:type="dxa" w:w="235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What is Programmatic SEO? Explained by an Expert</w:t>
            </w:r>
          </w:p>
        </w:tc>
        <w:tc>
          <w:tcPr>
            <w:tcW w:type="dxa" w:w="145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Funnel</w:t>
            </w:r>
          </w:p>
        </w:tc>
        <w:tc>
          <w:tcPr>
            <w:tcW w:type="dxa" w:w="2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youtube.com/watch?v=LbTZSnhZJ_A</w:t>
            </w:r>
          </w:p>
        </w:tc>
        <w:tc>
          <w:tcPr>
            <w:tcW w:type="dxa" w:w="1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Foundational programmatic SEO explainer</w:t>
            </w:r>
          </w:p>
        </w:tc>
        <w:tc>
          <w:tcPr>
            <w:tcW w:type="dxa" w:w="191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One template, thousands of intent pages</w:t>
            </w:r>
          </w:p>
        </w:tc>
      </w:tr>
      <w:tr>
        <w:trPr>
          <w:cantSplit/>
        </w:trPr>
        <w:tc>
          <w:tcPr>
            <w:tcW w:type="dxa" w:w="23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Ahrefs Free Review: 6 SEO Tools for Small Businesses</w:t>
            </w:r>
          </w:p>
        </w:tc>
        <w:tc>
          <w:tcPr>
            <w:tcW w:type="dxa" w:w="14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Third party reviewer</w:t>
            </w:r>
          </w:p>
        </w:tc>
        <w:tc>
          <w:tcPr>
            <w:tcW w:type="dxa" w:w="2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youtube.com/watch?v=MKSrsHCC6ig</w:t>
            </w:r>
          </w:p>
        </w:tc>
        <w:tc>
          <w:tcPr>
            <w:tcW w:type="dxa" w:w="1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Shows the free tool as funnel model in practice</w:t>
            </w:r>
          </w:p>
        </w:tc>
        <w:tc>
          <w:tcPr>
            <w:tcW w:type="dxa" w:w="19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Free tools seed the paid product</w:t>
            </w:r>
          </w:p>
        </w:tc>
      </w:tr>
      <w:tr>
        <w:trPr>
          <w:cantSplit/>
        </w:trPr>
        <w:tc>
          <w:tcPr>
            <w:tcW w:type="dxa" w:w="235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Official Ahrefs Tutorial: How to use Ahrefs to Improve SEO</w:t>
            </w:r>
          </w:p>
        </w:tc>
        <w:tc>
          <w:tcPr>
            <w:tcW w:type="dxa" w:w="145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Ahrefs</w:t>
            </w:r>
          </w:p>
        </w:tc>
        <w:tc>
          <w:tcPr>
            <w:tcW w:type="dxa" w:w="2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youtube.com/watch?v=x5hH_lt8Guw</w:t>
            </w:r>
          </w:p>
        </w:tc>
        <w:tc>
          <w:tcPr>
            <w:tcW w:type="dxa" w:w="1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Keyword research method for tool and template terms</w:t>
            </w:r>
          </w:p>
        </w:tc>
        <w:tc>
          <w:tcPr>
            <w:tcW w:type="dxa" w:w="191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Matching Terms report plus a KD filter finds winnable tool terms</w:t>
            </w:r>
          </w:p>
        </w:tc>
      </w:tr>
      <w:tr>
        <w:trPr>
          <w:cantSplit/>
        </w:trPr>
        <w:tc>
          <w:tcPr>
            <w:tcW w:type="dxa" w:w="23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The Future of SEO with Kevin Indig</w:t>
            </w:r>
          </w:p>
        </w:tc>
        <w:tc>
          <w:tcPr>
            <w:tcW w:type="dxa" w:w="14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Interview</w:t>
            </w:r>
          </w:p>
        </w:tc>
        <w:tc>
          <w:tcPr>
            <w:tcW w:type="dxa" w:w="2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youtube.com/watch?v=7_jVxehRG1w</w:t>
            </w:r>
          </w:p>
        </w:tc>
        <w:tc>
          <w:tcPr>
            <w:tcW w:type="dxa" w:w="1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Strategic direction including programmatic and AI search</w:t>
            </w:r>
          </w:p>
        </w:tc>
        <w:tc>
          <w:tcPr>
            <w:tcW w:type="dxa" w:w="19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Build durable assets that are hard to summarise away</w:t>
            </w:r>
          </w:p>
        </w:tc>
      </w:tr>
    </w:tbl>
    <w:p>
      <w:pPr>
        <w:spacing w:after="80"/>
      </w:pPr>
    </w:p>
    <w:tbl>
      <w:tblPr>
        <w:tblW w:type="dxa" w:w="10512"/>
        <w:tblBorders>
          <w:top w:val="none"/>
          <w:left w:val="single" w:color="FF4800" w:sz="18"/>
          <w:bottom w:val="none"/>
          <w:right w:val="none"/>
          <w:insideH w:val="none"/>
          <w:insideV w:val="none"/>
        </w:tblBorders>
      </w:tblPr>
      <w:tblGrid>
        <w:gridCol w:w="10512"/>
      </w:tblGrid>
      <w:tr>
        <w:tc>
          <w:tcPr>
            <w:tcW w:type="dxa" w:w="10512"/>
            <w:shd w:fill="FCEBDF" w:color="auto" w:val="clear"/>
            <w:tcMar>
              <w:top w:type="dxa" w:w="110"/>
              <w:left w:type="dxa" w:w="160"/>
              <w:bottom w:type="dxa" w:w="110"/>
              <w:right w:type="dxa" w:w="160"/>
            </w:tcMar>
          </w:tcPr>
          <w:p>
            <w:pPr>
              <w:spacing w:after="0" w:line="270"/>
            </w:pPr>
            <w:r>
              <w:rPr>
                <w:rFonts w:ascii="Calibri" w:cs="Calibri" w:eastAsia="Calibri" w:hAnsi="Calibri"/>
                <w:b/>
                <w:bCs/>
                <w:color w:val="D2440C"/>
                <w:sz w:val="19"/>
                <w:szCs w:val="19"/>
              </w:rPr>
              <w:t xml:space="preserve">The single best resource is not a video. </w:t>
            </w:r>
            <w:r>
              <w:rPr>
                <w:rFonts w:ascii="Calibri" w:cs="Calibri" w:eastAsia="Calibri" w:hAnsi="Calibri"/>
                <w:color w:val="1A1A1A"/>
                <w:sz w:val="19"/>
                <w:szCs w:val="19"/>
              </w:rPr>
              <w:t xml:space="preserve">For the calculators, converters and generators strategy specifically, read Ryan Law's "The Free Tools SEO Strategy" at ahrefs.com/blog/the-free-tools-seo-strategy/. It contains the keyword selection method described in section 8.</w:t>
            </w:r>
          </w:p>
        </w:tc>
      </w:tr>
    </w:tbl>
    <w:p>
      <w:pPr>
        <w:pageBreakBefore/>
      </w:pPr>
    </w:p>
    <w:p>
      <w:pPr>
        <w:pStyle w:val="Heading1"/>
        <w:pBdr>
          <w:bottom w:val="single" w:color="FF4800" w:sz="12" w:space="6"/>
        </w:pBdr>
        <w:spacing w:after="160" w:before="340"/>
      </w:pPr>
      <w:r>
        <w:rPr>
          <w:rFonts w:ascii="Calibri" w:cs="Calibri" w:eastAsia="Calibri" w:hAnsi="Calibri"/>
          <w:b/>
          <w:bCs/>
          <w:color w:val="283A5E"/>
          <w:sz w:val="28"/>
          <w:szCs w:val="28"/>
        </w:rPr>
        <w:t xml:space="preserve">7. Prioritised recommendations</w:t>
      </w:r>
    </w:p>
    <w:p>
      <w:pPr>
        <w:spacing w:after="40"/>
      </w:pPr>
    </w:p>
    <w:tbl>
      <w:tblPr>
        <w:tblW w:type="dxa" w:w="10512"/>
        <w:tblBorders>
          <w:top w:val="none"/>
          <w:left w:val="none"/>
          <w:bottom w:val="none"/>
          <w:right w:val="none"/>
          <w:insideH w:val="none"/>
          <w:insideV w:val="none"/>
        </w:tblBorders>
      </w:tblPr>
      <w:tblGrid>
        <w:gridCol w:w="10512"/>
      </w:tblGrid>
      <w:tr>
        <w:tc>
          <w:tcPr>
            <w:tcW w:type="dxa" w:w="10512"/>
            <w:shd w:fill="FF4800"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PO1  |  Do first: highest impact, lowest effort</w:t>
            </w:r>
          </w:p>
        </w:tc>
      </w:tr>
    </w:tbl>
    <w:p>
      <w:pPr>
        <w:spacing w:after="100"/>
      </w:pPr>
    </w:p>
    <w:tbl>
      <w:tblPr>
        <w:tblW w:type="dxa" w:w="10512"/>
        <w:tblBorders>
          <w:top w:val="single" w:color="C9CFD8" w:sz="4"/>
          <w:left w:val="single" w:color="C9CFD8" w:sz="4"/>
          <w:bottom w:val="single" w:color="C9CFD8" w:sz="4"/>
          <w:right w:val="single" w:color="C9CFD8" w:sz="4"/>
          <w:insideH w:val="single" w:color="DDE1E8" w:sz="3"/>
          <w:insideV w:val="single" w:color="DDE1E8" w:sz="3"/>
        </w:tblBorders>
      </w:tblPr>
      <w:tblGrid>
        <w:gridCol w:w="1420"/>
        <w:gridCol w:w="1660"/>
        <w:gridCol w:w="1560"/>
        <w:gridCol w:w="900"/>
        <w:gridCol w:w="980"/>
        <w:gridCol w:w="950"/>
        <w:gridCol w:w="1200"/>
        <w:gridCol w:w="1842"/>
      </w:tblGrid>
      <w:tr>
        <w:trPr>
          <w:cantSplit/>
          <w:tblHeader/>
        </w:trPr>
        <w:tc>
          <w:tcPr>
            <w:tcW w:type="dxa" w:w="1420"/>
            <w:shd w:fill="FF4800"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Play</w:t>
            </w:r>
          </w:p>
        </w:tc>
        <w:tc>
          <w:tcPr>
            <w:tcW w:type="dxa" w:w="1660"/>
            <w:shd w:fill="FF4800"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What it is</w:t>
            </w:r>
          </w:p>
        </w:tc>
        <w:tc>
          <w:tcPr>
            <w:tcW w:type="dxa" w:w="1560"/>
            <w:shd w:fill="FF4800"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Why it works</w:t>
            </w:r>
          </w:p>
        </w:tc>
        <w:tc>
          <w:tcPr>
            <w:tcW w:type="dxa" w:w="900"/>
            <w:shd w:fill="FF4800"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Traffic potential</w:t>
            </w:r>
          </w:p>
        </w:tc>
        <w:tc>
          <w:tcPr>
            <w:tcW w:type="dxa" w:w="980"/>
            <w:shd w:fill="FF4800"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Who builds</w:t>
            </w:r>
          </w:p>
        </w:tc>
        <w:tc>
          <w:tcPr>
            <w:tcW w:type="dxa" w:w="950"/>
            <w:shd w:fill="FF4800"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Time to result</w:t>
            </w:r>
          </w:p>
        </w:tc>
        <w:tc>
          <w:tcPr>
            <w:tcW w:type="dxa" w:w="1200"/>
            <w:shd w:fill="FF4800"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Primary metric</w:t>
            </w:r>
          </w:p>
        </w:tc>
        <w:tc>
          <w:tcPr>
            <w:tcW w:type="dxa" w:w="1842"/>
            <w:shd w:fill="FF4800"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First step</w:t>
            </w:r>
          </w:p>
        </w:tc>
      </w:tr>
      <w:tr>
        <w:trPr>
          <w:cantSplit/>
        </w:trPr>
        <w:tc>
          <w:tcPr>
            <w:tcW w:type="dxa" w:w="142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Conversion bridge on existing tools</w:t>
            </w:r>
          </w:p>
        </w:tc>
        <w:tc>
          <w:tcPr>
            <w:tcW w:type="dxa" w:w="16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Add contextual "send for signature", "save result" and account-for-advanced CTAs to the current PDF tools</w:t>
            </w:r>
          </w:p>
        </w:tc>
        <w:tc>
          <w:tcPr>
            <w:tcW w:type="dxa" w:w="15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The traffic already exists, this converts it</w:t>
            </w:r>
          </w:p>
        </w:tc>
        <w:tc>
          <w:tcPr>
            <w:tcW w:type="dxa" w:w="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N/A, converts existing</w:t>
            </w:r>
          </w:p>
        </w:tc>
        <w:tc>
          <w:tcPr>
            <w:tcW w:type="dxa" w:w="98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SEO + Eng + Design</w:t>
            </w:r>
          </w:p>
        </w:tc>
        <w:tc>
          <w:tcPr>
            <w:tcW w:type="dxa" w:w="9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2 to 6 weeks</w:t>
            </w:r>
          </w:p>
        </w:tc>
        <w:tc>
          <w:tcPr>
            <w:tcW w:type="dxa" w:w="12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Signups per 1,000 tool visits</w:t>
            </w:r>
          </w:p>
        </w:tc>
        <w:tc>
          <w:tcPr>
            <w:tcW w:type="dxa" w:w="184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Add a contextual CTA block below each tool result</w:t>
            </w:r>
          </w:p>
        </w:tc>
      </w:tr>
      <w:tr>
        <w:trPr>
          <w:cantSplit/>
        </w:trPr>
        <w:tc>
          <w:tcPr>
            <w:tcW w:type="dxa" w:w="142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eSignature legality hub</w:t>
            </w:r>
          </w:p>
        </w:tc>
        <w:tc>
          <w:tcPr>
            <w:tcW w:type="dxa" w:w="166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One page per US state plus top countries on e-signature legality</w:t>
            </w:r>
          </w:p>
        </w:tc>
        <w:tc>
          <w:tcPr>
            <w:tcW w:type="dxa" w:w="156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Proven by DocuSign, natural link magnet, on brand for compliance</w:t>
            </w:r>
          </w:p>
        </w:tc>
        <w:tc>
          <w:tcPr>
            <w:tcW w:type="dxa" w:w="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Medium to high</w:t>
            </w:r>
          </w:p>
        </w:tc>
        <w:tc>
          <w:tcPr>
            <w:tcW w:type="dxa" w:w="98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Content + SEO</w:t>
            </w:r>
          </w:p>
        </w:tc>
        <w:tc>
          <w:tcPr>
            <w:tcW w:type="dxa" w:w="95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2 to 4 months</w:t>
            </w:r>
          </w:p>
        </w:tc>
        <w:tc>
          <w:tcPr>
            <w:tcW w:type="dxa" w:w="12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Ranking pages and referring domains</w:t>
            </w:r>
          </w:p>
        </w:tc>
        <w:tc>
          <w:tcPr>
            <w:tcW w:type="dxa" w:w="184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Draft the US federal pillar plus 5 state pages</w:t>
            </w:r>
          </w:p>
        </w:tc>
      </w:tr>
      <w:tr>
        <w:trPr>
          <w:cantSplit/>
        </w:trPr>
        <w:tc>
          <w:tcPr>
            <w:tcW w:type="dxa" w:w="142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Signable template library, phase 1</w:t>
            </w:r>
          </w:p>
        </w:tc>
        <w:tc>
          <w:tcPr>
            <w:tcW w:type="dxa" w:w="16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50 to 100 "[document] template" pages with a sign with BoldSign CTA</w:t>
            </w:r>
          </w:p>
        </w:tc>
        <w:tc>
          <w:tcPr>
            <w:tcW w:type="dxa" w:w="15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PandaDoc and Jotform proven, high commercial intent</w:t>
            </w:r>
          </w:p>
        </w:tc>
        <w:tc>
          <w:tcPr>
            <w:tcW w:type="dxa" w:w="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High</w:t>
            </w:r>
          </w:p>
        </w:tc>
        <w:tc>
          <w:tcPr>
            <w:tcW w:type="dxa" w:w="98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Content + Eng</w:t>
            </w:r>
          </w:p>
        </w:tc>
        <w:tc>
          <w:tcPr>
            <w:tcW w:type="dxa" w:w="9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2 to 4 months</w:t>
            </w:r>
          </w:p>
        </w:tc>
        <w:tc>
          <w:tcPr>
            <w:tcW w:type="dxa" w:w="12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Template pages ranking, template to signup rate</w:t>
            </w:r>
          </w:p>
        </w:tc>
        <w:tc>
          <w:tcPr>
            <w:tcW w:type="dxa" w:w="184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Pick 25 highest volume document types and build the pages</w:t>
            </w:r>
          </w:p>
        </w:tc>
      </w:tr>
    </w:tbl>
    <w:p>
      <w:pPr>
        <w:spacing w:after="160"/>
      </w:pPr>
    </w:p>
    <w:tbl>
      <w:tblPr>
        <w:tblW w:type="dxa" w:w="10512"/>
        <w:tblBorders>
          <w:top w:val="none"/>
          <w:left w:val="none"/>
          <w:bottom w:val="none"/>
          <w:right w:val="none"/>
          <w:insideH w:val="none"/>
          <w:insideV w:val="none"/>
        </w:tblBorders>
      </w:tblPr>
      <w:tblGrid>
        <w:gridCol w:w="10512"/>
      </w:tblGrid>
      <w:tr>
        <w:tc>
          <w:tcPr>
            <w:tcW w:type="dxa" w:w="10512"/>
            <w:shd w:fill="D2440C"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PO2  |  Next</w:t>
            </w:r>
          </w:p>
        </w:tc>
      </w:tr>
    </w:tbl>
    <w:p>
      <w:pPr>
        <w:spacing w:after="100"/>
      </w:pPr>
    </w:p>
    <w:tbl>
      <w:tblPr>
        <w:tblW w:type="dxa" w:w="10512"/>
        <w:tblBorders>
          <w:top w:val="single" w:color="C9CFD8" w:sz="4"/>
          <w:left w:val="single" w:color="C9CFD8" w:sz="4"/>
          <w:bottom w:val="single" w:color="C9CFD8" w:sz="4"/>
          <w:right w:val="single" w:color="C9CFD8" w:sz="4"/>
          <w:insideH w:val="single" w:color="DDE1E8" w:sz="3"/>
          <w:insideV w:val="single" w:color="DDE1E8" w:sz="3"/>
        </w:tblBorders>
      </w:tblPr>
      <w:tblGrid>
        <w:gridCol w:w="1420"/>
        <w:gridCol w:w="1660"/>
        <w:gridCol w:w="1560"/>
        <w:gridCol w:w="900"/>
        <w:gridCol w:w="980"/>
        <w:gridCol w:w="950"/>
        <w:gridCol w:w="1200"/>
        <w:gridCol w:w="1842"/>
      </w:tblGrid>
      <w:tr>
        <w:trPr>
          <w:cantSplit/>
          <w:tblHeader/>
        </w:trPr>
        <w:tc>
          <w:tcPr>
            <w:tcW w:type="dxa" w:w="1420"/>
            <w:shd w:fill="D2440C"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Play</w:t>
            </w:r>
          </w:p>
        </w:tc>
        <w:tc>
          <w:tcPr>
            <w:tcW w:type="dxa" w:w="1660"/>
            <w:shd w:fill="D2440C"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What it is</w:t>
            </w:r>
          </w:p>
        </w:tc>
        <w:tc>
          <w:tcPr>
            <w:tcW w:type="dxa" w:w="1560"/>
            <w:shd w:fill="D2440C"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Why it works</w:t>
            </w:r>
          </w:p>
        </w:tc>
        <w:tc>
          <w:tcPr>
            <w:tcW w:type="dxa" w:w="900"/>
            <w:shd w:fill="D2440C"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Traffic potential</w:t>
            </w:r>
          </w:p>
        </w:tc>
        <w:tc>
          <w:tcPr>
            <w:tcW w:type="dxa" w:w="980"/>
            <w:shd w:fill="D2440C"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Who builds</w:t>
            </w:r>
          </w:p>
        </w:tc>
        <w:tc>
          <w:tcPr>
            <w:tcW w:type="dxa" w:w="950"/>
            <w:shd w:fill="D2440C"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Time to result</w:t>
            </w:r>
          </w:p>
        </w:tc>
        <w:tc>
          <w:tcPr>
            <w:tcW w:type="dxa" w:w="1200"/>
            <w:shd w:fill="D2440C"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Primary metric</w:t>
            </w:r>
          </w:p>
        </w:tc>
        <w:tc>
          <w:tcPr>
            <w:tcW w:type="dxa" w:w="1842"/>
            <w:shd w:fill="D2440C"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First step</w:t>
            </w:r>
          </w:p>
        </w:tc>
      </w:tr>
      <w:tr>
        <w:trPr>
          <w:cantSplit/>
        </w:trPr>
        <w:tc>
          <w:tcPr>
            <w:tcW w:type="dxa" w:w="142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"Best [tool]" listicles</w:t>
            </w:r>
          </w:p>
        </w:tc>
        <w:tc>
          <w:tcPr>
            <w:tcW w:type="dxa" w:w="16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"Best free eSignature software", "best NDA tools" and similar roundups</w:t>
            </w:r>
          </w:p>
        </w:tc>
        <w:tc>
          <w:tcPr>
            <w:tcW w:type="dxa" w:w="15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Zapier's largest single engine at roughly 60 percent of organic traffic</w:t>
            </w:r>
          </w:p>
        </w:tc>
        <w:tc>
          <w:tcPr>
            <w:tcW w:type="dxa" w:w="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High</w:t>
            </w:r>
          </w:p>
        </w:tc>
        <w:tc>
          <w:tcPr>
            <w:tcW w:type="dxa" w:w="98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Content + SEO</w:t>
            </w:r>
          </w:p>
        </w:tc>
        <w:tc>
          <w:tcPr>
            <w:tcW w:type="dxa" w:w="9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2 to 4 months</w:t>
            </w:r>
          </w:p>
        </w:tc>
        <w:tc>
          <w:tcPr>
            <w:tcW w:type="dxa" w:w="12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Listicle rankings and assisted signups</w:t>
            </w:r>
          </w:p>
        </w:tc>
        <w:tc>
          <w:tcPr>
            <w:tcW w:type="dxa" w:w="184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Publish 10 best-of posts that include BoldSign</w:t>
            </w:r>
          </w:p>
        </w:tc>
      </w:tr>
      <w:tr>
        <w:trPr>
          <w:cantSplit/>
        </w:trPr>
        <w:tc>
          <w:tcPr>
            <w:tcW w:type="dxa" w:w="142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Programmatic integration pages</w:t>
            </w:r>
          </w:p>
        </w:tc>
        <w:tc>
          <w:tcPr>
            <w:tcW w:type="dxa" w:w="166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BoldSign plus [app] pages and pairwise combinations</w:t>
            </w:r>
          </w:p>
        </w:tc>
        <w:tc>
          <w:tcPr>
            <w:tcW w:type="dxa" w:w="156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Zapier integration pages drive roughly 16 percent of its traffic</w:t>
            </w:r>
          </w:p>
        </w:tc>
        <w:tc>
          <w:tcPr>
            <w:tcW w:type="dxa" w:w="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Medium to high</w:t>
            </w:r>
          </w:p>
        </w:tc>
        <w:tc>
          <w:tcPr>
            <w:tcW w:type="dxa" w:w="98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Eng + SEO</w:t>
            </w:r>
          </w:p>
        </w:tc>
        <w:tc>
          <w:tcPr>
            <w:tcW w:type="dxa" w:w="95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3 to 6 months</w:t>
            </w:r>
          </w:p>
        </w:tc>
        <w:tc>
          <w:tcPr>
            <w:tcW w:type="dxa" w:w="12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Indexed integration pages, assisted signups</w:t>
            </w:r>
          </w:p>
        </w:tc>
        <w:tc>
          <w:tcPr>
            <w:tcW w:type="dxa" w:w="184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Template one integration page, expand from existing integrations</w:t>
            </w:r>
          </w:p>
        </w:tc>
      </w:tr>
      <w:tr>
        <w:trPr>
          <w:cantSplit/>
        </w:trPr>
        <w:tc>
          <w:tcPr>
            <w:tcW w:type="dxa" w:w="142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Comparison and alternative pages</w:t>
            </w:r>
          </w:p>
        </w:tc>
        <w:tc>
          <w:tcPr>
            <w:tcW w:type="dxa" w:w="16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BoldSign vs DocuSign, DocuSign alternatives and similar</w:t>
            </w:r>
          </w:p>
        </w:tc>
        <w:tc>
          <w:tcPr>
            <w:tcW w:type="dxa" w:w="15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Very high commercial intent, converts well</w:t>
            </w:r>
          </w:p>
        </w:tc>
        <w:tc>
          <w:tcPr>
            <w:tcW w:type="dxa" w:w="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Medium</w:t>
            </w:r>
          </w:p>
        </w:tc>
        <w:tc>
          <w:tcPr>
            <w:tcW w:type="dxa" w:w="98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Content + SEO</w:t>
            </w:r>
          </w:p>
        </w:tc>
        <w:tc>
          <w:tcPr>
            <w:tcW w:type="dxa" w:w="9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1 to 3 months</w:t>
            </w:r>
          </w:p>
        </w:tc>
        <w:tc>
          <w:tcPr>
            <w:tcW w:type="dxa" w:w="12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Comparison page signups</w:t>
            </w:r>
          </w:p>
        </w:tc>
        <w:tc>
          <w:tcPr>
            <w:tcW w:type="dxa" w:w="184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Build 10 vs and alternative pages for the top competitors</w:t>
            </w:r>
          </w:p>
        </w:tc>
      </w:tr>
      <w:tr>
        <w:trPr>
          <w:cantSplit/>
        </w:trPr>
        <w:tc>
          <w:tcPr>
            <w:tcW w:type="dxa" w:w="142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Signature adjacent tools</w:t>
            </w:r>
          </w:p>
        </w:tc>
        <w:tc>
          <w:tcPr>
            <w:tcW w:type="dxa" w:w="166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Agreement generator, contract generator, W-9 and HR form fillers</w:t>
            </w:r>
          </w:p>
        </w:tc>
        <w:tc>
          <w:tcPr>
            <w:tcW w:type="dxa" w:w="156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Sits much closer to the paid product than generic PDF utilities</w:t>
            </w:r>
          </w:p>
        </w:tc>
        <w:tc>
          <w:tcPr>
            <w:tcW w:type="dxa" w:w="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Medium to high</w:t>
            </w:r>
          </w:p>
        </w:tc>
        <w:tc>
          <w:tcPr>
            <w:tcW w:type="dxa" w:w="98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Eng + SEO</w:t>
            </w:r>
          </w:p>
        </w:tc>
        <w:tc>
          <w:tcPr>
            <w:tcW w:type="dxa" w:w="95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1 to 3 months per cluster</w:t>
            </w:r>
          </w:p>
        </w:tc>
        <w:tc>
          <w:tcPr>
            <w:tcW w:type="dxa" w:w="12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New tool pages ranking</w:t>
            </w:r>
          </w:p>
        </w:tc>
        <w:tc>
          <w:tcPr>
            <w:tcW w:type="dxa" w:w="184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Ship an agreement or NDA generator with a gated send step</w:t>
            </w:r>
          </w:p>
        </w:tc>
      </w:tr>
      <w:tr>
        <w:trPr>
          <w:cantSplit/>
        </w:trPr>
        <w:tc>
          <w:tcPr>
            <w:tcW w:type="dxa" w:w="142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Developer API playground</w:t>
            </w:r>
          </w:p>
        </w:tc>
        <w:tc>
          <w:tcPr>
            <w:tcW w:type="dxa" w:w="16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Interactive API sandbox page for the eSignature API</w:t>
            </w:r>
          </w:p>
        </w:tc>
        <w:tc>
          <w:tcPr>
            <w:tcW w:type="dxa" w:w="15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SignWell shows developer led demand, produces high value signups</w:t>
            </w:r>
          </w:p>
        </w:tc>
        <w:tc>
          <w:tcPr>
            <w:tcW w:type="dxa" w:w="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Medium</w:t>
            </w:r>
          </w:p>
        </w:tc>
        <w:tc>
          <w:tcPr>
            <w:tcW w:type="dxa" w:w="98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Eng + DevRel</w:t>
            </w:r>
          </w:p>
        </w:tc>
        <w:tc>
          <w:tcPr>
            <w:tcW w:type="dxa" w:w="9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2 to 4 months</w:t>
            </w:r>
          </w:p>
        </w:tc>
        <w:tc>
          <w:tcPr>
            <w:tcW w:type="dxa" w:w="12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Developer signups and API keys issued</w:t>
            </w:r>
          </w:p>
        </w:tc>
        <w:tc>
          <w:tcPr>
            <w:tcW w:type="dxa" w:w="184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Build a "try the eSignature API" live page</w:t>
            </w:r>
          </w:p>
        </w:tc>
      </w:tr>
    </w:tbl>
    <w:p>
      <w:pPr>
        <w:spacing w:after="160"/>
      </w:pPr>
    </w:p>
    <w:tbl>
      <w:tblPr>
        <w:tblW w:type="dxa" w:w="10512"/>
        <w:tblBorders>
          <w:top w:val="none"/>
          <w:left w:val="none"/>
          <w:bottom w:val="none"/>
          <w:right w:val="none"/>
          <w:insideH w:val="none"/>
          <w:insideV w:val="none"/>
        </w:tblBorders>
      </w:tblPr>
      <w:tblGrid>
        <w:gridCol w:w="10512"/>
      </w:tblGrid>
      <w:tr>
        <w:tc>
          <w:tcPr>
            <w:tcW w:type="dxa" w:w="10512"/>
            <w:shd w:fill="283A5E"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PO3  |  Later and opportunistic</w:t>
            </w:r>
          </w:p>
        </w:tc>
      </w:tr>
    </w:tbl>
    <w:p>
      <w:pPr>
        <w:spacing w:after="100"/>
      </w:pPr>
    </w:p>
    <w:tbl>
      <w:tblPr>
        <w:tblW w:type="dxa" w:w="10512"/>
        <w:tblBorders>
          <w:top w:val="single" w:color="C9CFD8" w:sz="4"/>
          <w:left w:val="single" w:color="C9CFD8" w:sz="4"/>
          <w:bottom w:val="single" w:color="C9CFD8" w:sz="4"/>
          <w:right w:val="single" w:color="C9CFD8" w:sz="4"/>
          <w:insideH w:val="single" w:color="DDE1E8" w:sz="3"/>
          <w:insideV w:val="single" w:color="DDE1E8" w:sz="3"/>
        </w:tblBorders>
      </w:tblPr>
      <w:tblGrid>
        <w:gridCol w:w="1420"/>
        <w:gridCol w:w="1660"/>
        <w:gridCol w:w="1560"/>
        <w:gridCol w:w="900"/>
        <w:gridCol w:w="980"/>
        <w:gridCol w:w="950"/>
        <w:gridCol w:w="1200"/>
        <w:gridCol w:w="1842"/>
      </w:tblGrid>
      <w:tr>
        <w:trPr>
          <w:cantSplit/>
          <w:tblHeader/>
        </w:trPr>
        <w:tc>
          <w:tcPr>
            <w:tcW w:type="dxa" w:w="142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Play</w:t>
            </w:r>
          </w:p>
        </w:tc>
        <w:tc>
          <w:tcPr>
            <w:tcW w:type="dxa" w:w="166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What it is</w:t>
            </w:r>
          </w:p>
        </w:tc>
        <w:tc>
          <w:tcPr>
            <w:tcW w:type="dxa" w:w="156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Why it works</w:t>
            </w:r>
          </w:p>
        </w:tc>
        <w:tc>
          <w:tcPr>
            <w:tcW w:type="dxa" w:w="90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Traffic potential</w:t>
            </w:r>
          </w:p>
        </w:tc>
        <w:tc>
          <w:tcPr>
            <w:tcW w:type="dxa" w:w="98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Who builds</w:t>
            </w:r>
          </w:p>
        </w:tc>
        <w:tc>
          <w:tcPr>
            <w:tcW w:type="dxa" w:w="95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Time to result</w:t>
            </w:r>
          </w:p>
        </w:tc>
        <w:tc>
          <w:tcPr>
            <w:tcW w:type="dxa" w:w="120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Primary metric</w:t>
            </w:r>
          </w:p>
        </w:tc>
        <w:tc>
          <w:tcPr>
            <w:tcW w:type="dxa" w:w="1842"/>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First step</w:t>
            </w:r>
          </w:p>
        </w:tc>
      </w:tr>
      <w:tr>
        <w:trPr>
          <w:cantSplit/>
        </w:trPr>
        <w:tc>
          <w:tcPr>
            <w:tcW w:type="dxa" w:w="142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State of eSignature data study</w:t>
            </w:r>
          </w:p>
        </w:tc>
        <w:tc>
          <w:tcPr>
            <w:tcW w:type="dxa" w:w="16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Annual original data report</w:t>
            </w:r>
          </w:p>
        </w:tc>
        <w:tc>
          <w:tcPr>
            <w:tcW w:type="dxa" w:w="15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Earns links and lifts authority across the whole domain</w:t>
            </w:r>
          </w:p>
        </w:tc>
        <w:tc>
          <w:tcPr>
            <w:tcW w:type="dxa" w:w="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Low direct, high link value</w:t>
            </w:r>
          </w:p>
        </w:tc>
        <w:tc>
          <w:tcPr>
            <w:tcW w:type="dxa" w:w="98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Content + Data</w:t>
            </w:r>
          </w:p>
        </w:tc>
        <w:tc>
          <w:tcPr>
            <w:tcW w:type="dxa" w:w="9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3 to 6 months</w:t>
            </w:r>
          </w:p>
        </w:tc>
        <w:tc>
          <w:tcPr>
            <w:tcW w:type="dxa" w:w="12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Referring domains</w:t>
            </w:r>
          </w:p>
        </w:tc>
        <w:tc>
          <w:tcPr>
            <w:tcW w:type="dxa" w:w="184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Define one proprietary dataset you can publish</w:t>
            </w:r>
          </w:p>
        </w:tc>
      </w:tr>
      <w:tr>
        <w:trPr>
          <w:cantSplit/>
        </w:trPr>
        <w:tc>
          <w:tcPr>
            <w:tcW w:type="dxa" w:w="142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Chrome extension</w:t>
            </w:r>
          </w:p>
        </w:tc>
        <w:tc>
          <w:tcPr>
            <w:tcW w:type="dxa" w:w="166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"Sign PDF" browser extension listed in the Chrome Web Store</w:t>
            </w:r>
          </w:p>
        </w:tc>
        <w:tc>
          <w:tcPr>
            <w:tcW w:type="dxa" w:w="156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New discovery surface plus recurring usage</w:t>
            </w:r>
          </w:p>
        </w:tc>
        <w:tc>
          <w:tcPr>
            <w:tcW w:type="dxa" w:w="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Medium</w:t>
            </w:r>
          </w:p>
        </w:tc>
        <w:tc>
          <w:tcPr>
            <w:tcW w:type="dxa" w:w="98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Eng</w:t>
            </w:r>
          </w:p>
        </w:tc>
        <w:tc>
          <w:tcPr>
            <w:tcW w:type="dxa" w:w="95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3 to 6 months</w:t>
            </w:r>
          </w:p>
        </w:tc>
        <w:tc>
          <w:tcPr>
            <w:tcW w:type="dxa" w:w="12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Extension installs to signups</w:t>
            </w:r>
          </w:p>
        </w:tc>
        <w:tc>
          <w:tcPr>
            <w:tcW w:type="dxa" w:w="184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Scope an MVP sign from browser extension</w:t>
            </w:r>
          </w:p>
        </w:tc>
      </w:tr>
      <w:tr>
        <w:trPr>
          <w:cantSplit/>
        </w:trPr>
        <w:tc>
          <w:tcPr>
            <w:tcW w:type="dxa" w:w="142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Reddit and community presence</w:t>
            </w:r>
          </w:p>
        </w:tc>
        <w:tc>
          <w:tcPr>
            <w:tcW w:type="dxa" w:w="16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Genuine help in r/SaaS, r/smallbusiness, legal and HR subreddits</w:t>
            </w:r>
          </w:p>
        </w:tc>
        <w:tc>
          <w:tcPr>
            <w:tcW w:type="dxa" w:w="156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Cheap, trust building, reaches users mid problem</w:t>
            </w:r>
          </w:p>
        </w:tc>
        <w:tc>
          <w:tcPr>
            <w:tcW w:type="dxa" w:w="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Low to medium</w:t>
            </w:r>
          </w:p>
        </w:tc>
        <w:tc>
          <w:tcPr>
            <w:tcW w:type="dxa" w:w="98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SEO and Marketing</w:t>
            </w:r>
          </w:p>
        </w:tc>
        <w:tc>
          <w:tcPr>
            <w:tcW w:type="dxa" w:w="9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Ongoing</w:t>
            </w:r>
          </w:p>
        </w:tc>
        <w:tc>
          <w:tcPr>
            <w:tcW w:type="dxa" w:w="12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Referral traffic and signups</w:t>
            </w:r>
          </w:p>
        </w:tc>
        <w:tc>
          <w:tcPr>
            <w:tcW w:type="dxa" w:w="184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Answer 3 relevant threads per week, no link blasting</w:t>
            </w:r>
          </w:p>
        </w:tc>
      </w:tr>
      <w:tr>
        <w:trPr>
          <w:cantSplit/>
        </w:trPr>
        <w:tc>
          <w:tcPr>
            <w:tcW w:type="dxa" w:w="142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AI citation visibility</w:t>
            </w:r>
          </w:p>
        </w:tc>
        <w:tc>
          <w:tcPr>
            <w:tcW w:type="dxa" w:w="166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Expand llms.txt, add structured legality and template data</w:t>
            </w:r>
          </w:p>
        </w:tc>
        <w:tc>
          <w:tcPr>
            <w:tcW w:type="dxa" w:w="156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AI answers increasingly cite structured sources</w:t>
            </w:r>
          </w:p>
        </w:tc>
        <w:tc>
          <w:tcPr>
            <w:tcW w:type="dxa" w:w="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Emerging</w:t>
            </w:r>
          </w:p>
        </w:tc>
        <w:tc>
          <w:tcPr>
            <w:tcW w:type="dxa" w:w="98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SEO + Eng</w:t>
            </w:r>
          </w:p>
        </w:tc>
        <w:tc>
          <w:tcPr>
            <w:tcW w:type="dxa" w:w="95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Ongoing</w:t>
            </w:r>
          </w:p>
        </w:tc>
        <w:tc>
          <w:tcPr>
            <w:tcW w:type="dxa" w:w="12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Brand citations in ChatGPT and Perplexity</w:t>
            </w:r>
          </w:p>
        </w:tc>
        <w:tc>
          <w:tcPr>
            <w:tcW w:type="dxa" w:w="184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Audit which BoldSign pages get cited today</w:t>
            </w:r>
          </w:p>
        </w:tc>
      </w:tr>
    </w:tbl>
    <w:p>
      <w:pPr>
        <w:pageBreakBefore/>
      </w:pPr>
    </w:p>
    <w:p>
      <w:pPr>
        <w:pStyle w:val="Heading1"/>
        <w:pBdr>
          <w:bottom w:val="single" w:color="FF4800" w:sz="12" w:space="6"/>
        </w:pBdr>
        <w:spacing w:after="160" w:before="340"/>
      </w:pPr>
      <w:r>
        <w:rPr>
          <w:rFonts w:ascii="Calibri" w:cs="Calibri" w:eastAsia="Calibri" w:hAnsi="Calibri"/>
          <w:b/>
          <w:bCs/>
          <w:color w:val="283A5E"/>
          <w:sz w:val="28"/>
          <w:szCs w:val="28"/>
        </w:rPr>
        <w:t xml:space="preserve">8. Step by step implementation</w:t>
      </w:r>
    </w:p>
    <w:p>
      <w:pPr>
        <w:spacing w:after="120" w:before="0" w:line="276"/>
      </w:pPr>
      <w:r>
        <w:rPr>
          <w:rFonts w:ascii="Calibri" w:cs="Calibri" w:eastAsia="Calibri" w:hAnsi="Calibri"/>
          <w:b w:val="false"/>
          <w:bCs w:val="false"/>
          <w:i w:val="false"/>
          <w:iCs w:val="false"/>
          <w:color w:val="1A1A1A"/>
          <w:sz w:val="20"/>
          <w:szCs w:val="20"/>
        </w:rPr>
        <w:t xml:space="preserve">Three guides you can start on Monday morning. Each is written as a sequence, not a strategy.</w:t>
      </w:r>
    </w:p>
    <w:p>
      <w:pPr>
        <w:pStyle w:val="Heading2"/>
        <w:spacing w:after="110" w:before="260"/>
      </w:pPr>
      <w:r>
        <w:rPr>
          <w:rFonts w:ascii="Calibri" w:cs="Calibri" w:eastAsia="Calibri" w:hAnsi="Calibri"/>
          <w:b/>
          <w:bCs/>
          <w:color w:val="FF4800"/>
          <w:sz w:val="23"/>
          <w:szCs w:val="23"/>
        </w:rPr>
        <w:t xml:space="preserve">Play 1: Conversion bridge on the existing tools</w:t>
      </w:r>
    </w:p>
    <w:p>
      <w:pPr>
        <w:pStyle w:val="ListParagraph"/>
        <w:numPr>
          <w:ilvl w:val="0"/>
          <w:numId w:val="3"/>
        </w:numPr>
        <w:spacing w:after="70" w:line="276"/>
      </w:pPr>
      <w:r>
        <w:rPr>
          <w:rFonts w:ascii="Calibri" w:cs="Calibri" w:eastAsia="Calibri" w:hAnsi="Calibri"/>
          <w:color w:val="1A1A1A"/>
          <w:sz w:val="20"/>
          <w:szCs w:val="20"/>
        </w:rPr>
        <w:t xml:space="preserve">Instrument the tool pages. Add event tracking for tool use, result download, CTA click and signup. You cannot optimise what you are not measuring, and right now the funnel is invisible.</w:t>
      </w:r>
    </w:p>
    <w:p>
      <w:pPr>
        <w:pStyle w:val="ListParagraph"/>
        <w:numPr>
          <w:ilvl w:val="0"/>
          <w:numId w:val="3"/>
        </w:numPr>
        <w:spacing w:after="70" w:line="276"/>
      </w:pPr>
      <w:r>
        <w:rPr>
          <w:rFonts w:ascii="Calibri" w:cs="Calibri" w:eastAsia="Calibri" w:hAnsi="Calibri"/>
          <w:color w:val="1A1A1A"/>
          <w:sz w:val="20"/>
          <w:szCs w:val="20"/>
        </w:rPr>
        <w:t xml:space="preserve">Pull 30 days of data and segment tool sourced signups by email domain, business versus personal, and by whether the user returned. This answers the "are these low quality signups" question directly rather than assuming.</w:t>
      </w:r>
    </w:p>
    <w:p>
      <w:pPr>
        <w:pStyle w:val="ListParagraph"/>
        <w:numPr>
          <w:ilvl w:val="0"/>
          <w:numId w:val="3"/>
        </w:numPr>
        <w:spacing w:after="70" w:line="276"/>
      </w:pPr>
      <w:r>
        <w:rPr>
          <w:rFonts w:ascii="Calibri" w:cs="Calibri" w:eastAsia="Calibri" w:hAnsi="Calibri"/>
          <w:color w:val="1A1A1A"/>
          <w:sz w:val="20"/>
          <w:szCs w:val="20"/>
        </w:rPr>
        <w:t xml:space="preserve">Add a contextual CTA block below each tool result, matched to that specific tool. After Sign PDF: "Need others to sign this too? Send for signature free with BoldSign."</w:t>
      </w:r>
    </w:p>
    <w:p>
      <w:pPr>
        <w:pStyle w:val="ListParagraph"/>
        <w:numPr>
          <w:ilvl w:val="0"/>
          <w:numId w:val="3"/>
        </w:numPr>
        <w:spacing w:after="70" w:line="276"/>
      </w:pPr>
      <w:r>
        <w:rPr>
          <w:rFonts w:ascii="Calibri" w:cs="Calibri" w:eastAsia="Calibri" w:hAnsi="Calibri"/>
          <w:color w:val="1A1A1A"/>
          <w:sz w:val="20"/>
          <w:szCs w:val="20"/>
        </w:rPr>
        <w:t xml:space="preserve">A/B test exactly one gate. Keep the basic action ungated, but require a free account to save the result as a reusable template or to send for multi party signature.</w:t>
      </w:r>
    </w:p>
    <w:p>
      <w:pPr>
        <w:pStyle w:val="ListParagraph"/>
        <w:numPr>
          <w:ilvl w:val="0"/>
          <w:numId w:val="3"/>
        </w:numPr>
        <w:spacing w:after="70" w:line="276"/>
      </w:pPr>
      <w:r>
        <w:rPr>
          <w:rFonts w:ascii="Calibri" w:cs="Calibri" w:eastAsia="Calibri" w:hAnsi="Calibri"/>
          <w:color w:val="1A1A1A"/>
          <w:sz w:val="20"/>
          <w:szCs w:val="20"/>
        </w:rPr>
        <w:t xml:space="preserve">Add inline email capture with personal versus work domain routing on the two highest traffic tool pages only.</w:t>
      </w:r>
    </w:p>
    <w:p>
      <w:pPr>
        <w:pStyle w:val="ListParagraph"/>
        <w:numPr>
          <w:ilvl w:val="0"/>
          <w:numId w:val="3"/>
        </w:numPr>
        <w:spacing w:after="70" w:line="276"/>
      </w:pPr>
      <w:r>
        <w:rPr>
          <w:rFonts w:ascii="Calibri" w:cs="Calibri" w:eastAsia="Calibri" w:hAnsi="Calibri"/>
          <w:color w:val="1A1A1A"/>
          <w:sz w:val="20"/>
          <w:szCs w:val="20"/>
        </w:rPr>
        <w:t xml:space="preserve">Turn on retargeting for tool visitors who did not sign up.</w:t>
      </w:r>
    </w:p>
    <w:p>
      <w:pPr>
        <w:pStyle w:val="ListParagraph"/>
        <w:numPr>
          <w:ilvl w:val="0"/>
          <w:numId w:val="3"/>
        </w:numPr>
        <w:spacing w:after="70" w:line="276"/>
      </w:pPr>
      <w:r>
        <w:rPr>
          <w:rFonts w:ascii="Calibri" w:cs="Calibri" w:eastAsia="Calibri" w:hAnsi="Calibri"/>
          <w:color w:val="1A1A1A"/>
          <w:sz w:val="20"/>
          <w:szCs w:val="20"/>
        </w:rPr>
        <w:t xml:space="preserve">Review after four weeks against one metric: signups per 1,000 tool visits.</w:t>
      </w:r>
    </w:p>
    <w:p>
      <w:pPr>
        <w:pStyle w:val="Heading2"/>
        <w:spacing w:after="110" w:before="260"/>
      </w:pPr>
      <w:r>
        <w:rPr>
          <w:rFonts w:ascii="Calibri" w:cs="Calibri" w:eastAsia="Calibri" w:hAnsi="Calibri"/>
          <w:b/>
          <w:bCs/>
          <w:color w:val="FF4800"/>
          <w:sz w:val="23"/>
          <w:szCs w:val="23"/>
        </w:rPr>
        <w:t xml:space="preserve">Play 2: eSignature legality hub</w:t>
      </w:r>
    </w:p>
    <w:p>
      <w:pPr>
        <w:pStyle w:val="ListParagraph"/>
        <w:numPr>
          <w:ilvl w:val="0"/>
          <w:numId w:val="4"/>
        </w:numPr>
        <w:spacing w:after="70" w:line="276"/>
      </w:pPr>
      <w:r>
        <w:rPr>
          <w:rFonts w:ascii="Calibri" w:cs="Calibri" w:eastAsia="Calibri" w:hAnsi="Calibri"/>
          <w:color w:val="1A1A1A"/>
          <w:sz w:val="20"/>
          <w:szCs w:val="20"/>
        </w:rPr>
        <w:t xml:space="preserve">Build the URL pattern: /esignature-legality/[country] and /esignature-legality/us/[state].</w:t>
      </w:r>
    </w:p>
    <w:p>
      <w:pPr>
        <w:pStyle w:val="ListParagraph"/>
        <w:numPr>
          <w:ilvl w:val="0"/>
          <w:numId w:val="4"/>
        </w:numPr>
        <w:spacing w:after="70" w:line="276"/>
      </w:pPr>
      <w:r>
        <w:rPr>
          <w:rFonts w:ascii="Calibri" w:cs="Calibri" w:eastAsia="Calibri" w:hAnsi="Calibri"/>
          <w:color w:val="1A1A1A"/>
          <w:sz w:val="20"/>
          <w:szCs w:val="20"/>
        </w:rPr>
        <w:t xml:space="preserve">Draft the page template: legal status, governing law such as ESIGN and UETA for the US or eIDAS for the EU, what can and cannot be signed electronically, enforceability, and a BoldSign compliance CTA.</w:t>
      </w:r>
    </w:p>
    <w:p>
      <w:pPr>
        <w:pStyle w:val="ListParagraph"/>
        <w:numPr>
          <w:ilvl w:val="0"/>
          <w:numId w:val="4"/>
        </w:numPr>
        <w:spacing w:after="70" w:line="276"/>
      </w:pPr>
      <w:r>
        <w:rPr>
          <w:rFonts w:ascii="Calibri" w:cs="Calibri" w:eastAsia="Calibri" w:hAnsi="Calibri"/>
          <w:color w:val="1A1A1A"/>
          <w:sz w:val="20"/>
          <w:szCs w:val="20"/>
        </w:rPr>
        <w:t xml:space="preserve">Ship the US federal pillar plus five states first, then expand to all 50 states, then the top 20 countries.</w:t>
      </w:r>
    </w:p>
    <w:p>
      <w:pPr>
        <w:pStyle w:val="ListParagraph"/>
        <w:numPr>
          <w:ilvl w:val="0"/>
          <w:numId w:val="4"/>
        </w:numPr>
        <w:spacing w:after="70" w:line="276"/>
      </w:pPr>
      <w:r>
        <w:rPr>
          <w:rFonts w:ascii="Calibri" w:cs="Calibri" w:eastAsia="Calibri" w:hAnsi="Calibri"/>
          <w:color w:val="1A1A1A"/>
          <w:sz w:val="20"/>
          <w:szCs w:val="20"/>
        </w:rPr>
        <w:t xml:space="preserve">Add internal links from the existing eSignature and pricing pages, and add schema markup.</w:t>
      </w:r>
    </w:p>
    <w:p>
      <w:pPr>
        <w:pStyle w:val="ListParagraph"/>
        <w:numPr>
          <w:ilvl w:val="0"/>
          <w:numId w:val="4"/>
        </w:numPr>
        <w:spacing w:after="70" w:line="276"/>
      </w:pPr>
      <w:r>
        <w:rPr>
          <w:rFonts w:ascii="Calibri" w:cs="Calibri" w:eastAsia="Calibri" w:hAnsi="Calibri"/>
          <w:color w:val="1A1A1A"/>
          <w:sz w:val="20"/>
          <w:szCs w:val="20"/>
        </w:rPr>
        <w:t xml:space="preserve">Pitch the hub to legal and HR publications for links. This content type earns citations more reliably than product pages ever will.</w:t>
      </w:r>
    </w:p>
    <w:p>
      <w:pPr>
        <w:pStyle w:val="ListParagraph"/>
        <w:numPr>
          <w:ilvl w:val="0"/>
          <w:numId w:val="4"/>
        </w:numPr>
        <w:spacing w:after="70" w:line="276"/>
      </w:pPr>
      <w:r>
        <w:rPr>
          <w:rFonts w:ascii="Calibri" w:cs="Calibri" w:eastAsia="Calibri" w:hAnsi="Calibri"/>
          <w:color w:val="1A1A1A"/>
          <w:sz w:val="20"/>
          <w:szCs w:val="20"/>
        </w:rPr>
        <w:t xml:space="preserve">Track ranking pages and referring domains monthly.</w:t>
      </w:r>
    </w:p>
    <w:p>
      <w:pPr>
        <w:pStyle w:val="Heading2"/>
        <w:spacing w:after="110" w:before="260"/>
      </w:pPr>
      <w:r>
        <w:rPr>
          <w:rFonts w:ascii="Calibri" w:cs="Calibri" w:eastAsia="Calibri" w:hAnsi="Calibri"/>
          <w:b/>
          <w:bCs/>
          <w:color w:val="FF4800"/>
          <w:sz w:val="23"/>
          <w:szCs w:val="23"/>
        </w:rPr>
        <w:t xml:space="preserve">Play 3: Signable template library</w:t>
      </w:r>
    </w:p>
    <w:p>
      <w:pPr>
        <w:pStyle w:val="ListParagraph"/>
        <w:numPr>
          <w:ilvl w:val="0"/>
          <w:numId w:val="5"/>
        </w:numPr>
        <w:spacing w:after="70" w:line="276"/>
      </w:pPr>
      <w:r>
        <w:rPr>
          <w:rFonts w:ascii="Calibri" w:cs="Calibri" w:eastAsia="Calibri" w:hAnsi="Calibri"/>
          <w:color w:val="1A1A1A"/>
          <w:sz w:val="20"/>
          <w:szCs w:val="20"/>
        </w:rPr>
        <w:t xml:space="preserve">Build a keyword list of "[document] template" terms: NDA, offer letter, lease agreement, consulting agreement, W-9, bill of sale and so on. Prioritise by volume and low difficulty.</w:t>
      </w:r>
    </w:p>
    <w:p>
      <w:pPr>
        <w:pStyle w:val="ListParagraph"/>
        <w:numPr>
          <w:ilvl w:val="0"/>
          <w:numId w:val="5"/>
        </w:numPr>
        <w:spacing w:after="70" w:line="276"/>
      </w:pPr>
      <w:r>
        <w:rPr>
          <w:rFonts w:ascii="Calibri" w:cs="Calibri" w:eastAsia="Calibri" w:hAnsi="Calibri"/>
          <w:color w:val="1A1A1A"/>
          <w:sz w:val="20"/>
          <w:szCs w:val="20"/>
        </w:rPr>
        <w:t xml:space="preserve">Use the Ahrefs method to qualify terms: Matching Terms report on the modifiers template, generator, converter and maker, filtered to Keyword Difficulty 30 or below, paired with the lowest Domain Rating visible in the SERP. Tim Bennetto of Pallyy used a stricter version of this, DR under 20 with at least a few hundred searches, to reach 300,000 monthly visits from free tools.</w:t>
      </w:r>
    </w:p>
    <w:p>
      <w:pPr>
        <w:pStyle w:val="ListParagraph"/>
        <w:numPr>
          <w:ilvl w:val="0"/>
          <w:numId w:val="5"/>
        </w:numPr>
        <w:spacing w:after="70" w:line="276"/>
      </w:pPr>
      <w:r>
        <w:rPr>
          <w:rFonts w:ascii="Calibri" w:cs="Calibri" w:eastAsia="Calibri" w:hAnsi="Calibri"/>
          <w:color w:val="1A1A1A"/>
          <w:sz w:val="20"/>
          <w:szCs w:val="20"/>
        </w:rPr>
        <w:t xml:space="preserve">Design the page template: preview, plain English explanation, fill in fields, and one primary CTA, "Customise and sign with BoldSign".</w:t>
      </w:r>
    </w:p>
    <w:p>
      <w:pPr>
        <w:pStyle w:val="ListParagraph"/>
        <w:numPr>
          <w:ilvl w:val="0"/>
          <w:numId w:val="5"/>
        </w:numPr>
        <w:spacing w:after="70" w:line="276"/>
      </w:pPr>
      <w:r>
        <w:rPr>
          <w:rFonts w:ascii="Calibri" w:cs="Calibri" w:eastAsia="Calibri" w:hAnsi="Calibri"/>
          <w:color w:val="1A1A1A"/>
          <w:sz w:val="20"/>
          <w:szCs w:val="20"/>
        </w:rPr>
        <w:t xml:space="preserve">Gate the valuable step. Previewing and reading is free. Sending for signature or saving an edited version requires an account.</w:t>
      </w:r>
    </w:p>
    <w:p>
      <w:pPr>
        <w:pStyle w:val="ListParagraph"/>
        <w:numPr>
          <w:ilvl w:val="0"/>
          <w:numId w:val="5"/>
        </w:numPr>
        <w:spacing w:after="70" w:line="276"/>
      </w:pPr>
      <w:r>
        <w:rPr>
          <w:rFonts w:ascii="Calibri" w:cs="Calibri" w:eastAsia="Calibri" w:hAnsi="Calibri"/>
          <w:color w:val="1A1A1A"/>
          <w:sz w:val="20"/>
          <w:szCs w:val="20"/>
        </w:rPr>
        <w:t xml:space="preserve">Launch 25 pages, submit to Google Search Console, and internally link them into a /templates/ hub.</w:t>
      </w:r>
    </w:p>
    <w:p>
      <w:pPr>
        <w:pStyle w:val="ListParagraph"/>
        <w:numPr>
          <w:ilvl w:val="0"/>
          <w:numId w:val="5"/>
        </w:numPr>
        <w:spacing w:after="70" w:line="276"/>
      </w:pPr>
      <w:r>
        <w:rPr>
          <w:rFonts w:ascii="Calibri" w:cs="Calibri" w:eastAsia="Calibri" w:hAnsi="Calibri"/>
          <w:color w:val="1A1A1A"/>
          <w:sz w:val="20"/>
          <w:szCs w:val="20"/>
        </w:rPr>
        <w:t xml:space="preserve">Measure template page to signup rate, then expand only the winners into sub variants by industry or state.</w:t>
      </w:r>
    </w:p>
    <w:p>
      <w:pPr>
        <w:spacing w:after="80"/>
      </w:pPr>
    </w:p>
    <w:p>
      <w:pPr>
        <w:pStyle w:val="Heading3"/>
        <w:spacing w:after="90" w:before="200"/>
      </w:pPr>
      <w:r>
        <w:rPr>
          <w:rFonts w:ascii="Calibri" w:cs="Calibri" w:eastAsia="Calibri" w:hAnsi="Calibri"/>
          <w:b/>
          <w:bCs/>
          <w:color w:val="283A5E"/>
          <w:sz w:val="21"/>
          <w:szCs w:val="21"/>
        </w:rPr>
        <w:t xml:space="preserve">Signals that should change this plan</w:t>
      </w:r>
    </w:p>
    <w:p>
      <w:pPr>
        <w:pStyle w:val="ListParagraph"/>
        <w:numPr>
          <w:ilvl w:val="0"/>
          <w:numId w:val="2"/>
        </w:numPr>
        <w:spacing w:after="70" w:line="276"/>
      </w:pPr>
      <w:r>
        <w:rPr>
          <w:rFonts w:ascii="Calibri" w:cs="Calibri" w:eastAsia="Calibri" w:hAnsi="Calibri"/>
          <w:color w:val="1A1A1A"/>
          <w:sz w:val="20"/>
          <w:szCs w:val="20"/>
        </w:rPr>
        <w:t xml:space="preserve">If signups per 1,000 tool visits stays flat after the PO1 bridge test, the issue is tool audience fit rather than the bridge. Pivot new tool building toward signature adjacent tools and away from generic PDF utilities.</w:t>
      </w:r>
    </w:p>
    <w:p>
      <w:pPr>
        <w:pStyle w:val="ListParagraph"/>
        <w:numPr>
          <w:ilvl w:val="0"/>
          <w:numId w:val="2"/>
        </w:numPr>
        <w:spacing w:after="70" w:line="276"/>
      </w:pPr>
      <w:r>
        <w:rPr>
          <w:rFonts w:ascii="Calibri" w:cs="Calibri" w:eastAsia="Calibri" w:hAnsi="Calibri"/>
          <w:color w:val="1A1A1A"/>
          <w:sz w:val="20"/>
          <w:szCs w:val="20"/>
        </w:rPr>
        <w:t xml:space="preserve">If template pages convert to signups at twice the site average, accelerate the library from 100 pages to 1,000 plus.</w:t>
      </w:r>
    </w:p>
    <w:p>
      <w:pPr>
        <w:pStyle w:val="ListParagraph"/>
        <w:numPr>
          <w:ilvl w:val="0"/>
          <w:numId w:val="2"/>
        </w:numPr>
        <w:spacing w:after="70" w:line="276"/>
      </w:pPr>
      <w:r>
        <w:rPr>
          <w:rFonts w:ascii="Calibri" w:cs="Calibri" w:eastAsia="Calibri" w:hAnsi="Calibri"/>
          <w:color w:val="1A1A1A"/>
          <w:sz w:val="20"/>
          <w:szCs w:val="20"/>
        </w:rPr>
        <w:t xml:space="preserve">If integration and comparison pages under index on rankings within six months, that is a domain authority problem. Shift budget to the listicle and data study link earning plays.</w:t>
      </w:r>
    </w:p>
    <w:p>
      <w:pPr>
        <w:pStyle w:val="Heading1"/>
        <w:pBdr>
          <w:bottom w:val="single" w:color="FF4800" w:sz="12" w:space="6"/>
        </w:pBdr>
        <w:spacing w:after="160" w:before="340"/>
      </w:pPr>
      <w:r>
        <w:rPr>
          <w:rFonts w:ascii="Calibri" w:cs="Calibri" w:eastAsia="Calibri" w:hAnsi="Calibri"/>
          <w:b/>
          <w:bCs/>
          <w:color w:val="283A5E"/>
          <w:sz w:val="28"/>
          <w:szCs w:val="28"/>
        </w:rPr>
        <w:t xml:space="preserve">9. BoldSign specific tool and page ideas</w:t>
      </w:r>
    </w:p>
    <w:tbl>
      <w:tblPr>
        <w:tblW w:type="dxa" w:w="10512"/>
        <w:tblBorders>
          <w:top w:val="none"/>
          <w:left w:val="single" w:color="FF4800" w:sz="18"/>
          <w:bottom w:val="none"/>
          <w:right w:val="none"/>
          <w:insideH w:val="none"/>
          <w:insideV w:val="none"/>
        </w:tblBorders>
      </w:tblPr>
      <w:tblGrid>
        <w:gridCol w:w="10512"/>
      </w:tblGrid>
      <w:tr>
        <w:tc>
          <w:tcPr>
            <w:tcW w:type="dxa" w:w="10512"/>
            <w:shd w:fill="FCEBDF" w:color="auto" w:val="clear"/>
            <w:tcMar>
              <w:top w:type="dxa" w:w="110"/>
              <w:left w:type="dxa" w:w="160"/>
              <w:bottom w:type="dxa" w:w="110"/>
              <w:right w:type="dxa" w:w="160"/>
            </w:tcMar>
          </w:tcPr>
          <w:p>
            <w:pPr>
              <w:spacing w:after="0" w:line="270"/>
            </w:pPr>
            <w:r>
              <w:rPr>
                <w:rFonts w:ascii="Calibri" w:cs="Calibri" w:eastAsia="Calibri" w:hAnsi="Calibri"/>
                <w:b/>
                <w:bCs/>
                <w:color w:val="D2440C"/>
                <w:sz w:val="19"/>
                <w:szCs w:val="19"/>
              </w:rPr>
              <w:t xml:space="preserve">Volume caveat. </w:t>
            </w:r>
            <w:r>
              <w:rPr>
                <w:rFonts w:ascii="Calibri" w:cs="Calibri" w:eastAsia="Calibri" w:hAnsi="Calibri"/>
                <w:color w:val="1A1A1A"/>
                <w:sz w:val="19"/>
                <w:szCs w:val="19"/>
              </w:rPr>
              <w:t xml:space="preserve">The Semrush MCP returned no data during this research because the account is out of API units. The volume signals below are directional estimates from public sources, not verified Semrush figures. Validate every row in Ahrefs or Semrush before committing engineering time.</w:t>
            </w:r>
          </w:p>
        </w:tc>
      </w:tr>
    </w:tbl>
    <w:p>
      <w:pPr>
        <w:spacing w:after="120"/>
      </w:pPr>
    </w:p>
    <w:tbl>
      <w:tblPr>
        <w:tblW w:type="dxa" w:w="10512"/>
        <w:tblBorders>
          <w:top w:val="single" w:color="C9CFD8" w:sz="4"/>
          <w:left w:val="single" w:color="C9CFD8" w:sz="4"/>
          <w:bottom w:val="single" w:color="C9CFD8" w:sz="4"/>
          <w:right w:val="single" w:color="C9CFD8" w:sz="4"/>
          <w:insideH w:val="single" w:color="DDE1E8" w:sz="3"/>
          <w:insideV w:val="single" w:color="DDE1E8" w:sz="3"/>
        </w:tblBorders>
      </w:tblPr>
      <w:tblGrid>
        <w:gridCol w:w="2500"/>
        <w:gridCol w:w="1400"/>
        <w:gridCol w:w="2900"/>
        <w:gridCol w:w="1900"/>
        <w:gridCol w:w="1812"/>
      </w:tblGrid>
      <w:tr>
        <w:trPr>
          <w:cantSplit/>
          <w:tblHeader/>
        </w:trPr>
        <w:tc>
          <w:tcPr>
            <w:tcW w:type="dxa" w:w="250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Idea</w:t>
            </w:r>
          </w:p>
        </w:tc>
        <w:tc>
          <w:tcPr>
            <w:tcW w:type="dxa" w:w="140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Type</w:t>
            </w:r>
          </w:p>
        </w:tc>
        <w:tc>
          <w:tcPr>
            <w:tcW w:type="dxa" w:w="290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Target keywords</w:t>
            </w:r>
          </w:p>
        </w:tc>
        <w:tc>
          <w:tcPr>
            <w:tcW w:type="dxa" w:w="190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Rough volume signal</w:t>
            </w:r>
          </w:p>
        </w:tc>
        <w:tc>
          <w:tcPr>
            <w:tcW w:type="dxa" w:w="1812"/>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Priority</w:t>
            </w:r>
          </w:p>
        </w:tc>
      </w:tr>
      <w:tr>
        <w:trPr>
          <w:cantSplit/>
        </w:trPr>
        <w:tc>
          <w:tcPr>
            <w:tcW w:type="dxa" w:w="2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eSignature legality by US state</w:t>
            </w:r>
          </w:p>
        </w:tc>
        <w:tc>
          <w:tcPr>
            <w:tcW w:type="dxa" w:w="14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Legality hub</w:t>
            </w:r>
          </w:p>
        </w:tc>
        <w:tc>
          <w:tcPr>
            <w:tcW w:type="dxa" w:w="2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is an electronic signature legal in [state]</w:t>
            </w:r>
          </w:p>
        </w:tc>
        <w:tc>
          <w:tcPr>
            <w:tcW w:type="dxa" w:w="1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Medium, wide long tail</w:t>
            </w:r>
          </w:p>
        </w:tc>
        <w:tc>
          <w:tcPr>
            <w:tcW w:type="dxa" w:w="18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PO1</w:t>
            </w:r>
          </w:p>
        </w:tc>
      </w:tr>
      <w:tr>
        <w:trPr>
          <w:cantSplit/>
        </w:trPr>
        <w:tc>
          <w:tcPr>
            <w:tcW w:type="dxa" w:w="25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eSignature legality by country</w:t>
            </w:r>
          </w:p>
        </w:tc>
        <w:tc>
          <w:tcPr>
            <w:tcW w:type="dxa" w:w="14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Legality hub</w:t>
            </w:r>
          </w:p>
        </w:tc>
        <w:tc>
          <w:tcPr>
            <w:tcW w:type="dxa" w:w="2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electronic signature legal [country]</w:t>
            </w:r>
          </w:p>
        </w:tc>
        <w:tc>
          <w:tcPr>
            <w:tcW w:type="dxa" w:w="1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Medium, global long tail</w:t>
            </w:r>
          </w:p>
        </w:tc>
        <w:tc>
          <w:tcPr>
            <w:tcW w:type="dxa" w:w="181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PO1</w:t>
            </w:r>
          </w:p>
        </w:tc>
      </w:tr>
      <w:tr>
        <w:trPr>
          <w:cantSplit/>
        </w:trPr>
        <w:tc>
          <w:tcPr>
            <w:tcW w:type="dxa" w:w="2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NDA template plus sign</w:t>
            </w:r>
          </w:p>
        </w:tc>
        <w:tc>
          <w:tcPr>
            <w:tcW w:type="dxa" w:w="14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Template</w:t>
            </w:r>
          </w:p>
        </w:tc>
        <w:tc>
          <w:tcPr>
            <w:tcW w:type="dxa" w:w="2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nda template, free nda</w:t>
            </w:r>
          </w:p>
        </w:tc>
        <w:tc>
          <w:tcPr>
            <w:tcW w:type="dxa" w:w="1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High</w:t>
            </w:r>
          </w:p>
        </w:tc>
        <w:tc>
          <w:tcPr>
            <w:tcW w:type="dxa" w:w="18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PO1</w:t>
            </w:r>
          </w:p>
        </w:tc>
      </w:tr>
      <w:tr>
        <w:trPr>
          <w:cantSplit/>
        </w:trPr>
        <w:tc>
          <w:tcPr>
            <w:tcW w:type="dxa" w:w="25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Offer letter template plus sign</w:t>
            </w:r>
          </w:p>
        </w:tc>
        <w:tc>
          <w:tcPr>
            <w:tcW w:type="dxa" w:w="14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Template</w:t>
            </w:r>
          </w:p>
        </w:tc>
        <w:tc>
          <w:tcPr>
            <w:tcW w:type="dxa" w:w="2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offer letter template</w:t>
            </w:r>
          </w:p>
        </w:tc>
        <w:tc>
          <w:tcPr>
            <w:tcW w:type="dxa" w:w="1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High</w:t>
            </w:r>
          </w:p>
        </w:tc>
        <w:tc>
          <w:tcPr>
            <w:tcW w:type="dxa" w:w="181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PO1</w:t>
            </w:r>
          </w:p>
        </w:tc>
      </w:tr>
      <w:tr>
        <w:trPr>
          <w:cantSplit/>
        </w:trPr>
        <w:tc>
          <w:tcPr>
            <w:tcW w:type="dxa" w:w="2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Lease agreement template plus sign</w:t>
            </w:r>
          </w:p>
        </w:tc>
        <w:tc>
          <w:tcPr>
            <w:tcW w:type="dxa" w:w="14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Template</w:t>
            </w:r>
          </w:p>
        </w:tc>
        <w:tc>
          <w:tcPr>
            <w:tcW w:type="dxa" w:w="2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lease agreement template</w:t>
            </w:r>
          </w:p>
        </w:tc>
        <w:tc>
          <w:tcPr>
            <w:tcW w:type="dxa" w:w="1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High</w:t>
            </w:r>
          </w:p>
        </w:tc>
        <w:tc>
          <w:tcPr>
            <w:tcW w:type="dxa" w:w="18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PO1</w:t>
            </w:r>
          </w:p>
        </w:tc>
      </w:tr>
      <w:tr>
        <w:trPr>
          <w:cantSplit/>
        </w:trPr>
        <w:tc>
          <w:tcPr>
            <w:tcW w:type="dxa" w:w="25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Consulting and service agreement template</w:t>
            </w:r>
          </w:p>
        </w:tc>
        <w:tc>
          <w:tcPr>
            <w:tcW w:type="dxa" w:w="14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Template</w:t>
            </w:r>
          </w:p>
        </w:tc>
        <w:tc>
          <w:tcPr>
            <w:tcW w:type="dxa" w:w="2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consulting agreement template</w:t>
            </w:r>
          </w:p>
        </w:tc>
        <w:tc>
          <w:tcPr>
            <w:tcW w:type="dxa" w:w="1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Medium to high</w:t>
            </w:r>
          </w:p>
        </w:tc>
        <w:tc>
          <w:tcPr>
            <w:tcW w:type="dxa" w:w="181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PO2</w:t>
            </w:r>
          </w:p>
        </w:tc>
      </w:tr>
      <w:tr>
        <w:trPr>
          <w:cantSplit/>
        </w:trPr>
        <w:tc>
          <w:tcPr>
            <w:tcW w:type="dxa" w:w="2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Agreement and contract generator</w:t>
            </w:r>
          </w:p>
        </w:tc>
        <w:tc>
          <w:tcPr>
            <w:tcW w:type="dxa" w:w="14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Generator tool</w:t>
            </w:r>
          </w:p>
        </w:tc>
        <w:tc>
          <w:tcPr>
            <w:tcW w:type="dxa" w:w="2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contract generator, agreement generator</w:t>
            </w:r>
          </w:p>
        </w:tc>
        <w:tc>
          <w:tcPr>
            <w:tcW w:type="dxa" w:w="1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Medium</w:t>
            </w:r>
          </w:p>
        </w:tc>
        <w:tc>
          <w:tcPr>
            <w:tcW w:type="dxa" w:w="18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PO2</w:t>
            </w:r>
          </w:p>
        </w:tc>
      </w:tr>
      <w:tr>
        <w:trPr>
          <w:cantSplit/>
        </w:trPr>
        <w:tc>
          <w:tcPr>
            <w:tcW w:type="dxa" w:w="25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W-9 and tax form filler</w:t>
            </w:r>
          </w:p>
        </w:tc>
        <w:tc>
          <w:tcPr>
            <w:tcW w:type="dxa" w:w="14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Form filler</w:t>
            </w:r>
          </w:p>
        </w:tc>
        <w:tc>
          <w:tcPr>
            <w:tcW w:type="dxa" w:w="2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fill w9 online</w:t>
            </w:r>
          </w:p>
        </w:tc>
        <w:tc>
          <w:tcPr>
            <w:tcW w:type="dxa" w:w="1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Medium to high</w:t>
            </w:r>
          </w:p>
        </w:tc>
        <w:tc>
          <w:tcPr>
            <w:tcW w:type="dxa" w:w="181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PO2</w:t>
            </w:r>
          </w:p>
        </w:tc>
      </w:tr>
      <w:tr>
        <w:trPr>
          <w:cantSplit/>
        </w:trPr>
        <w:tc>
          <w:tcPr>
            <w:tcW w:type="dxa" w:w="2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Best free eSignature software</w:t>
            </w:r>
          </w:p>
        </w:tc>
        <w:tc>
          <w:tcPr>
            <w:tcW w:type="dxa" w:w="14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Listicle</w:t>
            </w:r>
          </w:p>
        </w:tc>
        <w:tc>
          <w:tcPr>
            <w:tcW w:type="dxa" w:w="2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best free esignature software</w:t>
            </w:r>
          </w:p>
        </w:tc>
        <w:tc>
          <w:tcPr>
            <w:tcW w:type="dxa" w:w="1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Medium to high, high intent</w:t>
            </w:r>
          </w:p>
        </w:tc>
        <w:tc>
          <w:tcPr>
            <w:tcW w:type="dxa" w:w="18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PO2</w:t>
            </w:r>
          </w:p>
        </w:tc>
      </w:tr>
      <w:tr>
        <w:trPr>
          <w:cantSplit/>
        </w:trPr>
        <w:tc>
          <w:tcPr>
            <w:tcW w:type="dxa" w:w="25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BoldSign vs DocuSign</w:t>
            </w:r>
          </w:p>
        </w:tc>
        <w:tc>
          <w:tcPr>
            <w:tcW w:type="dxa" w:w="14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Comparison</w:t>
            </w:r>
          </w:p>
        </w:tc>
        <w:tc>
          <w:tcPr>
            <w:tcW w:type="dxa" w:w="2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docusign alternative, boldsign vs docusign</w:t>
            </w:r>
          </w:p>
        </w:tc>
        <w:tc>
          <w:tcPr>
            <w:tcW w:type="dxa" w:w="1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Medium, high intent</w:t>
            </w:r>
          </w:p>
        </w:tc>
        <w:tc>
          <w:tcPr>
            <w:tcW w:type="dxa" w:w="181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PO2</w:t>
            </w:r>
          </w:p>
        </w:tc>
      </w:tr>
      <w:tr>
        <w:trPr>
          <w:cantSplit/>
        </w:trPr>
        <w:tc>
          <w:tcPr>
            <w:tcW w:type="dxa" w:w="2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BoldSign plus Salesforce, HubSpot, Zapier</w:t>
            </w:r>
          </w:p>
        </w:tc>
        <w:tc>
          <w:tcPr>
            <w:tcW w:type="dxa" w:w="14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Integration</w:t>
            </w:r>
          </w:p>
        </w:tc>
        <w:tc>
          <w:tcPr>
            <w:tcW w:type="dxa" w:w="2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[app] esignature integration</w:t>
            </w:r>
          </w:p>
        </w:tc>
        <w:tc>
          <w:tcPr>
            <w:tcW w:type="dxa" w:w="1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Long tail, high intent</w:t>
            </w:r>
          </w:p>
        </w:tc>
        <w:tc>
          <w:tcPr>
            <w:tcW w:type="dxa" w:w="18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PO2</w:t>
            </w:r>
          </w:p>
        </w:tc>
      </w:tr>
      <w:tr>
        <w:trPr>
          <w:cantSplit/>
        </w:trPr>
        <w:tc>
          <w:tcPr>
            <w:tcW w:type="dxa" w:w="25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Signature generator, already live</w:t>
            </w:r>
          </w:p>
        </w:tc>
        <w:tc>
          <w:tcPr>
            <w:tcW w:type="dxa" w:w="14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Tool</w:t>
            </w:r>
          </w:p>
        </w:tc>
        <w:tc>
          <w:tcPr>
            <w:tcW w:type="dxa" w:w="2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signature generator, online signature</w:t>
            </w:r>
          </w:p>
        </w:tc>
        <w:tc>
          <w:tcPr>
            <w:tcW w:type="dxa" w:w="19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High</w:t>
            </w:r>
          </w:p>
        </w:tc>
        <w:tc>
          <w:tcPr>
            <w:tcW w:type="dxa" w:w="181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Maintain and gate</w:t>
            </w:r>
          </w:p>
        </w:tc>
      </w:tr>
      <w:tr>
        <w:trPr>
          <w:cantSplit/>
        </w:trPr>
        <w:tc>
          <w:tcPr>
            <w:tcW w:type="dxa" w:w="2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eSignature API sandbox</w:t>
            </w:r>
          </w:p>
        </w:tc>
        <w:tc>
          <w:tcPr>
            <w:tcW w:type="dxa" w:w="14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Developer tool</w:t>
            </w:r>
          </w:p>
        </w:tc>
        <w:tc>
          <w:tcPr>
            <w:tcW w:type="dxa" w:w="2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esignature api, free esignature api</w:t>
            </w:r>
          </w:p>
        </w:tc>
        <w:tc>
          <w:tcPr>
            <w:tcW w:type="dxa" w:w="19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Medium, high value</w:t>
            </w:r>
          </w:p>
        </w:tc>
        <w:tc>
          <w:tcPr>
            <w:tcW w:type="dxa" w:w="18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PO2</w:t>
            </w:r>
          </w:p>
        </w:tc>
      </w:tr>
    </w:tbl>
    <w:p>
      <w:pPr>
        <w:pStyle w:val="Heading1"/>
        <w:pBdr>
          <w:bottom w:val="single" w:color="FF4800" w:sz="12" w:space="6"/>
        </w:pBdr>
        <w:spacing w:after="160" w:before="340"/>
      </w:pPr>
      <w:r>
        <w:rPr>
          <w:rFonts w:ascii="Calibri" w:cs="Calibri" w:eastAsia="Calibri" w:hAnsi="Calibri"/>
          <w:b/>
          <w:bCs/>
          <w:color w:val="283A5E"/>
          <w:sz w:val="28"/>
          <w:szCs w:val="28"/>
        </w:rPr>
        <w:t xml:space="preserve">10. Experiment tracker</w:t>
      </w:r>
    </w:p>
    <w:p>
      <w:pPr>
        <w:spacing w:after="120" w:before="0" w:line="276"/>
      </w:pPr>
      <w:r>
        <w:rPr>
          <w:rFonts w:ascii="Calibri" w:cs="Calibri" w:eastAsia="Calibri" w:hAnsi="Calibri"/>
          <w:b w:val="false"/>
          <w:bCs w:val="false"/>
          <w:i w:val="false"/>
          <w:iCs w:val="false"/>
          <w:color w:val="1A1A1A"/>
          <w:sz w:val="20"/>
          <w:szCs w:val="20"/>
        </w:rPr>
        <w:t xml:space="preserve">Standard format, ready to paste into the running tracker. Launch dates left blank for you to fill.</w:t>
      </w:r>
    </w:p>
    <w:tbl>
      <w:tblPr>
        <w:tblW w:type="dxa" w:w="10512"/>
        <w:tblBorders>
          <w:top w:val="single" w:color="C9CFD8" w:sz="4"/>
          <w:left w:val="single" w:color="C9CFD8" w:sz="4"/>
          <w:bottom w:val="single" w:color="C9CFD8" w:sz="4"/>
          <w:right w:val="single" w:color="C9CFD8" w:sz="4"/>
          <w:insideH w:val="single" w:color="DDE1E8" w:sz="3"/>
          <w:insideV w:val="single" w:color="DDE1E8" w:sz="3"/>
        </w:tblBorders>
      </w:tblPr>
      <w:tblGrid>
        <w:gridCol w:w="2100"/>
        <w:gridCol w:w="2600"/>
        <w:gridCol w:w="1150"/>
        <w:gridCol w:w="1500"/>
        <w:gridCol w:w="1750"/>
        <w:gridCol w:w="1412"/>
      </w:tblGrid>
      <w:tr>
        <w:trPr>
          <w:cantSplit/>
          <w:tblHeader/>
        </w:trPr>
        <w:tc>
          <w:tcPr>
            <w:tcW w:type="dxa" w:w="210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Experiment</w:t>
            </w:r>
          </w:p>
        </w:tc>
        <w:tc>
          <w:tcPr>
            <w:tcW w:type="dxa" w:w="260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Hypothesis</w:t>
            </w:r>
          </w:p>
        </w:tc>
        <w:tc>
          <w:tcPr>
            <w:tcW w:type="dxa" w:w="115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Launch date</w:t>
            </w:r>
          </w:p>
        </w:tc>
        <w:tc>
          <w:tcPr>
            <w:tcW w:type="dxa" w:w="150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Expected result window</w:t>
            </w:r>
          </w:p>
        </w:tc>
        <w:tc>
          <w:tcPr>
            <w:tcW w:type="dxa" w:w="1750"/>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Primary metric</w:t>
            </w:r>
          </w:p>
        </w:tc>
        <w:tc>
          <w:tcPr>
            <w:tcW w:type="dxa" w:w="1412"/>
            <w:shd w:fill="283A5E" w:color="auto" w:val="clear"/>
            <w:tcMar>
              <w:top w:type="dxa" w:w="70"/>
              <w:left w:type="dxa" w:w="90"/>
              <w:bottom w:type="dxa" w:w="70"/>
              <w:right w:type="dxa" w:w="90"/>
            </w:tcMar>
            <w:vAlign w:val="center"/>
          </w:tcPr>
          <w:p>
            <w:pPr>
              <w:spacing w:after="0" w:line="250"/>
            </w:pPr>
            <w:r>
              <w:rPr>
                <w:rFonts w:ascii="Calibri" w:cs="Calibri" w:eastAsia="Calibri" w:hAnsi="Calibri"/>
                <w:b/>
                <w:bCs/>
                <w:i w:val="false"/>
                <w:iCs w:val="false"/>
                <w:color w:val="FFFFFF"/>
                <w:sz w:val="16"/>
                <w:szCs w:val="16"/>
              </w:rPr>
              <w:t xml:space="preserve">Tracking status</w:t>
            </w:r>
          </w:p>
        </w:tc>
      </w:tr>
      <w:tr>
        <w:trPr>
          <w:cantSplit/>
        </w:trPr>
        <w:tc>
          <w:tcPr>
            <w:tcW w:type="dxa" w:w="21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Contextual CTA on top 5 tool pages</w:t>
            </w:r>
          </w:p>
        </w:tc>
        <w:tc>
          <w:tcPr>
            <w:tcW w:type="dxa" w:w="26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Tool matched CTAs lift signups per 1,000 visits versus a generic footer</w:t>
            </w:r>
          </w:p>
        </w:tc>
        <w:tc>
          <w:tcPr>
            <w:tcW w:type="dxa" w:w="11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
            </w:r>
          </w:p>
        </w:tc>
        <w:tc>
          <w:tcPr>
            <w:tcW w:type="dxa" w:w="1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4 weeks</w:t>
            </w:r>
          </w:p>
        </w:tc>
        <w:tc>
          <w:tcPr>
            <w:tcW w:type="dxa" w:w="17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Signups per 1,000 tool visits</w:t>
            </w:r>
          </w:p>
        </w:tc>
        <w:tc>
          <w:tcPr>
            <w:tcW w:type="dxa" w:w="14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Not started</w:t>
            </w:r>
          </w:p>
        </w:tc>
      </w:tr>
      <w:tr>
        <w:trPr>
          <w:cantSplit/>
        </w:trPr>
        <w:tc>
          <w:tcPr>
            <w:tcW w:type="dxa" w:w="21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Account gated save and send on Sign PDF</w:t>
            </w:r>
          </w:p>
        </w:tc>
        <w:tc>
          <w:tcPr>
            <w:tcW w:type="dxa" w:w="26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Gating the valuable step converts pain mode users without killing traffic</w:t>
            </w:r>
          </w:p>
        </w:tc>
        <w:tc>
          <w:tcPr>
            <w:tcW w:type="dxa" w:w="115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
            </w:r>
          </w:p>
        </w:tc>
        <w:tc>
          <w:tcPr>
            <w:tcW w:type="dxa" w:w="15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4 to 6 weeks</w:t>
            </w:r>
          </w:p>
        </w:tc>
        <w:tc>
          <w:tcPr>
            <w:tcW w:type="dxa" w:w="175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Tool to signup rate</w:t>
            </w:r>
          </w:p>
        </w:tc>
        <w:tc>
          <w:tcPr>
            <w:tcW w:type="dxa" w:w="141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Not started</w:t>
            </w:r>
          </w:p>
        </w:tc>
      </w:tr>
      <w:tr>
        <w:trPr>
          <w:cantSplit/>
        </w:trPr>
        <w:tc>
          <w:tcPr>
            <w:tcW w:type="dxa" w:w="21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Legality hub, US federal plus 5 states</w:t>
            </w:r>
          </w:p>
        </w:tc>
        <w:tc>
          <w:tcPr>
            <w:tcW w:type="dxa" w:w="26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Legality pages rank and earn links within a quarter</w:t>
            </w:r>
          </w:p>
        </w:tc>
        <w:tc>
          <w:tcPr>
            <w:tcW w:type="dxa" w:w="11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
            </w:r>
          </w:p>
        </w:tc>
        <w:tc>
          <w:tcPr>
            <w:tcW w:type="dxa" w:w="1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8 to 12 weeks</w:t>
            </w:r>
          </w:p>
        </w:tc>
        <w:tc>
          <w:tcPr>
            <w:tcW w:type="dxa" w:w="17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Ranking pages and referring domains</w:t>
            </w:r>
          </w:p>
        </w:tc>
        <w:tc>
          <w:tcPr>
            <w:tcW w:type="dxa" w:w="14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Not started</w:t>
            </w:r>
          </w:p>
        </w:tc>
      </w:tr>
      <w:tr>
        <w:trPr>
          <w:cantSplit/>
        </w:trPr>
        <w:tc>
          <w:tcPr>
            <w:tcW w:type="dxa" w:w="21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Template library, 25 pages</w:t>
            </w:r>
          </w:p>
        </w:tc>
        <w:tc>
          <w:tcPr>
            <w:tcW w:type="dxa" w:w="26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"[doc] template" pages convert above site average to signup</w:t>
            </w:r>
          </w:p>
        </w:tc>
        <w:tc>
          <w:tcPr>
            <w:tcW w:type="dxa" w:w="115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
            </w:r>
          </w:p>
        </w:tc>
        <w:tc>
          <w:tcPr>
            <w:tcW w:type="dxa" w:w="15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8 to 12 weeks</w:t>
            </w:r>
          </w:p>
        </w:tc>
        <w:tc>
          <w:tcPr>
            <w:tcW w:type="dxa" w:w="175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Template page to signup rate</w:t>
            </w:r>
          </w:p>
        </w:tc>
        <w:tc>
          <w:tcPr>
            <w:tcW w:type="dxa" w:w="141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Not started</w:t>
            </w:r>
          </w:p>
        </w:tc>
      </w:tr>
      <w:tr>
        <w:trPr>
          <w:cantSplit/>
        </w:trPr>
        <w:tc>
          <w:tcPr>
            <w:tcW w:type="dxa" w:w="21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Comparison pages, 10 pages</w:t>
            </w:r>
          </w:p>
        </w:tc>
        <w:tc>
          <w:tcPr>
            <w:tcW w:type="dxa" w:w="26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Vs and alternative pages convert high intent searchers</w:t>
            </w:r>
          </w:p>
        </w:tc>
        <w:tc>
          <w:tcPr>
            <w:tcW w:type="dxa" w:w="11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
            </w:r>
          </w:p>
        </w:tc>
        <w:tc>
          <w:tcPr>
            <w:tcW w:type="dxa" w:w="1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4 to 8 weeks</w:t>
            </w:r>
          </w:p>
        </w:tc>
        <w:tc>
          <w:tcPr>
            <w:tcW w:type="dxa" w:w="17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Comparison page signups</w:t>
            </w:r>
          </w:p>
        </w:tc>
        <w:tc>
          <w:tcPr>
            <w:tcW w:type="dxa" w:w="14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Not started</w:t>
            </w:r>
          </w:p>
        </w:tc>
      </w:tr>
      <w:tr>
        <w:trPr>
          <w:cantSplit/>
        </w:trPr>
        <w:tc>
          <w:tcPr>
            <w:tcW w:type="dxa" w:w="21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Best-[tool] listicles, 10 posts</w:t>
            </w:r>
          </w:p>
        </w:tc>
        <w:tc>
          <w:tcPr>
            <w:tcW w:type="dxa" w:w="26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Best of posts capture top of funnel and assist signups</w:t>
            </w:r>
          </w:p>
        </w:tc>
        <w:tc>
          <w:tcPr>
            <w:tcW w:type="dxa" w:w="115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
            </w:r>
          </w:p>
        </w:tc>
        <w:tc>
          <w:tcPr>
            <w:tcW w:type="dxa" w:w="150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8 to 12 weeks</w:t>
            </w:r>
          </w:p>
        </w:tc>
        <w:tc>
          <w:tcPr>
            <w:tcW w:type="dxa" w:w="1750"/>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Listicle rankings and assisted signups</w:t>
            </w:r>
          </w:p>
        </w:tc>
        <w:tc>
          <w:tcPr>
            <w:tcW w:type="dxa" w:w="1412"/>
            <w:shd w:fill="FCEBDF" w:color="auto" w:val="clear"/>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Not started</w:t>
            </w:r>
          </w:p>
        </w:tc>
      </w:tr>
      <w:tr>
        <w:trPr>
          <w:cantSplit/>
        </w:trPr>
        <w:tc>
          <w:tcPr>
            <w:tcW w:type="dxa" w:w="21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Privacy angle A/B on tool pages</w:t>
            </w:r>
          </w:p>
        </w:tc>
        <w:tc>
          <w:tcPr>
            <w:tcW w:type="dxa" w:w="26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Processed in your browser, never uploaded lifts trust and completion</w:t>
            </w:r>
          </w:p>
        </w:tc>
        <w:tc>
          <w:tcPr>
            <w:tcW w:type="dxa" w:w="11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
            </w:r>
          </w:p>
        </w:tc>
        <w:tc>
          <w:tcPr>
            <w:tcW w:type="dxa" w:w="150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4 weeks</w:t>
            </w:r>
          </w:p>
        </w:tc>
        <w:tc>
          <w:tcPr>
            <w:tcW w:type="dxa" w:w="1750"/>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Tool completion rate</w:t>
            </w:r>
          </w:p>
        </w:tc>
        <w:tc>
          <w:tcPr>
            <w:tcW w:type="dxa" w:w="1412"/>
            <w:tcMar>
              <w:top w:type="dxa" w:w="70"/>
              <w:left w:type="dxa" w:w="90"/>
              <w:bottom w:type="dxa" w:w="70"/>
              <w:right w:type="dxa" w:w="90"/>
            </w:tcMar>
            <w:vAlign w:val="center"/>
          </w:tcPr>
          <w:p>
            <w:pPr>
              <w:spacing w:after="0" w:line="250"/>
            </w:pPr>
            <w:r>
              <w:rPr>
                <w:rFonts w:ascii="Calibri" w:cs="Calibri" w:eastAsia="Calibri" w:hAnsi="Calibri"/>
                <w:b w:val="false"/>
                <w:bCs w:val="false"/>
                <w:i w:val="false"/>
                <w:iCs w:val="false"/>
                <w:color w:val="1A1A1A"/>
                <w:sz w:val="16"/>
                <w:szCs w:val="16"/>
              </w:rPr>
              <w:t xml:space="preserve">Not started</w:t>
            </w:r>
          </w:p>
        </w:tc>
      </w:tr>
    </w:tbl>
    <w:p>
      <w:pPr>
        <w:pStyle w:val="Heading1"/>
        <w:pBdr>
          <w:bottom w:val="single" w:color="FF4800" w:sz="12" w:space="6"/>
        </w:pBdr>
        <w:spacing w:after="160" w:before="340"/>
      </w:pPr>
      <w:r>
        <w:rPr>
          <w:rFonts w:ascii="Calibri" w:cs="Calibri" w:eastAsia="Calibri" w:hAnsi="Calibri"/>
          <w:b/>
          <w:bCs/>
          <w:color w:val="283A5E"/>
          <w:sz w:val="28"/>
          <w:szCs w:val="28"/>
        </w:rPr>
        <w:t xml:space="preserve">11. Data quality and caveats</w:t>
      </w:r>
    </w:p>
    <w:p>
      <w:pPr>
        <w:pStyle w:val="ListParagraph"/>
        <w:numPr>
          <w:ilvl w:val="0"/>
          <w:numId w:val="2"/>
        </w:numPr>
        <w:spacing w:after="70" w:line="276"/>
      </w:pPr>
      <w:r>
        <w:rPr>
          <w:rFonts w:ascii="Calibri" w:cs="Calibri" w:eastAsia="Calibri" w:hAnsi="Calibri"/>
          <w:color w:val="1A1A1A"/>
          <w:sz w:val="20"/>
          <w:szCs w:val="20"/>
        </w:rPr>
        <w:t xml:space="preserve">The Semrush MCP returned no data because the account is out of API units. All traffic and volume figures in this document come from public sources, competitor teardowns and third party tools. Treat them as directional. Ask the Semrush account owner to allocate API units if you want first party numbers.</w:t>
      </w:r>
    </w:p>
    <w:p>
      <w:pPr>
        <w:pStyle w:val="ListParagraph"/>
        <w:numPr>
          <w:ilvl w:val="0"/>
          <w:numId w:val="2"/>
        </w:numPr>
        <w:spacing w:after="70" w:line="276"/>
      </w:pPr>
      <w:r>
        <w:rPr>
          <w:rFonts w:ascii="Calibri" w:cs="Calibri" w:eastAsia="Calibri" w:hAnsi="Calibri"/>
          <w:color w:val="1A1A1A"/>
          <w:sz w:val="20"/>
          <w:szCs w:val="20"/>
        </w:rPr>
        <w:t xml:space="preserve">Competitor traffic figures come from third party case studies and public Semrush snapshots, not company dashboards, and the sources disagree with each other. Ahrefs credits Zapier integration pages with roughly 16 percent of traffic while the best-apps listicles drive 60 percent plus. Do not repeat the common claim that integration pages alone drive 60 percent, it does not hold up.</w:t>
      </w:r>
    </w:p>
    <w:p>
      <w:pPr>
        <w:pStyle w:val="ListParagraph"/>
        <w:numPr>
          <w:ilvl w:val="0"/>
          <w:numId w:val="2"/>
        </w:numPr>
        <w:spacing w:after="70" w:line="276"/>
      </w:pPr>
      <w:r>
        <w:rPr>
          <w:rFonts w:ascii="Calibri" w:cs="Calibri" w:eastAsia="Calibri" w:hAnsi="Calibri"/>
          <w:color w:val="1A1A1A"/>
          <w:sz w:val="20"/>
          <w:szCs w:val="20"/>
        </w:rPr>
        <w:t xml:space="preserve">PandaDoc's figure of roughly 853,700 organic visits and the PDF tool visit counts are likewise third party estimates.</w:t>
      </w:r>
    </w:p>
    <w:p>
      <w:pPr>
        <w:pStyle w:val="ListParagraph"/>
        <w:numPr>
          <w:ilvl w:val="0"/>
          <w:numId w:val="2"/>
        </w:numPr>
        <w:spacing w:after="70" w:line="276"/>
      </w:pPr>
      <w:r>
        <w:rPr>
          <w:rFonts w:ascii="Calibri" w:cs="Calibri" w:eastAsia="Calibri" w:hAnsi="Calibri"/>
          <w:color w:val="1A1A1A"/>
          <w:sz w:val="20"/>
          <w:szCs w:val="20"/>
        </w:rPr>
        <w:t xml:space="preserve">Video metadata such as dates, runtimes and some channel names is unconfirmed because YouTube blocked fetches. The URLs themselves were verified as real via search.</w:t>
      </w:r>
    </w:p>
    <w:p>
      <w:pPr>
        <w:pStyle w:val="ListParagraph"/>
        <w:numPr>
          <w:ilvl w:val="0"/>
          <w:numId w:val="2"/>
        </w:numPr>
        <w:spacing w:after="70" w:line="276"/>
      </w:pPr>
      <w:r>
        <w:rPr>
          <w:rFonts w:ascii="Calibri" w:cs="Calibri" w:eastAsia="Calibri" w:hAnsi="Calibri"/>
          <w:color w:val="1A1A1A"/>
          <w:sz w:val="20"/>
          <w:szCs w:val="20"/>
        </w:rPr>
        <w:t xml:space="preserve">Several Reddit and Indie Hackers data points are individual anecdotes rather than studies. The percentages quoted inside those posts are illustrative only.</w:t>
      </w:r>
    </w:p>
    <w:p>
      <w:pPr>
        <w:pStyle w:val="ListParagraph"/>
        <w:numPr>
          <w:ilvl w:val="0"/>
          <w:numId w:val="2"/>
        </w:numPr>
        <w:spacing w:after="70" w:line="276"/>
      </w:pPr>
      <w:r>
        <w:rPr>
          <w:rFonts w:ascii="Calibri" w:cs="Calibri" w:eastAsia="Calibri" w:hAnsi="Calibri"/>
          <w:color w:val="1A1A1A"/>
          <w:sz w:val="20"/>
          <w:szCs w:val="20"/>
        </w:rPr>
        <w:t xml:space="preserve">Conversion benchmarks vary widely by trial model and by source. First Page Sage reports opt in trial to paid at 18.2 percent while ChartMogul reports 8.9 percent. The right target for BoldSign depends on your specific funnel, so instrument first and benchmark second.</w:t>
      </w:r>
    </w:p>
    <w:p>
      <w:pPr>
        <w:spacing w:after="200"/>
      </w:pPr>
    </w:p>
    <w:p>
      <w:pPr>
        <w:pBdr>
          <w:top w:val="single" w:color="FF4800" w:sz="12" w:space="8"/>
        </w:pBdr>
        <w:spacing w:before="200"/>
      </w:pPr>
      <w:r>
        <w:rPr>
          <w:rFonts w:ascii="Calibri" w:cs="Calibri" w:eastAsia="Calibri" w:hAnsi="Calibri"/>
          <w:color w:val="5A6472"/>
          <w:sz w:val="16"/>
          <w:szCs w:val="16"/>
        </w:rPr>
        <w:t xml:space="preserve">BoldSign SEO  |  Prepared for handoff to Meikandan, SEO Manager</w:t>
      </w:r>
    </w:p>
    <w:sectPr>
      <w:headerReference w:type="default" r:id="rId7"/>
      <w:footerReference w:type="default" r:id="rId8"/>
      <w:pgSz w:w="12240" w:h="15840" w:orient="portrait"/>
      <w:pgMar w:top="1000" w:right="864" w:bottom="1000" w:left="864"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6472"/>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8" w:sz="4" w:space="4"/>
      </w:pBdr>
      <w:spacing w:after="0"/>
      <w:jc w:val="right"/>
    </w:pPr>
    <w:r>
      <w:rPr>
        <w:rFonts w:ascii="Calibri" w:cs="Calibri" w:eastAsia="Calibri" w:hAnsi="Calibri"/>
        <w:color w:val="5A6472"/>
        <w:sz w:val="15"/>
        <w:szCs w:val="15"/>
      </w:rPr>
      <w:t xml:space="preserve">BoldSign SEO  |  Traffic Generation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FF4800"/>
      </w:rPr>
    </w:lvl>
    <w:lvl w:ilvl="1" w15:tentative="1">
      <w:start w:val="1"/>
      <w:numFmt w:val="bullet"/>
      <w:lvlText w:val="◦"/>
      <w:lvlJc w:val="left"/>
      <w:pPr>
        <w:ind w:left="720" w:hanging="220"/>
      </w:pPr>
      <w:rPr>
        <w:color w:val="FF4800"/>
      </w:rPr>
    </w:lvl>
  </w:abstractNum>
  <w:abstractNum w:abstractNumId="3" w15:restartNumberingAfterBreak="0">
    <w:multiLevelType w:val="hybridMultilevel"/>
    <w:lvl w:ilvl="0" w15:tentative="1">
      <w:start w:val="1"/>
      <w:numFmt w:val="decimal"/>
      <w:lvlText w:val="%1."/>
      <w:lvlJc w:val="left"/>
      <w:pPr>
        <w:ind w:left="400" w:hanging="260"/>
      </w:pPr>
      <w:rPr>
        <w:b/>
        <w:bCs/>
        <w:color w:val="FF4800"/>
      </w:rPr>
    </w:lvl>
  </w:abstractNum>
  <w:abstractNum w:abstractNumId="4" w15:restartNumberingAfterBreak="0">
    <w:multiLevelType w:val="hybridMultilevel"/>
    <w:lvl w:ilvl="0" w15:tentative="1">
      <w:start w:val="1"/>
      <w:numFmt w:val="decimal"/>
      <w:lvlText w:val="%1."/>
      <w:lvlJc w:val="left"/>
      <w:pPr>
        <w:ind w:left="400" w:hanging="260"/>
      </w:pPr>
      <w:rPr>
        <w:b/>
        <w:bCs/>
        <w:color w:val="FF4800"/>
      </w:rPr>
    </w:lvl>
  </w:abstractNum>
  <w:abstractNum w:abstractNumId="5" w15:restartNumberingAfterBreak="0">
    <w:multiLevelType w:val="hybridMultilevel"/>
    <w:lvl w:ilvl="0" w15:tentative="1">
      <w:start w:val="1"/>
      <w:numFmt w:val="decimal"/>
      <w:lvlText w:val="%1."/>
      <w:lvlJc w:val="left"/>
      <w:pPr>
        <w:ind w:left="400" w:hanging="260"/>
      </w:pPr>
      <w:rPr>
        <w:b/>
        <w:bCs/>
        <w:color w:val="FF480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BoldSign Traffic Generation Playbook</dc:title>
  <dc:creator>Nihal Mohamed Ali, BoldSign SEO</dc:creator>
  <dc:description>Beyond the free PDF tools hub: next traffic engines and the conversion fix</dc:description>
  <cp:lastModifiedBy>Un-named</cp:lastModifiedBy>
  <cp:revision>1</cp:revision>
  <dcterms:created xsi:type="dcterms:W3CDTF">2026-08-28T09:15:18.671Z</dcterms:created>
  <dcterms:modified xsi:type="dcterms:W3CDTF">2026-08-28T09:15:18.671Z</dcterms:modified>
</cp:coreProperties>
</file>

<file path=docProps/custom.xml><?xml version="1.0" encoding="utf-8"?>
<Properties xmlns="http://schemas.openxmlformats.org/officeDocument/2006/custom-properties" xmlns:vt="http://schemas.openxmlformats.org/officeDocument/2006/docPropsVTypes"/>
</file>