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M.Sc. ADAI  ·  SRH Heidelberg  ·  September 2026</w:t>
      </w:r>
    </w:p>
    <w:p>
      <w:pPr>
        <w:pStyle w:val="Heading1"/>
        <w:spacing w:after="80" w:before="0"/>
      </w:pPr>
      <w:r>
        <w:t xml:space="preserve">Who Did What</w:t>
      </w:r>
    </w:p>
    <w:p>
      <w:pPr>
        <w:spacing w:after="200" w:before="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Multimodal AI Content Generator — individual contributions derived from git history, the project cookbook, and the final report.</w:t>
      </w:r>
    </w:p>
    <w:p>
      <w:pPr>
        <w:pBdr>
          <w:bottom w:val="single" w:color="E2E8F0" w:sz="6"/>
        </w:pBdr>
        <w:spacing w:after="160" w:before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Best method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6"/>
                <w:szCs w:val="36"/>
              </w:rPr>
              <w:t xml:space="preserve">LR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Likelihood Ratio scorer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Spearman ρ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6"/>
                <w:szCs w:val="36"/>
              </w:rPr>
              <w:t xml:space="preserve">0.195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vs LLM judge, n = 500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Prompts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6"/>
                <w:szCs w:val="36"/>
              </w:rPr>
              <w:t xml:space="preserve">500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LOO cross-validation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6"/>
                <w:szCs w:val="16"/>
              </w:rPr>
              <w:t xml:space="preserve">Live app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6"/>
                <w:szCs w:val="36"/>
              </w:rPr>
              <w:t xml:space="preserve">3 mods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text · image · audio</w:t>
            </w:r>
          </w:p>
        </w:tc>
      </w:tr>
    </w:tbl>
    <w:p>
      <w:pPr>
        <w:spacing w:after="80" w:before="0"/>
      </w:pPr>
    </w:p>
    <w:p>
      <w:pPr>
        <w:pBdr>
          <w:bottom w:val="single" w:color="E2E8F0" w:sz="6"/>
        </w:pBdr>
        <w:spacing w:after="160" w:before="160"/>
      </w:pPr>
    </w:p>
    <w:p>
      <w:pPr>
        <w:spacing w:after="160" w:before="160"/>
      </w:pPr>
      <w:r>
        <w:rPr>
          <w:rFonts w:ascii="Calibri" w:cs="Calibri" w:eastAsia="Calibri" w:hAnsi="Calibri"/>
          <w:b/>
          <w:bCs/>
          <w:color w:val="64748B"/>
          <w:spacing w:val="60"/>
          <w:sz w:val="18"/>
          <w:szCs w:val="18"/>
        </w:rPr>
        <w:t xml:space="preserve">TEAM CONTRIBUTIONS</w:t>
      </w: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8972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1E3A8A" w:val="clear"/>
          </w:tcPr>
          <w:p/>
        </w:tc>
        <w:tc>
          <w:tcPr>
            <w:tcW w:type="dxa" w:w="8872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Namrata Bhoyar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E3A8A" w:val="clear"/>
              </w:rPr>
              <w:t xml:space="preserve">  Frontend &amp; UI  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Built the Streamlit application that ties all three generation models together — the live product the professor sees. Also produced the benchmark output visualisations and integrated the dashboard artwork.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Streamlit multimodal generator app (text + image + audio via Cloudflare Workers AI)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Dashboard UI design and artwork integration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Benchmark output visualisations (graphs, outputs/)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Updated benchmark outputs after pipeline revisions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Key commits: </w:t>
            </w: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add multimodal frontend  ·  updated benchmark outputs  ·  add dashboard artwork</w:t>
            </w:r>
          </w:p>
        </w:tc>
      </w:tr>
    </w:tbl>
    <w:p>
      <w:pPr>
        <w:spacing w:after="80" w:before="0"/>
      </w:pPr>
    </w:p>
    <w:p>
      <w:pPr>
        <w:pBdr>
          <w:bottom w:val="single" w:color="E2E8F0" w:sz="6"/>
        </w:pBdr>
        <w:spacing w:after="160" w:before="160"/>
      </w:pP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8972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4C1D95" w:val="clear"/>
          </w:tcPr>
          <w:p/>
        </w:tc>
        <w:tc>
          <w:tcPr>
            <w:tcW w:type="dxa" w:w="8872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Nihal Pujari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4C1D95" w:val="clear"/>
              </w:rPr>
              <w:t xml:space="preserve">  Evaluation Pipeline &amp; Scoring  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Designed and ran the core evaluation pipeline — Naive Bayes, Likelihood Ratio, the 500-prompt benchmark, learned weights, and the real-time LR scorer API that runs in the live app. Also owns the project structure and README.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500-prompt evaluation pipeline (step1_generate → step2_quality → step3_nb_lr)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Naive Bayes and Likelihood Ratio scoring (V1 + V2, LOO cross-validation)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Quality-weighted coherence features f1, f2, f3 — learned weights w1=7.87, w2=2.28, w3=0.78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Real-time LR scorer FastAPI server (lr_scorer.py) integrated with the live Streamlit 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ImageBind cross-modal coherence research (s1, s2, s3)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Project restructuring, README, final results comparison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Key commits: </w:t>
            </w: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Restructure project + README  ·  compare the different approach  ·  graphs and other code</w:t>
            </w:r>
          </w:p>
        </w:tc>
      </w:tr>
    </w:tbl>
    <w:p>
      <w:pPr>
        <w:spacing w:after="80" w:before="0"/>
      </w:pPr>
    </w:p>
    <w:p>
      <w:pPr>
        <w:pBdr>
          <w:bottom w:val="single" w:color="E2E8F0" w:sz="6"/>
        </w:pBdr>
        <w:spacing w:after="160" w:before="160"/>
      </w:pP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8972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78350F" w:val="clear"/>
          </w:tcPr>
          <w:p/>
        </w:tc>
        <w:tc>
          <w:tcPr>
            <w:tcW w:type="dxa" w:w="8872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Anuj Kamble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78350F" w:val="clear"/>
              </w:rPr>
              <w:t xml:space="preserve">  Infrastructure &amp; Benchmarking  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Set up the Cloudflare Workers AI integration and benchmarked it against GPT-4, Mistral, and Groq. Fixed the MeloTTS audio-retry failure (25% drop rate), wrote the quota and API documentation, and managed requirements.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Cloudflare Workers AI API setup (credentials, endpoints, config)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Provider benchmarking — Cloudflare vs GPT-4 / Mistral / Groq / Cerebras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MeloTTS audio-retry fix (3-attempt backoff for ~25% intermittent failures)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Quota documentation, requirements.txt, API reference docs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Key commits: </w:t>
            </w: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Cloudflare API setup  ·  quota + requirements docs  ·  audio-retry fix</w:t>
            </w:r>
          </w:p>
        </w:tc>
      </w:tr>
    </w:tbl>
    <w:p>
      <w:pPr>
        <w:spacing w:after="80" w:before="0"/>
      </w:pPr>
    </w:p>
    <w:p>
      <w:pPr>
        <w:pBdr>
          <w:bottom w:val="single" w:color="E2E8F0" w:sz="6"/>
        </w:pBdr>
        <w:spacing w:after="160" w:before="160"/>
      </w:pP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8972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64E3B" w:val="clear"/>
          </w:tcPr>
          <w:p/>
        </w:tc>
        <w:tc>
          <w:tcPr>
            <w:tcW w:type="dxa" w:w="8872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Gourav Somanna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064E3B" w:val="clear"/>
              </w:rPr>
              <w:t xml:space="preserve">  Image Quality Scoring  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Validated the CLIP image scorer end-to-end across 56/56 prompts, built and passed the mismatched-pair baseline test, produced the image_scores.csv with CLIPScore column, and fixed credentials security in test scripts.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CLIP image scorer — validated on 56/56 prompts, all tests passed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Mismatched-pair baseline test (incoherent triples score lower — verified)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image_scores.csv with full CLIPScore column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Fixed hardcoded credentials in test scripts; gitignored config.py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Key commits: </w:t>
            </w: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CLIP scoring validated 56/56  ·  mismatched-pair test passed  ·  untrack config.py</w:t>
            </w:r>
          </w:p>
        </w:tc>
      </w:tr>
    </w:tbl>
    <w:p>
      <w:pPr>
        <w:spacing w:after="80" w:before="0"/>
      </w:pPr>
    </w:p>
    <w:p>
      <w:pPr>
        <w:pBdr>
          <w:bottom w:val="single" w:color="E2E8F0" w:sz="6"/>
        </w:pBdr>
        <w:spacing w:after="160" w:before="160"/>
      </w:pP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8972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831843" w:val="clear"/>
          </w:tcPr>
          <w:p/>
        </w:tc>
        <w:tc>
          <w:tcPr>
            <w:tcW w:type="dxa" w:w="8872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Pramodkumar Shivanna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31843" w:val="clear"/>
              </w:rPr>
              <w:t xml:space="preserve">  Audio Quality Scoring  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Fixed the CLAP audio scorer after a transformers API change broke it — updated the parameter name and handled the wrapped output format, unblocking audio quality measurement for the entire pipeline.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CLAP audio scorer fix — transformers API update (audios→audio param)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Handled wrapped output format from updated transformers pipeline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Audio quality scoring (q_audio) unblocked for full 500-prompt run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Key commits: </w:t>
            </w: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Fix CLAP scoring: transformers API  ·  audios→audio param fix</w:t>
            </w:r>
          </w:p>
        </w:tc>
      </w:tr>
    </w:tbl>
    <w:p>
      <w:pPr>
        <w:spacing w:after="80" w:before="0"/>
      </w:pPr>
    </w:p>
    <w:p>
      <w:pPr>
        <w:pBdr>
          <w:bottom w:val="single" w:color="E2E8F0" w:sz="6"/>
        </w:pBdr>
        <w:spacing w:after="160" w:before="160"/>
      </w:pP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64748B"/>
          <w:spacing w:val="60"/>
          <w:sz w:val="18"/>
          <w:szCs w:val="18"/>
        </w:rPr>
        <w:t xml:space="preserve">SHARED WORK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LLM judge design and 500-prompt rating (Gemini 1.5 Flash Lite, temperature 0.1)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Research paper selection and integration (ImageBind, LR Fusion, TSAS, ACL 2025, ICLR 2026)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Cookbook writeup — honest record of what worked, what was withdrawn, and why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Final report — objectives, methodology, results, limitations</w:t>
      </w:r>
    </w:p>
    <w:p>
      <w:pPr>
        <w:spacing w:after="80" w:before="0"/>
      </w:pPr>
    </w:p>
    <w:p>
      <w:pPr>
        <w:pBdr>
          <w:bottom w:val="single" w:color="E2E8F0" w:sz="6"/>
        </w:pBdr>
        <w:spacing w:after="160" w:before="160"/>
      </w:pPr>
    </w:p>
    <w:p>
      <w:pPr>
        <w:spacing w:after="0" w:before="8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Sources: git log (all branches)  ·  Cookbook_unofficial_final.docx §3–8  ·  project_report_final_unofficial.docx §2–8  ·  SRH Heidelberg, M.Sc. ADAI Case Studies 1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2026-09-17T05:28:49.073Z</dcterms:created>
  <dcterms:modified xsi:type="dcterms:W3CDTF">2026-09-17T05:28:49.074Z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