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C166" w14:textId="77777777" w:rsidR="00D15DE5" w:rsidRDefault="00D15DE5" w:rsidP="00D15DE5">
      <w:pPr>
        <w:jc w:val="center"/>
        <w:rPr>
          <w:b/>
          <w:bCs/>
        </w:rPr>
      </w:pPr>
      <w:r w:rsidRPr="00D15DE5">
        <w:rPr>
          <w:b/>
          <w:bCs/>
        </w:rPr>
        <w:t>Architectural Justification</w:t>
      </w:r>
      <w:r>
        <w:rPr>
          <w:b/>
          <w:bCs/>
        </w:rPr>
        <w:t xml:space="preserve"> - </w:t>
      </w:r>
      <w:r w:rsidRPr="00D15DE5">
        <w:rPr>
          <w:b/>
          <w:bCs/>
        </w:rPr>
        <w:t>Freelance Content Creator Escrow Platform</w:t>
      </w:r>
    </w:p>
    <w:p w14:paraId="6D7EA2A8" w14:textId="60C53128" w:rsidR="00D15DE5" w:rsidRPr="00D15DE5" w:rsidRDefault="00D15DE5" w:rsidP="00D15DE5">
      <w:pPr>
        <w:rPr>
          <w:b/>
          <w:bCs/>
        </w:rPr>
      </w:pPr>
      <w:r w:rsidRPr="00D15DE5">
        <w:rPr>
          <w:b/>
          <w:bCs/>
        </w:rPr>
        <w:t>Chosen Architecture: Layered Architecture</w:t>
      </w:r>
    </w:p>
    <w:p w14:paraId="2BC3D8C5" w14:textId="135FC487" w:rsidR="00D15DE5" w:rsidRDefault="00D15DE5" w:rsidP="00D15DE5">
      <w:r w:rsidRPr="00D15DE5">
        <w:t>The Freelance Content Creator Escrow Platform follows a Layered Architecture, where the system is divided into separate components with clearly defined responsibilities and interfaces. The major components include the User Interface, Contract &amp; Milestone Manager, Media &amp; Watermarking Service, Payment/Escrow Service, Database, and external Payment Gateway.</w:t>
      </w:r>
    </w:p>
    <w:p w14:paraId="7367C00C" w14:textId="77777777" w:rsidR="00D15DE5" w:rsidRPr="00D15DE5" w:rsidRDefault="00D15DE5" w:rsidP="00D15DE5">
      <w:pPr>
        <w:rPr>
          <w:b/>
          <w:bCs/>
        </w:rPr>
      </w:pPr>
      <w:r w:rsidRPr="00D15DE5">
        <w:rPr>
          <w:b/>
          <w:bCs/>
        </w:rPr>
        <w:t>Why Layered Architecture Fits the Scenario</w:t>
      </w:r>
    </w:p>
    <w:p w14:paraId="6E3F728F" w14:textId="77777777" w:rsidR="00D15DE5" w:rsidRPr="00D15DE5" w:rsidRDefault="00D15DE5" w:rsidP="00D15DE5">
      <w:r w:rsidRPr="00D15DE5">
        <w:t>First, the platform handles several distinct responsibilities such as contract management, milestone tracking, media processing, payment/escrow handling, and data storage. Separating these responsibilities into different components makes the system easier to understand, develop, and maintain. For example, changes to the Media &amp; Watermarking Service can be made without significantly affecting the Contract &amp; Milestone Manager or Payment/Escrow Service.</w:t>
      </w:r>
    </w:p>
    <w:p w14:paraId="131ACEDD" w14:textId="77777777" w:rsidR="00D15DE5" w:rsidRDefault="00D15DE5" w:rsidP="00D15DE5">
      <w:r w:rsidRPr="00D15DE5">
        <w:t>Second, the platform requires clear interaction between different parts of the system. The use of interfaces such as the Contract Management Interface, Media Processing Interface, Payment Processing Interface, and Database Access Interface provides well-defined communication between components. This reduces direct dependency between components and allows individual services to be modified or replaced with minimal impact on the rest of the system.</w:t>
      </w:r>
    </w:p>
    <w:p w14:paraId="067EB1F4" w14:textId="77777777" w:rsidR="00D15DE5" w:rsidRPr="00D15DE5" w:rsidRDefault="00D15DE5" w:rsidP="00D15DE5">
      <w:pPr>
        <w:rPr>
          <w:b/>
          <w:bCs/>
        </w:rPr>
      </w:pPr>
      <w:r w:rsidRPr="00D15DE5">
        <w:rPr>
          <w:b/>
          <w:bCs/>
        </w:rPr>
        <w:t>Security</w:t>
      </w:r>
    </w:p>
    <w:p w14:paraId="457DA3EC" w14:textId="77777777" w:rsidR="00D15DE5" w:rsidRDefault="00D15DE5" w:rsidP="00D15DE5">
      <w:r w:rsidRPr="00D15DE5">
        <w:t>Layered separation can improve security by restricting access to sensitive operations and data. The Payment/Escrow Service can act as the controlled component responsible for financial transactions instead of allowing the User Interface to directly access payment information. Similarly, database access can be controlled through the Database Access Interface, preventing other components from directly interacting with the database. The external Payment Gateway is also isolated from the internal system and accessed through the Payment Gateway Interface.</w:t>
      </w:r>
    </w:p>
    <w:p w14:paraId="00067D1D" w14:textId="77777777" w:rsidR="00D15DE5" w:rsidRPr="00D15DE5" w:rsidRDefault="00D15DE5" w:rsidP="00D15DE5">
      <w:pPr>
        <w:rPr>
          <w:b/>
          <w:bCs/>
        </w:rPr>
      </w:pPr>
      <w:r w:rsidRPr="00D15DE5">
        <w:rPr>
          <w:b/>
          <w:bCs/>
        </w:rPr>
        <w:t>Performance</w:t>
      </w:r>
    </w:p>
    <w:p w14:paraId="13FA75FD" w14:textId="77777777" w:rsidR="00D15DE5" w:rsidRDefault="00D15DE5" w:rsidP="00D15DE5">
      <w:r w:rsidRPr="00D15DE5">
        <w:t>The architecture can also support performance by allowing computationally intensive operations to be handled independently. For example, Media &amp; Watermarking can process uploaded content separately from contract and payment operations. Components can therefore perform their responsibilities without unnecessarily coupling their processing with other parts of the system. The separation also provides scope for individual components to be optimized or scaled when their workload increases.</w:t>
      </w:r>
    </w:p>
    <w:p w14:paraId="0A8D2416" w14:textId="77777777" w:rsidR="00D15DE5" w:rsidRPr="00D15DE5" w:rsidRDefault="00D15DE5" w:rsidP="00D15DE5">
      <w:pPr>
        <w:rPr>
          <w:b/>
          <w:bCs/>
        </w:rPr>
      </w:pPr>
      <w:r w:rsidRPr="00D15DE5">
        <w:rPr>
          <w:b/>
          <w:bCs/>
        </w:rPr>
        <w:t>Conclusion</w:t>
      </w:r>
    </w:p>
    <w:p w14:paraId="7AC6C7C6" w14:textId="36EAFABB" w:rsidR="00D15DE5" w:rsidRDefault="00D15DE5">
      <w:r w:rsidRPr="00D15DE5">
        <w:t>Overall, the Layered Architecture provides a clear separation of responsibilities for the Freelance Content Creator Escrow Platform. It supports modularity, controlled access, maintainability, security, and independent optimization of system components, making it suitable for the requirements of the proposed platform.</w:t>
      </w:r>
    </w:p>
    <w:sectPr w:rsidR="00D15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E5"/>
    <w:rsid w:val="007E4024"/>
    <w:rsid w:val="00AD2087"/>
    <w:rsid w:val="00B12354"/>
    <w:rsid w:val="00C87568"/>
    <w:rsid w:val="00D15DE5"/>
    <w:rsid w:val="00DD4F72"/>
    <w:rsid w:val="00E14F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9A3B"/>
  <w15:chartTrackingRefBased/>
  <w15:docId w15:val="{000C5382-B915-4CBD-BC6A-012B369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5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5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DE5"/>
    <w:rPr>
      <w:rFonts w:eastAsiaTheme="majorEastAsia" w:cstheme="majorBidi"/>
      <w:color w:val="272727" w:themeColor="text1" w:themeTint="D8"/>
    </w:rPr>
  </w:style>
  <w:style w:type="paragraph" w:styleId="Title">
    <w:name w:val="Title"/>
    <w:basedOn w:val="Normal"/>
    <w:next w:val="Normal"/>
    <w:link w:val="TitleChar"/>
    <w:uiPriority w:val="10"/>
    <w:qFormat/>
    <w:rsid w:val="00D15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DE5"/>
    <w:pPr>
      <w:spacing w:before="160"/>
      <w:jc w:val="center"/>
    </w:pPr>
    <w:rPr>
      <w:i/>
      <w:iCs/>
      <w:color w:val="404040" w:themeColor="text1" w:themeTint="BF"/>
    </w:rPr>
  </w:style>
  <w:style w:type="character" w:customStyle="1" w:styleId="QuoteChar">
    <w:name w:val="Quote Char"/>
    <w:basedOn w:val="DefaultParagraphFont"/>
    <w:link w:val="Quote"/>
    <w:uiPriority w:val="29"/>
    <w:rsid w:val="00D15DE5"/>
    <w:rPr>
      <w:i/>
      <w:iCs/>
      <w:color w:val="404040" w:themeColor="text1" w:themeTint="BF"/>
    </w:rPr>
  </w:style>
  <w:style w:type="paragraph" w:styleId="ListParagraph">
    <w:name w:val="List Paragraph"/>
    <w:basedOn w:val="Normal"/>
    <w:uiPriority w:val="34"/>
    <w:qFormat/>
    <w:rsid w:val="00D15DE5"/>
    <w:pPr>
      <w:ind w:left="720"/>
      <w:contextualSpacing/>
    </w:pPr>
  </w:style>
  <w:style w:type="character" w:styleId="IntenseEmphasis">
    <w:name w:val="Intense Emphasis"/>
    <w:basedOn w:val="DefaultParagraphFont"/>
    <w:uiPriority w:val="21"/>
    <w:qFormat/>
    <w:rsid w:val="00D15DE5"/>
    <w:rPr>
      <w:i/>
      <w:iCs/>
      <w:color w:val="2F5496" w:themeColor="accent1" w:themeShade="BF"/>
    </w:rPr>
  </w:style>
  <w:style w:type="paragraph" w:styleId="IntenseQuote">
    <w:name w:val="Intense Quote"/>
    <w:basedOn w:val="Normal"/>
    <w:next w:val="Normal"/>
    <w:link w:val="IntenseQuoteChar"/>
    <w:uiPriority w:val="30"/>
    <w:qFormat/>
    <w:rsid w:val="00D15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DE5"/>
    <w:rPr>
      <w:i/>
      <w:iCs/>
      <w:color w:val="2F5496" w:themeColor="accent1" w:themeShade="BF"/>
    </w:rPr>
  </w:style>
  <w:style w:type="character" w:styleId="IntenseReference">
    <w:name w:val="Intense Reference"/>
    <w:basedOn w:val="DefaultParagraphFont"/>
    <w:uiPriority w:val="32"/>
    <w:qFormat/>
    <w:rsid w:val="00D15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Sureshwar Oka</dc:creator>
  <cp:keywords/>
  <dc:description/>
  <cp:lastModifiedBy>Sureshwar Oka</cp:lastModifiedBy>
  <cp:revision>1</cp:revision>
  <dcterms:created xsi:type="dcterms:W3CDTF">2026-10-02T15:48:00Z</dcterms:created>
  <dcterms:modified xsi:type="dcterms:W3CDTF">2026-10-02T15:51:00Z</dcterms:modified>
</cp:coreProperties>
</file>