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Variable Arguments 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varrags allows the method to accept zero or muliple arguments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Before we use overloaded method or take an array as the method parameter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If we don't know how many argument we will have to pass in the method, varargs is the better approach.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Advantage: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don't have to provide overloaded methods so less code.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Syntax: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  <w:t>return_type method_name(data_type... variableName){}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Rules: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300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There can be only one variable argument in the method.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 w:line="300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Variable argument (varargs) must be the last argument.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Photograph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otograph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8E283"/>
    <w:multiLevelType w:val="singleLevel"/>
    <w:tmpl w:val="D5B8E2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3394"/>
    <w:rsid w:val="0E30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2022-10-09T08:52:00Z</dcterms:created>
  <dc:creator>User-PC</dc:creator>
  <cp:lastModifiedBy>User-PC</cp:lastModifiedBy>
  <dcterms:modified xsi:type="dcterms:W3CDTF">2022-10-09T09:01:31Z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B70F49AF36B94CB59609123FDA8330C8</vt:lpwstr>
  </property>
</Properties>
</file>