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  <w:lang w:val="en-IN"/>
        </w:rPr>
        <w:t>Introduction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Chars="0" w:right="0" w:rightChars="0"/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1.1 Purpose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1.2 Intended Audience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1.3 Intended 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1.4 Scope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1.5 Definitions and Acronyms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2. Overall Description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2.1 User Needs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2.2 Assumptions and Dependencies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3. System Features and Requirements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            3.1 Functional Requirements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            3.2 External Interface Requirements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            3.3 System Features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bdr w:val="none" w:color="auto" w:sz="0" w:space="0"/>
          <w:shd w:val="clear" w:fill="FFFFFF"/>
        </w:rPr>
        <w:t>            3.4 Nonfunctional Requirements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E9673"/>
    <w:multiLevelType w:val="singleLevel"/>
    <w:tmpl w:val="F68E96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D17F2"/>
    <w:rsid w:val="529C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2021-04-15T02:25:47Z</dcterms:created>
  <dc:creator>Nihar</dc:creator>
  <cp:lastModifiedBy>Nihar</cp:lastModifiedBy>
  <dcterms:modified xsi:type="dcterms:W3CDTF">2021-04-15T02:26:10Z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