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Firmware &amp; Supply-Chain Assurance PoC</w:t>
      </w:r>
    </w:p>
    <w:p>
      <w:pPr>
        <w:spacing w:after="200"/>
        <w:jc w:val="center"/>
      </w:pPr>
      <w:r>
        <w:rPr>
          <w:i/>
          <w:sz w:val="22"/>
        </w:rPr>
        <w:t>API Contract</w:t>
      </w:r>
    </w:p>
    <w:tbl>
      <w:tblPr>
        <w:tblW w:type="auto" w:w="0"/>
        <w:jc w:val="center"/>
        <w:tblLook w:firstColumn="1" w:firstRow="1" w:lastColumn="0" w:lastRow="0" w:noHBand="0" w:noVBand="1" w:val="04A0"/>
      </w:tblPr>
      <w:tblGrid>
        <w:gridCol w:w="4730"/>
        <w:gridCol w:w="4730"/>
      </w:tblGrid>
      <w:tr>
        <w:tc>
          <w:tcPr>
            <w:tcW w:type="dxa" w:w="4730"/>
            <w:vAlign w:val="center"/>
          </w:tcPr>
          <w:p>
            <w:pPr>
              <w:spacing w:after="0" w:line="240" w:lineRule="auto"/>
            </w:pPr>
            <w:r>
              <w:rPr>
                <w:rFonts w:ascii="Aptos" w:hAnsi="Aptos"/>
                <w:b/>
                <w:sz w:val="19"/>
              </w:rPr>
              <w:t>Document</w:t>
            </w:r>
          </w:p>
        </w:tc>
        <w:tc>
          <w:tcPr>
            <w:tcW w:type="dxa" w:w="4730"/>
            <w:vAlign w:val="center"/>
          </w:tcPr>
          <w:p>
            <w:pPr>
              <w:spacing w:after="0" w:line="240" w:lineRule="auto"/>
            </w:pPr>
            <w:r>
              <w:rPr>
                <w:rFonts w:ascii="Aptos" w:hAnsi="Aptos"/>
                <w:sz w:val="19"/>
              </w:rPr>
              <w:t>API Contract</w:t>
            </w:r>
          </w:p>
        </w:tc>
      </w:tr>
      <w:tr>
        <w:tc>
          <w:tcPr>
            <w:tcW w:type="dxa" w:w="4730"/>
            <w:vAlign w:val="center"/>
          </w:tcPr>
          <w:p>
            <w:pPr>
              <w:spacing w:after="0" w:line="240" w:lineRule="auto"/>
            </w:pPr>
            <w:r>
              <w:rPr>
                <w:rFonts w:ascii="Aptos" w:hAnsi="Aptos"/>
                <w:b/>
                <w:sz w:val="19"/>
              </w:rPr>
              <w:t>Project</w:t>
            </w:r>
          </w:p>
        </w:tc>
        <w:tc>
          <w:tcPr>
            <w:tcW w:type="dxa" w:w="4730"/>
            <w:vAlign w:val="center"/>
          </w:tcPr>
          <w:p>
            <w:pPr>
              <w:spacing w:after="0" w:line="240" w:lineRule="auto"/>
            </w:pPr>
            <w:r>
              <w:rPr>
                <w:rFonts w:ascii="Aptos" w:hAnsi="Aptos"/>
                <w:sz w:val="19"/>
              </w:rPr>
              <w:t>Firmware &amp; Supply-Chain Assurance PoC</w:t>
            </w:r>
          </w:p>
        </w:tc>
      </w:tr>
      <w:tr>
        <w:tc>
          <w:tcPr>
            <w:tcW w:type="dxa" w:w="4730"/>
            <w:vAlign w:val="center"/>
          </w:tcPr>
          <w:p>
            <w:pPr>
              <w:spacing w:after="0" w:line="240" w:lineRule="auto"/>
            </w:pPr>
            <w:r>
              <w:rPr>
                <w:rFonts w:ascii="Aptos" w:hAnsi="Aptos"/>
                <w:b/>
                <w:sz w:val="19"/>
              </w:rPr>
              <w:t>Status</w:t>
            </w:r>
          </w:p>
        </w:tc>
        <w:tc>
          <w:tcPr>
            <w:tcW w:type="dxa" w:w="4730"/>
            <w:vAlign w:val="center"/>
          </w:tcPr>
          <w:p>
            <w:pPr>
              <w:spacing w:after="0" w:line="240" w:lineRule="auto"/>
            </w:pPr>
            <w:r>
              <w:rPr>
                <w:rFonts w:ascii="Aptos" w:hAnsi="Aptos"/>
                <w:sz w:val="19"/>
              </w:rPr>
              <w:t>Initial contract – Sprint 0</w:t>
            </w:r>
          </w:p>
        </w:tc>
      </w:tr>
    </w:tbl>
    <w:p>
      <w:pPr>
        <w:pStyle w:val="Heading1"/>
        <w:keepNext/>
      </w:pPr>
      <w:r>
        <w:t>1. Purpose</w:t>
      </w:r>
    </w:p>
    <w:p>
      <w:pPr>
        <w:spacing w:line="259" w:lineRule="auto" w:after="100"/>
        <w:jc w:val="both"/>
      </w:pPr>
      <w:r>
        <w:t>The API will be used by the frontend to send a firmware or software package scenario for assessment. It will return the security evidence collected for that scenario, the risk information, and the recommendation produced by the assessment process.</w:t>
      </w:r>
    </w:p>
    <w:p>
      <w:pPr>
        <w:pStyle w:val="Heading1"/>
        <w:keepNext/>
      </w:pPr>
      <w:r>
        <w:t>2. Endpoint</w:t>
      </w:r>
    </w:p>
    <w:p>
      <w:pPr>
        <w:spacing w:line="259" w:lineRule="auto" w:after="100"/>
        <w:jc w:val="both"/>
      </w:pPr>
      <w:r>
        <w:t>The first version of the service will use a single assessment endpoint:</w:t>
      </w:r>
    </w:p>
    <w:p>
      <w:pPr>
        <w:spacing w:before="40" w:after="120" w:line="240" w:lineRule="auto"/>
        <w:ind w:left="360" w:right="360"/>
      </w:pPr>
      <w:r>
        <w:rPr>
          <w:rFonts w:ascii="Consolas" w:hAnsi="Consolas"/>
          <w:sz w:val="18"/>
        </w:rPr>
        <w:t>POST /api/supply-chain/assess</w:t>
      </w:r>
    </w:p>
    <w:p>
      <w:pPr>
        <w:pStyle w:val="Heading1"/>
        <w:keepNext/>
      </w:pPr>
      <w:r>
        <w:t>3. Request</w:t>
      </w:r>
    </w:p>
    <w:p>
      <w:pPr>
        <w:spacing w:line="259" w:lineRule="auto" w:after="100"/>
        <w:jc w:val="both"/>
      </w:pPr>
      <w:r>
        <w:t>The request identifies the scenario and package that need to be assessed.</w:t>
      </w:r>
    </w:p>
    <w:p>
      <w:pPr>
        <w:spacing w:before="40" w:after="120" w:line="240" w:lineRule="auto"/>
        <w:ind w:left="360" w:right="360"/>
      </w:pPr>
      <w:r>
        <w:rPr>
          <w:rFonts w:ascii="Consolas" w:hAnsi="Consolas"/>
          <w:sz w:val="18"/>
        </w:rPr>
        <w:t>{</w:t>
        <w:br/>
        <w:t xml:space="preserve">  "scenario_id": "SC-001",</w:t>
        <w:br/>
        <w:t xml:space="preserve">  "package_id": "PKG-001"</w:t>
        <w:br/>
        <w:t>}</w:t>
      </w:r>
    </w:p>
    <w:p>
      <w:pPr>
        <w:pStyle w:val="Heading1"/>
        <w:keepNext/>
      </w:pPr>
      <w:r>
        <w:t>4. Response</w:t>
      </w:r>
    </w:p>
    <w:p>
      <w:pPr>
        <w:spacing w:line="259" w:lineRule="auto" w:after="100"/>
        <w:jc w:val="both"/>
      </w:pPr>
      <w:r>
        <w:t>The response should give enough information for the frontend and reviewer to understand what the system found and how the recommendation was reached.</w:t>
      </w:r>
    </w:p>
    <w:p>
      <w:pPr>
        <w:spacing w:before="40" w:after="120" w:line="240" w:lineRule="auto"/>
        <w:ind w:left="360" w:right="360"/>
      </w:pPr>
      <w:r>
        <w:rPr>
          <w:rFonts w:ascii="Consolas" w:hAnsi="Consolas"/>
          <w:sz w:val="18"/>
        </w:rPr>
        <w:t>{</w:t>
        <w:br/>
        <w:t xml:space="preserve">  "use_case": "firmware_supply_chain",</w:t>
        <w:br/>
        <w:t xml:space="preserve">  "scenario_id": "SC-001",</w:t>
        <w:br/>
        <w:t xml:space="preserve">  "decision": "normal",</w:t>
        <w:br/>
        <w:t xml:space="preserve">  "confidence": 0.0,</w:t>
        <w:br/>
        <w:t xml:space="preserve">  "severity": "low",</w:t>
        <w:br/>
        <w:t xml:space="preserve">  "affected_assets": [],</w:t>
        <w:br/>
        <w:t xml:space="preserve">  "evidence_layers": [],</w:t>
        <w:br/>
        <w:t xml:space="preserve">  "explanations": [],</w:t>
        <w:br/>
        <w:t xml:space="preserve">  "recommended_actions": [],</w:t>
        <w:br/>
        <w:t xml:space="preserve">  "human_approval_required": true,</w:t>
        <w:br/>
        <w:t xml:space="preserve">  "real_action_executed": false,</w:t>
        <w:br/>
        <w:t xml:space="preserve">  "artifact_provenance": [],</w:t>
        <w:br/>
        <w:t xml:space="preserve">  "warnings": [],</w:t>
        <w:br/>
        <w:t xml:space="preserve">  "data_provenance": "LIVE MODEL"</w:t>
        <w:br/>
        <w:t>}</w:t>
      </w:r>
    </w:p>
    <w:p>
      <w:pPr>
        <w:pStyle w:val="Heading1"/>
        <w:keepNext/>
      </w:pPr>
      <w:r>
        <w:t>5. Main Response Fields</w:t>
      </w:r>
    </w:p>
    <w:p>
      <w:pPr>
        <w:spacing w:after="60" w:line="252" w:lineRule="auto"/>
        <w:ind w:left="173"/>
      </w:pPr>
      <w:r>
        <w:rPr>
          <w:b/>
        </w:rPr>
        <w:t xml:space="preserve">use_case – </w:t>
      </w:r>
      <w:r>
        <w:t>Identifies the PoC as the firmware supply-chain use case.</w:t>
      </w:r>
    </w:p>
    <w:p>
      <w:pPr>
        <w:spacing w:after="60" w:line="252" w:lineRule="auto"/>
        <w:ind w:left="173"/>
      </w:pPr>
      <w:r>
        <w:rPr>
          <w:b/>
        </w:rPr>
        <w:t xml:space="preserve">scenario_id – </w:t>
      </w:r>
      <w:r>
        <w:t>Identifies the scenario being assessed.</w:t>
      </w:r>
    </w:p>
    <w:p>
      <w:pPr>
        <w:spacing w:after="60" w:line="252" w:lineRule="auto"/>
        <w:ind w:left="173"/>
      </w:pPr>
      <w:r>
        <w:rPr>
          <w:b/>
        </w:rPr>
        <w:t xml:space="preserve">decision – </w:t>
      </w:r>
      <w:r>
        <w:t>The recommendation produced by the assessment.</w:t>
      </w:r>
    </w:p>
    <w:p>
      <w:pPr>
        <w:spacing w:after="60" w:line="252" w:lineRule="auto"/>
        <w:ind w:left="173"/>
      </w:pPr>
      <w:r>
        <w:rPr>
          <w:b/>
        </w:rPr>
        <w:t xml:space="preserve">confidence – </w:t>
      </w:r>
      <w:r>
        <w:t>The confidence value associated with the recommendation.</w:t>
      </w:r>
    </w:p>
    <w:p>
      <w:pPr>
        <w:spacing w:after="60" w:line="252" w:lineRule="auto"/>
        <w:ind w:left="173"/>
      </w:pPr>
      <w:r>
        <w:rPr>
          <w:b/>
        </w:rPr>
        <w:t xml:space="preserve">severity – </w:t>
      </w:r>
      <w:r>
        <w:t>The assessed severity level.</w:t>
      </w:r>
    </w:p>
    <w:p>
      <w:pPr>
        <w:spacing w:after="60" w:line="252" w:lineRule="auto"/>
        <w:ind w:left="173"/>
      </w:pPr>
      <w:r>
        <w:rPr>
          <w:b/>
        </w:rPr>
        <w:t xml:space="preserve">affected_assets – </w:t>
      </w:r>
      <w:r>
        <w:t>Products or deployed assets that may be affected.</w:t>
      </w:r>
    </w:p>
    <w:p>
      <w:pPr>
        <w:spacing w:after="60" w:line="252" w:lineRule="auto"/>
        <w:ind w:left="173"/>
      </w:pPr>
      <w:r>
        <w:rPr>
          <w:b/>
        </w:rPr>
        <w:t xml:space="preserve">evidence_layers – </w:t>
      </w:r>
      <w:r>
        <w:t>Evidence collected from the different checks.</w:t>
      </w:r>
    </w:p>
    <w:p>
      <w:pPr>
        <w:spacing w:after="60" w:line="252" w:lineRule="auto"/>
        <w:ind w:left="173"/>
      </w:pPr>
      <w:r>
        <w:rPr>
          <w:b/>
        </w:rPr>
        <w:t xml:space="preserve">explanations – </w:t>
      </w:r>
      <w:r>
        <w:t>Reasons that help a reviewer understand the result.</w:t>
      </w:r>
    </w:p>
    <w:p>
      <w:pPr>
        <w:spacing w:after="60" w:line="252" w:lineRule="auto"/>
        <w:ind w:left="173"/>
      </w:pPr>
      <w:r>
        <w:rPr>
          <w:b/>
        </w:rPr>
        <w:t xml:space="preserve">recommended_actions – </w:t>
      </w:r>
      <w:r>
        <w:t>Possible next steps for the reviewer.</w:t>
      </w:r>
    </w:p>
    <w:p>
      <w:pPr>
        <w:spacing w:after="60" w:line="252" w:lineRule="auto"/>
        <w:ind w:left="173"/>
      </w:pPr>
      <w:r>
        <w:rPr>
          <w:b/>
        </w:rPr>
        <w:t xml:space="preserve">human_approval_required – </w:t>
      </w:r>
      <w:r>
        <w:t>Shows that a person must approve the recommendation.</w:t>
      </w:r>
    </w:p>
    <w:p>
      <w:pPr>
        <w:spacing w:after="60" w:line="252" w:lineRule="auto"/>
        <w:ind w:left="173"/>
      </w:pPr>
      <w:r>
        <w:rPr>
          <w:b/>
        </w:rPr>
        <w:t xml:space="preserve">real_action_executed – </w:t>
      </w:r>
      <w:r>
        <w:t>Shows whether the system actually performed an action; for this PoC it must remain false.</w:t>
      </w:r>
    </w:p>
    <w:p>
      <w:pPr>
        <w:spacing w:after="60" w:line="252" w:lineRule="auto"/>
        <w:ind w:left="173"/>
      </w:pPr>
      <w:r>
        <w:rPr>
          <w:b/>
        </w:rPr>
        <w:t xml:space="preserve">artifact_provenance – </w:t>
      </w:r>
      <w:r>
        <w:t>Information about the model and supporting artifacts used.</w:t>
      </w:r>
    </w:p>
    <w:p>
      <w:pPr>
        <w:spacing w:after="60" w:line="252" w:lineRule="auto"/>
        <w:ind w:left="173"/>
      </w:pPr>
      <w:r>
        <w:rPr>
          <w:b/>
        </w:rPr>
        <w:t xml:space="preserve">warnings – </w:t>
      </w:r>
      <w:r>
        <w:t>Problems such as missing artifacts, schema issues, or stale evidence.</w:t>
      </w:r>
    </w:p>
    <w:p>
      <w:pPr>
        <w:spacing w:after="60" w:line="252" w:lineRule="auto"/>
        <w:ind w:left="173"/>
      </w:pPr>
      <w:r>
        <w:rPr>
          <w:b/>
        </w:rPr>
        <w:t xml:space="preserve">data_provenance – </w:t>
      </w:r>
      <w:r>
        <w:t>Shows where the displayed result or information came from.</w:t>
      </w:r>
    </w:p>
    <w:p>
      <w:pPr>
        <w:pStyle w:val="Heading1"/>
        <w:keepNext/>
      </w:pPr>
      <w:r>
        <w:t>6. Decision Values</w:t>
      </w:r>
    </w:p>
    <w:p>
      <w:pPr>
        <w:spacing w:line="259" w:lineRule="auto" w:after="100"/>
        <w:jc w:val="both"/>
      </w:pPr>
      <w:r>
        <w:t>The API will use the following decision values:</w:t>
      </w:r>
    </w:p>
    <w:p>
      <w:pPr>
        <w:pStyle w:val="ListBullet"/>
        <w:spacing w:line="252" w:lineRule="auto" w:after="40"/>
        <w:ind w:left="360" w:hanging="173"/>
      </w:pPr>
      <w:r>
        <w:t>normal</w:t>
      </w:r>
    </w:p>
    <w:p>
      <w:pPr>
        <w:pStyle w:val="ListBullet"/>
        <w:spacing w:line="252" w:lineRule="auto" w:after="40"/>
        <w:ind w:left="360" w:hanging="173"/>
      </w:pPr>
      <w:r>
        <w:t>investigate</w:t>
      </w:r>
    </w:p>
    <w:p>
      <w:pPr>
        <w:pStyle w:val="ListBullet"/>
        <w:spacing w:line="252" w:lineRule="auto" w:after="40"/>
        <w:ind w:left="360" w:hanging="173"/>
      </w:pPr>
      <w:r>
        <w:t>high_risk</w:t>
      </w:r>
    </w:p>
    <w:p>
      <w:pPr>
        <w:pStyle w:val="Heading1"/>
        <w:keepNext/>
      </w:pPr>
      <w:r>
        <w:t>7. Severity Values</w:t>
      </w:r>
    </w:p>
    <w:p>
      <w:pPr>
        <w:spacing w:line="259" w:lineRule="auto" w:after="100"/>
        <w:jc w:val="both"/>
      </w:pPr>
      <w:r>
        <w:t>The severity field can use:</w:t>
      </w:r>
    </w:p>
    <w:p>
      <w:pPr>
        <w:pStyle w:val="ListBullet"/>
        <w:spacing w:line="252" w:lineRule="auto" w:after="40"/>
        <w:ind w:left="360" w:hanging="173"/>
      </w:pPr>
      <w:r>
        <w:t>low</w:t>
      </w:r>
    </w:p>
    <w:p>
      <w:pPr>
        <w:pStyle w:val="ListBullet"/>
        <w:spacing w:line="252" w:lineRule="auto" w:after="40"/>
        <w:ind w:left="360" w:hanging="173"/>
      </w:pPr>
      <w:r>
        <w:t>medium</w:t>
      </w:r>
    </w:p>
    <w:p>
      <w:pPr>
        <w:pStyle w:val="ListBullet"/>
        <w:spacing w:line="252" w:lineRule="auto" w:after="40"/>
        <w:ind w:left="360" w:hanging="173"/>
      </w:pPr>
      <w:r>
        <w:t>high</w:t>
      </w:r>
    </w:p>
    <w:p>
      <w:pPr>
        <w:pStyle w:val="ListBullet"/>
        <w:spacing w:line="252" w:lineRule="auto" w:after="40"/>
        <w:ind w:left="360" w:hanging="173"/>
      </w:pPr>
      <w:r>
        <w:t>critical</w:t>
      </w:r>
    </w:p>
    <w:p>
      <w:pPr>
        <w:pStyle w:val="Heading1"/>
        <w:keepNext/>
      </w:pPr>
      <w:r>
        <w:t>8. Safety Requirements</w:t>
      </w:r>
    </w:p>
    <w:p>
      <w:pPr>
        <w:spacing w:line="259" w:lineRule="auto" w:after="100"/>
        <w:jc w:val="both"/>
      </w:pPr>
      <w:r>
        <w:t>The API is intended only for assessment and evidence presentation. It must not directly perform an operational action.</w:t>
      </w:r>
    </w:p>
    <w:p>
      <w:pPr>
        <w:pStyle w:val="ListBullet"/>
        <w:spacing w:line="252" w:lineRule="auto" w:after="40"/>
        <w:ind w:left="360" w:hanging="173"/>
      </w:pPr>
      <w:r>
        <w:t>human_approval_required must always be true.</w:t>
      </w:r>
    </w:p>
    <w:p>
      <w:pPr>
        <w:pStyle w:val="ListBullet"/>
        <w:spacing w:line="252" w:lineRule="auto" w:after="40"/>
        <w:ind w:left="360" w:hanging="173"/>
      </w:pPr>
      <w:r>
        <w:t>real_action_executed must always be false.</w:t>
      </w:r>
    </w:p>
    <w:p>
      <w:pPr>
        <w:pStyle w:val="ListBullet"/>
        <w:spacing w:line="252" w:lineRule="auto" w:after="40"/>
        <w:ind w:left="360" w:hanging="173"/>
      </w:pPr>
      <w:r>
        <w:t>The API must not flash firmware.</w:t>
      </w:r>
    </w:p>
    <w:p>
      <w:pPr>
        <w:pStyle w:val="ListBullet"/>
        <w:spacing w:line="252" w:lineRule="auto" w:after="40"/>
        <w:ind w:left="360" w:hanging="173"/>
      </w:pPr>
      <w:r>
        <w:t>The API must not install or delete packages.</w:t>
      </w:r>
    </w:p>
    <w:p>
      <w:pPr>
        <w:pStyle w:val="ListBullet"/>
        <w:spacing w:line="252" w:lineRule="auto" w:after="40"/>
        <w:ind w:left="360" w:hanging="173"/>
      </w:pPr>
      <w:r>
        <w:t>The API must not automatically quarantine packages.</w:t>
      </w:r>
    </w:p>
    <w:p>
      <w:pPr>
        <w:pStyle w:val="ListBullet"/>
        <w:spacing w:line="252" w:lineRule="auto" w:after="40"/>
        <w:ind w:left="360" w:hanging="173"/>
      </w:pPr>
      <w:r>
        <w:t>The API must not modify physical or production systems.</w:t>
      </w:r>
    </w:p>
    <w:p>
      <w:pPr>
        <w:pStyle w:val="ListBullet"/>
        <w:spacing w:line="252" w:lineRule="auto" w:after="40"/>
        <w:ind w:left="360" w:hanging="173"/>
      </w:pPr>
      <w:r>
        <w:t>Warnings must be visible when required evidence or artifacts are missing.</w:t>
      </w:r>
    </w:p>
    <w:p>
      <w:pPr>
        <w:pStyle w:val="Heading1"/>
        <w:keepNext/>
      </w:pPr>
      <w:r>
        <w:t>9. Data Provenance</w:t>
      </w:r>
    </w:p>
    <w:p>
      <w:pPr>
        <w:spacing w:line="259" w:lineRule="auto" w:after="100"/>
        <w:jc w:val="both"/>
      </w:pPr>
      <w:r>
        <w:t>The frontend should be able to tell whether information came from the live model, synthetic ground truth, static scenario metadata, or a fallback. These sources should not be mixed together without being labelled.</w:t>
      </w:r>
    </w:p>
    <w:p>
      <w:pPr>
        <w:pStyle w:val="Heading1"/>
        <w:keepNext/>
      </w:pPr>
      <w:r>
        <w:t>10. API Design Principle</w:t>
      </w:r>
    </w:p>
    <w:p>
      <w:pPr>
        <w:spacing w:line="259" w:lineRule="auto" w:after="100"/>
        <w:jc w:val="both"/>
      </w:pPr>
      <w:r>
        <w:t>The API should provide one consistent response structure so that the frontend can display results from different assessment scenarios in the same way. The exact API path used by the frontend will later be tested as part of the final evaluation.</w:t>
      </w:r>
    </w:p>
    <w:p>
      <w:pPr>
        <w:spacing w:before="160" w:after="0"/>
      </w:pPr>
      <w:r>
        <w:rPr>
          <w:b/>
          <w:sz w:val="17"/>
        </w:rPr>
        <w:t xml:space="preserve">Reference basis: </w:t>
      </w:r>
      <w:r>
        <w:rPr>
          <w:sz w:val="17"/>
        </w:rPr>
        <w:t>URAI | Firmware &amp; Supply-Chain Assurance Implementation Task Plan</w:t>
      </w:r>
    </w:p>
    <w:sectPr w:rsidR="00FC693F" w:rsidRPr="0006063C" w:rsidSect="00034616">
      <w:headerReference w:type="default" r:id="rId9"/>
      <w:footerReference w:type="default" r:id="rId10"/>
      <w:pgSz w:w="11909" w:h="16834"/>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Nihar  |  API Contract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URAI | Firmware &amp; Supply-Chain Assurance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