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 Model Selection, Evaluation and Responsible AI Assurance Specification</w:t>
      </w:r>
    </w:p>
    <w:p>
      <w:pPr>
        <w:jc w:val="center"/>
      </w:pPr>
      <w:r>
        <w:rPr>
          <w:b/>
          <w:sz w:val="24"/>
        </w:rPr>
        <w:t>Firmware &amp; Supply-Chain Assurance PoC — Pre-Training Approval Gate</w:t>
      </w:r>
    </w:p>
    <w:p>
      <w:pPr>
        <w:jc w:val="center"/>
      </w:pPr>
      <w:r>
        <w:t>Status: Revised draft for approval — no model fitting is authorised until this complete specification is approved.</w:t>
      </w:r>
    </w:p>
    <w:p>
      <w:pPr>
        <w:jc w:val="center"/>
      </w:pPr>
      <w:r>
        <w:t>Source of truth: Firmware-Supply-Chain-PoC-framework-benchmarked-pre-ML repository supplied for this stage.</w:t>
      </w:r>
    </w:p>
    <w:p>
      <w:pPr>
        <w:jc w:val="center"/>
      </w:pPr>
      <w:r>
        <w:t>Scope: Controlled synthetic-data model-selection and evaluation experiment only.</w:t>
      </w:r>
    </w:p>
    <w:p>
      <w:pPr>
        <w:pStyle w:val="Heading1"/>
      </w:pPr>
      <w:r>
        <w:t>1. Purpose and decision gate</w:t>
      </w:r>
    </w:p>
    <w:p>
      <w:r>
        <w:t>This document defines the experiment that will be run after approval. It does not implement training, inference, rule/ML fusion, an API, or a dashboard.</w:t>
      </w:r>
    </w:p>
    <w:p>
      <w:pPr>
        <w:pStyle w:val="ListBullet"/>
      </w:pPr>
      <w:r>
        <w:t>5,000 validated synthetic records.</w:t>
      </w:r>
    </w:p>
    <w:p>
      <w:pPr>
        <w:pStyle w:val="ListBullet"/>
      </w:pPr>
      <w:r>
        <w:t>500 grouped package lineages; 10 assessments per lineage.</w:t>
      </w:r>
    </w:p>
    <w:p>
      <w:pPr>
        <w:pStyle w:val="ListBullet"/>
      </w:pPr>
      <w:r>
        <w:t>Immutable grouped split: 3,500 train / 750 validation / 750 test.</w:t>
      </w:r>
    </w:p>
    <w:p>
      <w:pPr>
        <w:pStyle w:val="ListBullet"/>
      </w:pPr>
      <w:r>
        <w:t>7/7 supplied raw CycloneDX 1.5 documents schema-valid.</w:t>
      </w:r>
    </w:p>
    <w:p>
      <w:pPr>
        <w:pStyle w:val="ListBullet"/>
      </w:pPr>
      <w:r>
        <w:t>20 framework requirements assessed: 7 covered, 6 partial, 7 gaps.</w:t>
      </w:r>
    </w:p>
    <w:p>
      <w:pPr>
        <w:pStyle w:val="ListBullet"/>
      </w:pPr>
      <w:r>
        <w:t>63 automated tests passing.</w:t>
      </w:r>
    </w:p>
    <w:p>
      <w:pPr>
        <w:pStyle w:val="ListBullet"/>
      </w:pPr>
      <w:r>
        <w:t>No ML model, ML prediction output, rule/ML fusion, inference API, or dashboard integration is included.</w:t>
      </w:r>
    </w:p>
    <w:p>
      <w:r>
        <w:rPr>
          <w:b/>
        </w:rPr>
        <w:t>Approval gate: Karan/Nirupam Sir must approve this specification before any candidate model is fitted.</w:t>
      </w:r>
    </w:p>
    <w:p>
      <w:pPr>
        <w:pStyle w:val="Heading1"/>
      </w:pPr>
      <w:r>
        <w:t>2. Critical label-provenance limitation</w:t>
      </w:r>
    </w:p>
    <w:p>
      <w:r>
        <w:t>The ground-truth labels are derived from the deterministic risk rules. They are therefore not an independent security-intelligence ground truth. A supervised classifier trained on these labels can learn to reproduce the deterministic rule system and must be described as a surrogate of the current rules, not as independent security intelligence.</w:t>
      </w:r>
    </w:p>
    <w:p>
      <w:pPr>
        <w:pStyle w:val="ListBullet"/>
      </w:pPr>
      <w:r>
        <w:t>High performance is not evidence of unknown-threat discovery.</w:t>
      </w:r>
    </w:p>
    <w:p>
      <w:pPr>
        <w:pStyle w:val="ListBullet"/>
      </w:pPr>
      <w:r>
        <w:t>Framework gaps must not become inferred negative evidence.</w:t>
      </w:r>
    </w:p>
    <w:p>
      <w:pPr>
        <w:pStyle w:val="ListBullet"/>
      </w:pPr>
      <w:r>
        <w:t>Evaluation is synthetic and rule-derived.</w:t>
      </w:r>
    </w:p>
    <w:p>
      <w:pPr>
        <w:pStyle w:val="ListBullet"/>
      </w:pPr>
      <w:r>
        <w:t>Any future operational role remains advisory; deterministic hard-failure evidence retains precedence.</w:t>
      </w:r>
    </w:p>
    <w:p>
      <w:pPr>
        <w:pStyle w:val="Heading1"/>
      </w:pPr>
      <w:r>
        <w:t>3. Exact dataset contract</w:t>
      </w:r>
    </w:p>
    <w:p>
      <w:pPr>
        <w:pStyle w:val="Heading2"/>
      </w:pPr>
      <w:r>
        <w:t>3.1 Exact files</w:t>
      </w:r>
    </w:p>
    <w:p>
      <w:pPr>
        <w:pStyle w:val="ListBullet"/>
      </w:pPr>
      <w:r>
        <w:t>Features: data/synthetic/supply_chain_poc/dataset/engineered_features.csv</w:t>
      </w:r>
    </w:p>
    <w:p>
      <w:pPr>
        <w:pStyle w:val="ListBullet"/>
      </w:pPr>
      <w:r>
        <w:t>Feature metadata: data/synthetic/supply_chain_poc/dataset/feature_metadata.json</w:t>
      </w:r>
    </w:p>
    <w:p>
      <w:pPr>
        <w:pStyle w:val="ListBullet"/>
      </w:pPr>
      <w:r>
        <w:t>Labels: data/synthetic/supply_chain_poc/dataset/ground_truth_labels.csv</w:t>
      </w:r>
    </w:p>
    <w:p>
      <w:pPr>
        <w:pStyle w:val="ListBullet"/>
      </w:pPr>
      <w:r>
        <w:t>Immutable splits: data/synthetic/supply_chain_poc/dataset/split_assignments.csv</w:t>
      </w:r>
    </w:p>
    <w:p>
      <w:pPr>
        <w:pStyle w:val="ListBullet"/>
      </w:pPr>
      <w:r>
        <w:t>Supporting source inputs: observable_features.csv, reference_data.csv, reference_catalog.csv</w:t>
      </w:r>
    </w:p>
    <w:p>
      <w:pPr>
        <w:pStyle w:val="Heading2"/>
      </w:pPr>
      <w:r>
        <w:t>3.2 Approved 22 features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Pr>
          <w:p>
            <w:r>
              <w:rPr>
                <w:b/>
              </w:rPr>
              <w:t>#</w:t>
            </w:r>
          </w:p>
        </w:tc>
        <w:tc>
          <w:tcPr>
            <w:tcW w:type="dxa" w:w="5112"/>
          </w:tcPr>
          <w:p>
            <w:r>
              <w:rPr>
                <w:b/>
              </w:rPr>
              <w:t>Feature</w:t>
            </w:r>
          </w:p>
        </w:tc>
      </w:tr>
      <w:tr>
        <w:tc>
          <w:tcPr>
            <w:tcW w:type="dxa" w:w="5112"/>
            <w:vAlign w:val="center"/>
          </w:tcPr>
          <w:p>
            <w:r>
              <w:t>1</w:t>
            </w:r>
          </w:p>
        </w:tc>
        <w:tc>
          <w:tcPr>
            <w:tcW w:type="dxa" w:w="5112"/>
            <w:vAlign w:val="center"/>
          </w:tcPr>
          <w:p>
            <w:r>
              <w:t>hash_mismatch</w:t>
            </w:r>
          </w:p>
        </w:tc>
      </w:tr>
      <w:tr>
        <w:tc>
          <w:tcPr>
            <w:tcW w:type="dxa" w:w="5112"/>
            <w:vAlign w:val="center"/>
          </w:tcPr>
          <w:p>
            <w:r>
              <w:t>2</w:t>
            </w:r>
          </w:p>
        </w:tc>
        <w:tc>
          <w:tcPr>
            <w:tcW w:type="dxa" w:w="5112"/>
            <w:vAlign w:val="center"/>
          </w:tcPr>
          <w:p>
            <w:r>
              <w:t>signature_invalid</w:t>
            </w:r>
          </w:p>
        </w:tc>
      </w:tr>
      <w:tr>
        <w:tc>
          <w:tcPr>
            <w:tcW w:type="dxa" w:w="5112"/>
            <w:vAlign w:val="center"/>
          </w:tcPr>
          <w:p>
            <w:r>
              <w:t>3</w:t>
            </w:r>
          </w:p>
        </w:tc>
        <w:tc>
          <w:tcPr>
            <w:tcW w:type="dxa" w:w="5112"/>
            <w:vAlign w:val="center"/>
          </w:tcPr>
          <w:p>
            <w:r>
              <w:t>trusted_root_invalid</w:t>
            </w:r>
          </w:p>
        </w:tc>
      </w:tr>
      <w:tr>
        <w:tc>
          <w:tcPr>
            <w:tcW w:type="dxa" w:w="5112"/>
            <w:vAlign w:val="center"/>
          </w:tcPr>
          <w:p>
            <w:r>
              <w:t>4</w:t>
            </w:r>
          </w:p>
        </w:tc>
        <w:tc>
          <w:tcPr>
            <w:tcW w:type="dxa" w:w="5112"/>
            <w:vAlign w:val="center"/>
          </w:tcPr>
          <w:p>
            <w:r>
              <w:t>vendor_mismatch</w:t>
            </w:r>
          </w:p>
        </w:tc>
      </w:tr>
      <w:tr>
        <w:tc>
          <w:tcPr>
            <w:tcW w:type="dxa" w:w="5112"/>
            <w:vAlign w:val="center"/>
          </w:tcPr>
          <w:p>
            <w:r>
              <w:t>5</w:t>
            </w:r>
          </w:p>
        </w:tc>
        <w:tc>
          <w:tcPr>
            <w:tcW w:type="dxa" w:w="5112"/>
            <w:vAlign w:val="center"/>
          </w:tcPr>
          <w:p>
            <w:r>
              <w:t>vendor_untrusted</w:t>
            </w:r>
          </w:p>
        </w:tc>
      </w:tr>
      <w:tr>
        <w:tc>
          <w:tcPr>
            <w:tcW w:type="dxa" w:w="5112"/>
            <w:vAlign w:val="center"/>
          </w:tcPr>
          <w:p>
            <w:r>
              <w:t>6</w:t>
            </w:r>
          </w:p>
        </w:tc>
        <w:tc>
          <w:tcPr>
            <w:tcW w:type="dxa" w:w="5112"/>
            <w:vAlign w:val="center"/>
          </w:tcPr>
          <w:p>
            <w:r>
              <w:t>sbom_missing</w:t>
            </w:r>
          </w:p>
        </w:tc>
      </w:tr>
      <w:tr>
        <w:tc>
          <w:tcPr>
            <w:tcW w:type="dxa" w:w="5112"/>
            <w:vAlign w:val="center"/>
          </w:tcPr>
          <w:p>
            <w:r>
              <w:t>7</w:t>
            </w:r>
          </w:p>
        </w:tc>
        <w:tc>
          <w:tcPr>
            <w:tcW w:type="dxa" w:w="5112"/>
            <w:vAlign w:val="center"/>
          </w:tcPr>
          <w:p>
            <w:r>
              <w:t>sbom_incomplete</w:t>
            </w:r>
          </w:p>
        </w:tc>
      </w:tr>
      <w:tr>
        <w:tc>
          <w:tcPr>
            <w:tcW w:type="dxa" w:w="5112"/>
            <w:vAlign w:val="center"/>
          </w:tcPr>
          <w:p>
            <w:r>
              <w:t>8</w:t>
            </w:r>
          </w:p>
        </w:tc>
        <w:tc>
          <w:tcPr>
            <w:tcW w:type="dxa" w:w="5112"/>
            <w:vAlign w:val="center"/>
          </w:tcPr>
          <w:p>
            <w:r>
              <w:t>version_changed</w:t>
            </w:r>
          </w:p>
        </w:tc>
      </w:tr>
      <w:tr>
        <w:tc>
          <w:tcPr>
            <w:tcW w:type="dxa" w:w="5112"/>
            <w:vAlign w:val="center"/>
          </w:tcPr>
          <w:p>
            <w:r>
              <w:t>9</w:t>
            </w:r>
          </w:p>
        </w:tc>
        <w:tc>
          <w:tcPr>
            <w:tcW w:type="dxa" w:w="5112"/>
            <w:vAlign w:val="center"/>
          </w:tcPr>
          <w:p>
            <w:r>
              <w:t>version_major_delta</w:t>
            </w:r>
          </w:p>
        </w:tc>
      </w:tr>
      <w:tr>
        <w:tc>
          <w:tcPr>
            <w:tcW w:type="dxa" w:w="5112"/>
            <w:vAlign w:val="center"/>
          </w:tcPr>
          <w:p>
            <w:r>
              <w:t>10</w:t>
            </w:r>
          </w:p>
        </w:tc>
        <w:tc>
          <w:tcPr>
            <w:tcW w:type="dxa" w:w="5112"/>
            <w:vAlign w:val="center"/>
          </w:tcPr>
          <w:p>
            <w:r>
              <w:t>unauthorized_rollback</w:t>
            </w:r>
          </w:p>
        </w:tc>
      </w:tr>
      <w:tr>
        <w:tc>
          <w:tcPr>
            <w:tcW w:type="dxa" w:w="5112"/>
            <w:vAlign w:val="center"/>
          </w:tcPr>
          <w:p>
            <w:r>
              <w:t>11</w:t>
            </w:r>
          </w:p>
        </w:tc>
        <w:tc>
          <w:tcPr>
            <w:tcW w:type="dxa" w:w="5112"/>
            <w:vAlign w:val="center"/>
          </w:tcPr>
          <w:p>
            <w:r>
              <w:t>vulnerability_present</w:t>
            </w:r>
          </w:p>
        </w:tc>
      </w:tr>
      <w:tr>
        <w:tc>
          <w:tcPr>
            <w:tcW w:type="dxa" w:w="5112"/>
            <w:vAlign w:val="center"/>
          </w:tcPr>
          <w:p>
            <w:r>
              <w:t>12</w:t>
            </w:r>
          </w:p>
        </w:tc>
        <w:tc>
          <w:tcPr>
            <w:tcW w:type="dxa" w:w="5112"/>
            <w:vAlign w:val="center"/>
          </w:tcPr>
          <w:p>
            <w:r>
              <w:t>vulnerability_applicable</w:t>
            </w:r>
          </w:p>
        </w:tc>
      </w:tr>
      <w:tr>
        <w:tc>
          <w:tcPr>
            <w:tcW w:type="dxa" w:w="5112"/>
            <w:vAlign w:val="center"/>
          </w:tcPr>
          <w:p>
            <w:r>
              <w:t>13</w:t>
            </w:r>
          </w:p>
        </w:tc>
        <w:tc>
          <w:tcPr>
            <w:tcW w:type="dxa" w:w="5112"/>
            <w:vAlign w:val="center"/>
          </w:tcPr>
          <w:p>
            <w:r>
              <w:t>unexpected_component</w:t>
            </w:r>
          </w:p>
        </w:tc>
      </w:tr>
      <w:tr>
        <w:tc>
          <w:tcPr>
            <w:tcW w:type="dxa" w:w="5112"/>
            <w:vAlign w:val="center"/>
          </w:tcPr>
          <w:p>
            <w:r>
              <w:t>14</w:t>
            </w:r>
          </w:p>
        </w:tc>
        <w:tc>
          <w:tcPr>
            <w:tcW w:type="dxa" w:w="5112"/>
            <w:vAlign w:val="center"/>
          </w:tcPr>
          <w:p>
            <w:r>
              <w:t>evidence_age_days</w:t>
            </w:r>
          </w:p>
        </w:tc>
      </w:tr>
      <w:tr>
        <w:tc>
          <w:tcPr>
            <w:tcW w:type="dxa" w:w="5112"/>
            <w:vAlign w:val="center"/>
          </w:tcPr>
          <w:p>
            <w:r>
              <w:t>15</w:t>
            </w:r>
          </w:p>
        </w:tc>
        <w:tc>
          <w:tcPr>
            <w:tcW w:type="dxa" w:w="5112"/>
            <w:vAlign w:val="center"/>
          </w:tcPr>
          <w:p>
            <w:r>
              <w:t>stale_evidence</w:t>
            </w:r>
          </w:p>
        </w:tc>
      </w:tr>
      <w:tr>
        <w:tc>
          <w:tcPr>
            <w:tcW w:type="dxa" w:w="5112"/>
            <w:vAlign w:val="center"/>
          </w:tcPr>
          <w:p>
            <w:r>
              <w:t>16</w:t>
            </w:r>
          </w:p>
        </w:tc>
        <w:tc>
          <w:tcPr>
            <w:tcW w:type="dxa" w:w="5112"/>
            <w:vAlign w:val="center"/>
          </w:tcPr>
          <w:p>
            <w:r>
              <w:t>package_size_mb</w:t>
            </w:r>
          </w:p>
        </w:tc>
      </w:tr>
      <w:tr>
        <w:tc>
          <w:tcPr>
            <w:tcW w:type="dxa" w:w="5112"/>
            <w:vAlign w:val="center"/>
          </w:tcPr>
          <w:p>
            <w:r>
              <w:t>17</w:t>
            </w:r>
          </w:p>
        </w:tc>
        <w:tc>
          <w:tcPr>
            <w:tcW w:type="dxa" w:w="5112"/>
            <w:vAlign w:val="center"/>
          </w:tcPr>
          <w:p>
            <w:r>
              <w:t>component_count</w:t>
            </w:r>
          </w:p>
        </w:tc>
      </w:tr>
      <w:tr>
        <w:tc>
          <w:tcPr>
            <w:tcW w:type="dxa" w:w="5112"/>
            <w:vAlign w:val="center"/>
          </w:tcPr>
          <w:p>
            <w:r>
              <w:t>18</w:t>
            </w:r>
          </w:p>
        </w:tc>
        <w:tc>
          <w:tcPr>
            <w:tcW w:type="dxa" w:w="5112"/>
            <w:vAlign w:val="center"/>
          </w:tcPr>
          <w:p>
            <w:r>
              <w:t>component_count_delta</w:t>
            </w:r>
          </w:p>
        </w:tc>
      </w:tr>
      <w:tr>
        <w:tc>
          <w:tcPr>
            <w:tcW w:type="dxa" w:w="5112"/>
            <w:vAlign w:val="center"/>
          </w:tcPr>
          <w:p>
            <w:r>
              <w:t>19</w:t>
            </w:r>
          </w:p>
        </w:tc>
        <w:tc>
          <w:tcPr>
            <w:tcW w:type="dxa" w:w="5112"/>
            <w:vAlign w:val="center"/>
          </w:tcPr>
          <w:p>
            <w:r>
              <w:t>known_vulnerability_count</w:t>
            </w:r>
          </w:p>
        </w:tc>
      </w:tr>
      <w:tr>
        <w:tc>
          <w:tcPr>
            <w:tcW w:type="dxa" w:w="5112"/>
            <w:vAlign w:val="center"/>
          </w:tcPr>
          <w:p>
            <w:r>
              <w:t>20</w:t>
            </w:r>
          </w:p>
        </w:tc>
        <w:tc>
          <w:tcPr>
            <w:tcW w:type="dxa" w:w="5112"/>
            <w:vAlign w:val="center"/>
          </w:tcPr>
          <w:p>
            <w:r>
              <w:t>max_cvss_score</w:t>
            </w:r>
          </w:p>
        </w:tc>
      </w:tr>
      <w:tr>
        <w:tc>
          <w:tcPr>
            <w:tcW w:type="dxa" w:w="5112"/>
            <w:vAlign w:val="center"/>
          </w:tcPr>
          <w:p>
            <w:r>
              <w:t>21</w:t>
            </w:r>
          </w:p>
        </w:tc>
        <w:tc>
          <w:tcPr>
            <w:tcW w:type="dxa" w:w="5112"/>
            <w:vAlign w:val="center"/>
          </w:tcPr>
          <w:p>
            <w:r>
              <w:t>hard_failure_count</w:t>
            </w:r>
          </w:p>
        </w:tc>
      </w:tr>
      <w:tr>
        <w:tc>
          <w:tcPr>
            <w:tcW w:type="dxa" w:w="5112"/>
            <w:vAlign w:val="center"/>
          </w:tcPr>
          <w:p>
            <w:r>
              <w:t>22</w:t>
            </w:r>
          </w:p>
        </w:tc>
        <w:tc>
          <w:tcPr>
            <w:tcW w:type="dxa" w:w="5112"/>
            <w:vAlign w:val="center"/>
          </w:tcPr>
          <w:p>
            <w:r>
              <w:t>evidence_issue_count</w:t>
            </w:r>
          </w:p>
        </w:tc>
      </w:tr>
    </w:tbl>
    <w:p>
      <w:r>
        <w:t>Feature metadata records ground_truth_used=false and restricts feature construction to observable and trusted-reference inputs.</w:t>
      </w:r>
    </w:p>
    <w:p>
      <w:pPr>
        <w:pStyle w:val="Heading2"/>
      </w:pPr>
      <w:r>
        <w:t>3.3 Immutable grouped split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tcPr>
          <w:p>
            <w:r>
              <w:rPr>
                <w:b/>
              </w:rPr>
              <w:t>Split</w:t>
            </w:r>
          </w:p>
        </w:tc>
        <w:tc>
          <w:tcPr>
            <w:tcW w:type="dxa" w:w="3408"/>
          </w:tcPr>
          <w:p>
            <w:r>
              <w:rPr>
                <w:b/>
              </w:rPr>
              <w:t>Records</w:t>
            </w:r>
          </w:p>
        </w:tc>
        <w:tc>
          <w:tcPr>
            <w:tcW w:type="dxa" w:w="3408"/>
          </w:tcPr>
          <w:p>
            <w:r>
              <w:rPr>
                <w:b/>
              </w:rPr>
              <w:t>Groups</w:t>
            </w:r>
          </w:p>
        </w:tc>
      </w:tr>
      <w:tr>
        <w:tc>
          <w:tcPr>
            <w:tcW w:type="dxa" w:w="3408"/>
            <w:vAlign w:val="center"/>
          </w:tcPr>
          <w:p>
            <w:r>
              <w:t>Train</w:t>
            </w:r>
          </w:p>
        </w:tc>
        <w:tc>
          <w:tcPr>
            <w:tcW w:type="dxa" w:w="3408"/>
            <w:vAlign w:val="center"/>
          </w:tcPr>
          <w:p>
            <w:r>
              <w:t>3,500</w:t>
            </w:r>
          </w:p>
        </w:tc>
        <w:tc>
          <w:tcPr>
            <w:tcW w:type="dxa" w:w="3408"/>
            <w:vAlign w:val="center"/>
          </w:tcPr>
          <w:p>
            <w:r>
              <w:t>350</w:t>
            </w:r>
          </w:p>
        </w:tc>
      </w:tr>
      <w:tr>
        <w:tc>
          <w:tcPr>
            <w:tcW w:type="dxa" w:w="3408"/>
            <w:vAlign w:val="center"/>
          </w:tcPr>
          <w:p>
            <w:r>
              <w:t>Validation</w:t>
            </w:r>
          </w:p>
        </w:tc>
        <w:tc>
          <w:tcPr>
            <w:tcW w:type="dxa" w:w="3408"/>
            <w:vAlign w:val="center"/>
          </w:tcPr>
          <w:p>
            <w:r>
              <w:t>750</w:t>
            </w:r>
          </w:p>
        </w:tc>
        <w:tc>
          <w:tcPr>
            <w:tcW w:type="dxa" w:w="3408"/>
            <w:vAlign w:val="center"/>
          </w:tcPr>
          <w:p>
            <w:r>
              <w:t>75</w:t>
            </w:r>
          </w:p>
        </w:tc>
      </w:tr>
      <w:tr>
        <w:tc>
          <w:tcPr>
            <w:tcW w:type="dxa" w:w="3408"/>
            <w:vAlign w:val="center"/>
          </w:tcPr>
          <w:p>
            <w:r>
              <w:t>Test</w:t>
            </w:r>
          </w:p>
        </w:tc>
        <w:tc>
          <w:tcPr>
            <w:tcW w:type="dxa" w:w="3408"/>
            <w:vAlign w:val="center"/>
          </w:tcPr>
          <w:p>
            <w:r>
              <w:t>750</w:t>
            </w:r>
          </w:p>
        </w:tc>
        <w:tc>
          <w:tcPr>
            <w:tcW w:type="dxa" w:w="3408"/>
            <w:vAlign w:val="center"/>
          </w:tcPr>
          <w:p>
            <w:r>
              <w:t>75</w:t>
            </w:r>
          </w:p>
        </w:tc>
      </w:tr>
      <w:tr>
        <w:tc>
          <w:tcPr>
            <w:tcW w:type="dxa" w:w="3408"/>
            <w:vAlign w:val="center"/>
          </w:tcPr>
          <w:p>
            <w:r>
              <w:t>Total</w:t>
            </w:r>
          </w:p>
        </w:tc>
        <w:tc>
          <w:tcPr>
            <w:tcW w:type="dxa" w:w="3408"/>
            <w:vAlign w:val="center"/>
          </w:tcPr>
          <w:p>
            <w:r>
              <w:t>5,000</w:t>
            </w:r>
          </w:p>
        </w:tc>
        <w:tc>
          <w:tcPr>
            <w:tcW w:type="dxa" w:w="3408"/>
            <w:vAlign w:val="center"/>
          </w:tcPr>
          <w:p>
            <w:r>
              <w:t>500</w:t>
            </w:r>
          </w:p>
        </w:tc>
      </w:tr>
    </w:tbl>
    <w:p>
      <w:r>
        <w:t>Every lineage contains 10 assessments and occurs in exactly one split. No record or lineage may be reassigned.</w:t>
      </w:r>
    </w:p>
    <w:p>
      <w:pPr>
        <w:pStyle w:val="Heading1"/>
      </w:pPr>
      <w:r>
        <w:t>4. Candidate Track A — Supervised risk classification</w:t>
      </w:r>
    </w:p>
    <w:p>
      <w:r>
        <w:rPr>
          <w:b/>
        </w:rPr>
        <w:t xml:space="preserve">DummyClassifier baseline: </w:t>
      </w:r>
      <w:r>
        <w:t>Establish a non-learning reference point; report most_frequent and stratified variants with a fixed seed.</w:t>
      </w:r>
    </w:p>
    <w:p>
      <w:r>
        <w:rPr>
          <w:b/>
        </w:rPr>
        <w:t xml:space="preserve">Multinomial logistic regression: </w:t>
      </w:r>
      <w:r>
        <w:t>Use train-only preprocessing, standardized continuous variables, and evaluate class weighting with a predeclared C grid.</w:t>
      </w:r>
    </w:p>
    <w:p>
      <w:r>
        <w:t>RandomForestClassifier: Evaluate the exact grid in Section 7 with a fixed seed and single-threaded fitting for reproducibility. Extra Trees is not part of this experiment.</w:t>
      </w:r>
    </w:p>
    <w:p>
      <w:r>
        <w:rPr>
          <w:b/>
        </w:rPr>
        <w:t xml:space="preserve">HistGradientBoostingClassifier: </w:t>
      </w:r>
      <w:r>
        <w:t>Evaluate learning rate, maximum iterations, maximum leaf nodes, minimum samples per leaf, and L2 regularization; use approved sample-weight handling if class_weight is unavailable.</w:t>
      </w:r>
    </w:p>
    <w:p>
      <w:pPr>
        <w:pStyle w:val="Heading1"/>
      </w:pPr>
      <w:r>
        <w:t>5. Candidate Track B — Independent anomaly detection</w:t>
      </w:r>
    </w:p>
    <w:p>
      <w:r>
        <w:t>Isolation Forest is fitted only on rows in the immutable training split where ground_truth_label == 'normal'. The label is used solely for this one-class fitting filter; scenario_type and scenario manifests are never consulted. Validation labels select the frozen anomaly configuration and operating threshold. Test records and labels remain untouched until the one-time final evaluation.</w:t>
      </w:r>
    </w:p>
    <w:p>
      <w:pPr>
        <w:pStyle w:val="ListBullet"/>
      </w:pPr>
      <w:r>
        <w:t>Report held-out score distributions for normal versus non-normal records.</w:t>
      </w:r>
    </w:p>
    <w:p>
      <w:pPr>
        <w:pStyle w:val="ListBullet"/>
      </w:pPr>
      <w:r>
        <w:t>Report AUROC, AUPRC, recall at fixed FPR (1%, 5%, 10%), and precision/recall at the predeclared operating threshold.</w:t>
      </w:r>
    </w:p>
    <w:p>
      <w:pPr>
        <w:pStyle w:val="ListBullet"/>
      </w:pPr>
      <w:r>
        <w:t>Report a confusion matrix at the chosen threshold.</w:t>
      </w:r>
    </w:p>
    <w:p>
      <w:pPr>
        <w:pStyle w:val="ListBullet"/>
      </w:pPr>
      <w:r>
        <w:t>Treat the anomaly score as advisory only; it must not override deterministic evidence or trigger automated deployment.</w:t>
      </w:r>
    </w:p>
    <w:p>
      <w:pPr>
        <w:pStyle w:val="Heading1"/>
      </w:pPr>
      <w:r>
        <w:t>6. Preprocessing and leakage controls</w:t>
      </w:r>
    </w:p>
    <w:p>
      <w:pPr>
        <w:pStyle w:val="Heading2"/>
      </w:pPr>
      <w:r>
        <w:t>6.1 Train-only preprocessing</w:t>
      </w:r>
    </w:p>
    <w:p>
      <w:pPr>
        <w:pStyle w:val="ListBullet"/>
      </w:pPr>
      <w:r>
        <w:t>Any learned imputation, scaling, feature selection, class weights, calibration model, or anomaly model is fitted on training data only.</w:t>
      </w:r>
    </w:p>
    <w:p>
      <w:pPr>
        <w:pStyle w:val="ListBullet"/>
      </w:pPr>
      <w:r>
        <w:t>Validation uses transformations fitted on training data.</w:t>
      </w:r>
    </w:p>
    <w:p>
      <w:pPr>
        <w:pStyle w:val="ListBullet"/>
      </w:pPr>
      <w:r>
        <w:t>The test split remains untouched until final candidate selection.</w:t>
      </w:r>
    </w:p>
    <w:p>
      <w:pPr>
        <w:pStyle w:val="Heading2"/>
      </w:pPr>
      <w:r>
        <w:t>6.2 Forbidden inputs</w:t>
      </w:r>
    </w:p>
    <w:p>
      <w:pPr>
        <w:pStyle w:val="ListBullet"/>
      </w:pPr>
      <w:r>
        <w:t>ground_truth_label, ground_truth_score, ground_truth_factors</w:t>
      </w:r>
    </w:p>
    <w:p>
      <w:pPr>
        <w:pStyle w:val="ListBullet"/>
      </w:pPr>
      <w:r>
        <w:t>scenario_manifests.csv and scenario/provenance fields</w:t>
      </w:r>
    </w:p>
    <w:p>
      <w:pPr>
        <w:pStyle w:val="ListBullet"/>
      </w:pPr>
      <w:r>
        <w:t>split, group, run, and record identifiers</w:t>
      </w:r>
    </w:p>
    <w:p>
      <w:pPr>
        <w:pStyle w:val="Heading2"/>
      </w:pPr>
      <w:r>
        <w:t>6.3 Leakage checks</w:t>
      </w:r>
    </w:p>
    <w:p>
      <w:pPr>
        <w:pStyle w:val="ListNumber"/>
      </w:pPr>
      <w:r>
        <w:t>Feature columns exactly match the approved 22-feature list.</w:t>
      </w:r>
    </w:p>
    <w:p>
      <w:pPr>
        <w:pStyle w:val="ListNumber"/>
      </w:pPr>
      <w:r>
        <w:t>No target/provenance/split/group/run identifier is in X.</w:t>
      </w:r>
    </w:p>
    <w:p>
      <w:pPr>
        <w:pStyle w:val="ListNumber"/>
      </w:pPr>
      <w:r>
        <w:t>Feature metadata remains ground_truth_used=false.</w:t>
      </w:r>
    </w:p>
    <w:p>
      <w:pPr>
        <w:pStyle w:val="ListNumber"/>
      </w:pPr>
      <w:r>
        <w:t>All preprocessing objects are fitted only on training rows.</w:t>
      </w:r>
    </w:p>
    <w:p>
      <w:pPr>
        <w:pStyle w:val="ListNumber"/>
      </w:pPr>
      <w:r>
        <w:t>No lineage crosses splits.</w:t>
      </w:r>
    </w:p>
    <w:p>
      <w:pPr>
        <w:pStyle w:val="ListNumber"/>
      </w:pPr>
      <w:r>
        <w:t>No validation/test-derived statistic enters training.</w:t>
      </w:r>
    </w:p>
    <w:p>
      <w:pPr>
        <w:pStyle w:val="ListNumber"/>
      </w:pPr>
      <w:r>
        <w:t>No test labels are accessed until final evaluation.</w:t>
      </w:r>
    </w:p>
    <w:p>
      <w:pPr>
        <w:pStyle w:val="ListNumber"/>
      </w:pPr>
      <w:r>
        <w:t>Saved artefacts contain no hidden copies of test labels.</w:t>
      </w:r>
    </w:p>
    <w:p>
      <w:pPr>
        <w:pStyle w:val="Heading1"/>
      </w:pPr>
      <w:r>
        <w:t>7. Hyperparameter selection</w:t>
      </w:r>
    </w:p>
    <w:p>
      <w:r>
        <w:t>Use the fixed train/validation/test split. Within the training split only, use deterministic 5-fold GroupKFold with group_id and no shuffling. Use random_state=20260828 for every stochastic component and n_jobs=1 where available. Select supervised hyperparameters by mean cross-validated Macro-F1; resolve ties by higher high-risk recall, higher minimum per-class F1, lower log-loss, then lower complexity.</w:t>
      </w:r>
    </w:p>
    <w:p>
      <w:r>
        <w:t>Exact supervised search spaces: DummyClassifier strategy ∈ {most_frequent, stratified}; logistic regression C ∈ {0.01, 0.1, 1, 10}, class_weight ∈ {None, balanced}, solver=lbfgs, max_iter=2000; Random Forest n_estimators ∈ {300, 600}, max_depth ∈ {None, 8, 16}, min_samples_leaf ∈ {1, 5, 10}, max_features ∈ {sqrt, 0.75}, class_weight ∈ {None, balanced}; HistGradientBoosting learning_rate ∈ {0.03, 0.1}, max_iter ∈ {200, 400}, max_leaf_nodes ∈ {15, 31}, min_samples_leaf ∈ {10, 20}, l2_regularization ∈ {0, 1}, weighting ∈ {unweighted, balanced training-only sample weights}.</w:t>
      </w:r>
    </w:p>
    <w:p>
      <w:pPr>
        <w:keepNext w:val="0"/>
      </w:pPr>
      <w:r>
        <w:t>Exact anomaly search space: IsolationForest n_estimators ∈ {300, 600}, max_samples ∈ {auto, 0.75}, max_features ∈ {0.75, 1.0}, bootstrap=False, contamination=auto and random_state=20260828. Select on validation AUPRC, then recall at 5% normal-class FPR, then lower complexity. Choose the operating threshold on validation as the threshold with the highest non-normal recall subject to normal-class FPR ≤5%; freeze it before test evaluation.</w:t>
      </w:r>
    </w:p>
    <w:p>
      <w:pPr>
        <w:keepNext w:val="0"/>
      </w:pPr>
      <w:r>
        <w:t>After cross-validation tuning, refit each supervised candidate on the full training split and compare uncalibrated candidates once on validation. Select and freeze the supervised family/hyperparameters using Section 11. Fit a preselected sigmoid calibrator on the validation predictions and labels; do not compare calibration methods. Report calibrated acceptance metrics only on the untouched test split. Test failure rejects the experiment and must not trigger retuning against that test set.</w:t>
      </w:r>
    </w:p>
    <w:p>
      <w:pPr>
        <w:pStyle w:val="Heading1"/>
      </w:pPr>
      <w:r>
        <w:t>8. Class weighting</w:t>
      </w:r>
    </w:p>
    <w:p>
      <w:r>
        <w:t>Dataset labels: normal 1,000; investigate 2,000; high_risk 2,000.</w:t>
      </w:r>
    </w:p>
    <w:p>
      <w:r>
        <w:t>Training class weights must be derived from training labels only. For supported candidates, evaluate balanced weighting and a predeclared unweighted comparator. Test performance must never tune weights.</w:t>
      </w:r>
    </w:p>
    <w:p>
      <w:pPr>
        <w:pStyle w:val="Heading1"/>
      </w:pPr>
      <w:r>
        <w:t>9. Evaluation metrics</w:t>
      </w:r>
    </w:p>
    <w:p>
      <w:pPr>
        <w:pStyle w:val="Heading2"/>
      </w:pPr>
      <w:r>
        <w:t>9.1 Classification</w:t>
      </w:r>
    </w:p>
    <w:p>
      <w:pPr>
        <w:pStyle w:val="ListBullet"/>
      </w:pPr>
      <w:r>
        <w:t>Macro-F1 (primary discrimination metric)</w:t>
      </w:r>
    </w:p>
    <w:p>
      <w:pPr>
        <w:pStyle w:val="ListBullet"/>
      </w:pPr>
      <w:r>
        <w:t>Per-class precision, recall, and F1</w:t>
      </w:r>
    </w:p>
    <w:p>
      <w:pPr>
        <w:pStyle w:val="ListBullet"/>
      </w:pPr>
      <w:r>
        <w:t>High-risk recall</w:t>
      </w:r>
    </w:p>
    <w:p>
      <w:pPr>
        <w:pStyle w:val="ListBullet"/>
      </w:pPr>
      <w:r>
        <w:t>Confusion matrix</w:t>
      </w:r>
    </w:p>
    <w:p>
      <w:pPr>
        <w:pStyle w:val="Heading2"/>
        <w:keepNext/>
      </w:pPr>
      <w:r>
        <w:t>9.2 Probability quality and calibration protocol</w:t>
      </w:r>
    </w:p>
    <w:p>
      <w:pPr>
        <w:pStyle w:val="ListBullet"/>
      </w:pPr>
      <w:r>
        <w:t>Multiclass Brier score</w:t>
      </w:r>
    </w:p>
    <w:p>
      <w:pPr>
        <w:pStyle w:val="ListBullet"/>
      </w:pPr>
      <w:r>
        <w:t>Log-loss</w:t>
      </w:r>
    </w:p>
    <w:p>
      <w:pPr>
        <w:pStyle w:val="ListBullet"/>
      </w:pPr>
      <w:r>
        <w:t>Reliability analysis / calibration curve</w:t>
      </w:r>
    </w:p>
    <w:p>
      <w:pPr>
        <w:pStyle w:val="ListBullet"/>
      </w:pPr>
      <w:r>
        <w:t>Expected calibration error (ECE) with a frozen binning rule</w:t>
      </w:r>
    </w:p>
    <w:p>
      <w:pPr>
        <w:pStyle w:val="ListBullet"/>
      </w:pPr>
      <w:r>
        <w:t>Calibration method is fixed as sigmoid calibration. It is fitted only after model selection using validation predictions and labels; calibrated Brier score, log-loss, ECE and reliability bins are evaluated only on the untouched test split. ECE uses 10 equal-width probability bins fixed before evaluation.</w:t>
      </w:r>
    </w:p>
    <w:p>
      <w:pPr>
        <w:pStyle w:val="Heading1"/>
      </w:pPr>
      <w:r>
        <w:t>10. Proposed acceptance and rejection thresholds</w:t>
      </w:r>
    </w:p>
    <w:p>
      <w:r>
        <w:t>These are pre-declared experiment gates for approval, not production-readiness claims.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tcPr>
          <w:p>
            <w:r>
              <w:rPr>
                <w:b/>
              </w:rPr>
              <w:t>Gate</w:t>
            </w:r>
          </w:p>
        </w:tc>
        <w:tc>
          <w:tcPr>
            <w:tcW w:type="dxa" w:w="5112"/>
          </w:tcPr>
          <w:p>
            <w:r>
              <w:rPr>
                <w:b/>
              </w:rPr>
              <w:t>Threshold</w:t>
            </w:r>
          </w:p>
        </w:tc>
      </w:tr>
      <w:tr>
        <w:tc>
          <w:tcPr>
            <w:tcW w:type="dxa" w:w="5112"/>
            <w:vAlign w:val="center"/>
          </w:tcPr>
          <w:p>
            <w:r>
              <w:t>Supervised Macro-F1</w:t>
            </w:r>
          </w:p>
        </w:tc>
        <w:tc>
          <w:tcPr>
            <w:tcW w:type="dxa" w:w="5112"/>
            <w:vAlign w:val="center"/>
          </w:tcPr>
          <w:p>
            <w:r>
              <w:t>≥ 0.95</w:t>
            </w:r>
          </w:p>
        </w:tc>
      </w:tr>
      <w:tr>
        <w:tc>
          <w:tcPr>
            <w:tcW w:type="dxa" w:w="5112"/>
            <w:vAlign w:val="center"/>
          </w:tcPr>
          <w:p>
            <w:r>
              <w:t>High-risk recall</w:t>
            </w:r>
          </w:p>
        </w:tc>
        <w:tc>
          <w:tcPr>
            <w:tcW w:type="dxa" w:w="5112"/>
            <w:vAlign w:val="center"/>
          </w:tcPr>
          <w:p>
            <w:r>
              <w:t>≥ 0.98</w:t>
            </w:r>
          </w:p>
        </w:tc>
      </w:tr>
      <w:tr>
        <w:tc>
          <w:tcPr>
            <w:tcW w:type="dxa" w:w="5112"/>
            <w:vAlign w:val="center"/>
          </w:tcPr>
          <w:p>
            <w:r>
              <w:t>Per-class recall</w:t>
            </w:r>
          </w:p>
        </w:tc>
        <w:tc>
          <w:tcPr>
            <w:tcW w:type="dxa" w:w="5112"/>
            <w:vAlign w:val="center"/>
          </w:tcPr>
          <w:p>
            <w:r>
              <w:t>≥ 0.90</w:t>
            </w:r>
          </w:p>
        </w:tc>
      </w:tr>
      <w:tr>
        <w:tc>
          <w:tcPr>
            <w:tcW w:type="dxa" w:w="5112"/>
            <w:vAlign w:val="center"/>
          </w:tcPr>
          <w:p>
            <w:r>
              <w:t>Per-class precision</w:t>
            </w:r>
          </w:p>
        </w:tc>
        <w:tc>
          <w:tcPr>
            <w:tcW w:type="dxa" w:w="5112"/>
            <w:vAlign w:val="center"/>
          </w:tcPr>
          <w:p>
            <w:r>
              <w:t>≥ 0.90</w:t>
            </w:r>
          </w:p>
        </w:tc>
      </w:tr>
      <w:tr>
        <w:tc>
          <w:tcPr>
            <w:tcW w:type="dxa" w:w="5112"/>
            <w:vAlign w:val="center"/>
          </w:tcPr>
          <w:p>
            <w:r>
              <w:t>Minimum per-class F1</w:t>
            </w:r>
          </w:p>
        </w:tc>
        <w:tc>
          <w:tcPr>
            <w:tcW w:type="dxa" w:w="5112"/>
            <w:vAlign w:val="center"/>
          </w:tcPr>
          <w:p>
            <w:r>
              <w:t>≥ 0.90</w:t>
            </w:r>
          </w:p>
        </w:tc>
      </w:tr>
      <w:tr>
        <w:tc>
          <w:tcPr>
            <w:tcW w:type="dxa" w:w="5112"/>
            <w:vAlign w:val="center"/>
          </w:tcPr>
          <w:p>
            <w:r>
              <w:t>Multiclass Brier score</w:t>
            </w:r>
          </w:p>
        </w:tc>
        <w:tc>
          <w:tcPr>
            <w:tcW w:type="dxa" w:w="5112"/>
            <w:vAlign w:val="center"/>
          </w:tcPr>
          <w:p>
            <w:r>
              <w:t>≤ 0.10</w:t>
            </w:r>
          </w:p>
        </w:tc>
      </w:tr>
      <w:tr>
        <w:tc>
          <w:tcPr>
            <w:tcW w:type="dxa" w:w="5112"/>
            <w:vAlign w:val="center"/>
          </w:tcPr>
          <w:p>
            <w:r>
              <w:t>Log-loss</w:t>
            </w:r>
          </w:p>
        </w:tc>
        <w:tc>
          <w:tcPr>
            <w:tcW w:type="dxa" w:w="5112"/>
            <w:vAlign w:val="center"/>
          </w:tcPr>
          <w:p>
            <w:r>
              <w:t>≤ 0.25</w:t>
            </w:r>
          </w:p>
        </w:tc>
      </w:tr>
      <w:tr>
        <w:tc>
          <w:tcPr>
            <w:tcW w:type="dxa" w:w="5112"/>
            <w:vAlign w:val="center"/>
          </w:tcPr>
          <w:p>
            <w:r>
              <w:t>ECE</w:t>
            </w:r>
          </w:p>
        </w:tc>
        <w:tc>
          <w:tcPr>
            <w:tcW w:type="dxa" w:w="5112"/>
            <w:vAlign w:val="center"/>
          </w:tcPr>
          <w:p>
            <w:r>
              <w:t>≤ 0.05</w:t>
            </w:r>
          </w:p>
        </w:tc>
      </w:tr>
      <w:tr>
        <w:tc>
          <w:tcPr>
            <w:tcW w:type="dxa" w:w="5112"/>
            <w:vAlign w:val="center"/>
          </w:tcPr>
          <w:p>
            <w:r>
              <w:t>Isolation Forest AUROC</w:t>
            </w:r>
          </w:p>
        </w:tc>
        <w:tc>
          <w:tcPr>
            <w:tcW w:type="dxa" w:w="5112"/>
            <w:vAlign w:val="center"/>
          </w:tcPr>
          <w:p>
            <w:r>
              <w:t>≥ 0.80</w:t>
            </w:r>
          </w:p>
        </w:tc>
      </w:tr>
      <w:tr>
        <w:tc>
          <w:tcPr>
            <w:tcW w:type="dxa" w:w="5112"/>
            <w:vAlign w:val="center"/>
          </w:tcPr>
          <w:p>
            <w:r>
              <w:t>Isolation Forest AUPRC</w:t>
            </w:r>
          </w:p>
        </w:tc>
        <w:tc>
          <w:tcPr>
            <w:tcW w:type="dxa" w:w="5112"/>
            <w:vAlign w:val="center"/>
          </w:tcPr>
          <w:p>
            <w:r>
              <w:t>≥ 0.80</w:t>
            </w:r>
          </w:p>
        </w:tc>
      </w:tr>
      <w:tr>
        <w:tc>
          <w:tcPr>
            <w:tcW w:type="dxa" w:w="5112"/>
            <w:vAlign w:val="center"/>
          </w:tcPr>
          <w:p>
            <w:r>
              <w:t>Isolation Forest recall at 5% FPR</w:t>
            </w:r>
          </w:p>
        </w:tc>
        <w:tc>
          <w:tcPr>
            <w:tcW w:type="dxa" w:w="5112"/>
            <w:vAlign w:val="center"/>
          </w:tcPr>
          <w:p>
            <w:r>
              <w:t>≥ 0.70</w:t>
            </w:r>
          </w:p>
        </w:tc>
      </w:tr>
    </w:tbl>
    <w:p>
      <w:r>
        <w:t>Reject a candidate if any mandatory gate fails, leakage or reproducibility fails, or any decision depends on test-set tuning. A candidate may also be rejected if performance is driven by a feature that cannot be justified as assessment-time observable evidence.</w:t>
      </w:r>
    </w:p>
    <w:p>
      <w:pPr>
        <w:keepNext w:val="0"/>
      </w:pPr>
      <w:r>
        <w:t>Threshold rationale: because the multiclass labels are deterministic-policy outputs and all classes must be represented reliably, the supervised gates emphasise balanced performance and near-complete high-risk recall. Calibration gates limit overconfident advisory output. The anomaly gates are exploratory minimums for a synthetic PoC, not production-readiness criteria. The deterministic policy is reported as a reference oracle and is expected to reproduce its generated labels exactly; supervised errors are fidelity gaps, not newly discovered security truth.</w:t>
      </w:r>
    </w:p>
    <w:p>
      <w:pPr>
        <w:keepNext w:val="0"/>
      </w:pPr>
      <w:r>
        <w:t>Application rule: a candidate must first pass all applicable gates on validation before the test split is opened. After the model, calibrator and anomaly threshold are frozen, the same applicable gates are assessed once on test. Any test failure rejects that experiment. Reuse of that test split for tuning is prohibited; a materially revised experiment requires a newly versioned, quarantined holdout.</w:t>
      </w:r>
    </w:p>
    <w:p>
      <w:pPr>
        <w:pStyle w:val="Heading1"/>
      </w:pPr>
      <w:r>
        <w:t>11. Final candidate-selection rules</w:t>
      </w:r>
    </w:p>
    <w:p>
      <w:pPr>
        <w:pStyle w:val="ListNumber"/>
      </w:pPr>
      <w:r>
        <w:t>Pass all leakage and reproducibility checks.</w:t>
      </w:r>
    </w:p>
    <w:p>
      <w:pPr>
        <w:pStyle w:val="ListNumber"/>
      </w:pPr>
      <w:r>
        <w:t>Pass all mandatory validation thresholds.</w:t>
      </w:r>
    </w:p>
    <w:p>
      <w:pPr>
        <w:pStyle w:val="ListNumber"/>
      </w:pPr>
      <w:r>
        <w:t>Highest validation Macro-F1.</w:t>
      </w:r>
    </w:p>
    <w:p>
      <w:pPr>
        <w:pStyle w:val="ListNumber"/>
      </w:pPr>
      <w:r>
        <w:t>If within 0.01 Macro-F1, prefer higher high-risk recall.</w:t>
      </w:r>
    </w:p>
    <w:p>
      <w:pPr>
        <w:pStyle w:val="ListNumber"/>
      </w:pPr>
      <w:r>
        <w:t>If still tied, prefer higher minimum per-class F1.</w:t>
      </w:r>
    </w:p>
    <w:p>
      <w:pPr>
        <w:pStyle w:val="ListNumber"/>
      </w:pPr>
      <w:r>
        <w:t>If still tied, prefer lower log-loss and better calibration.</w:t>
      </w:r>
    </w:p>
    <w:p>
      <w:pPr>
        <w:pStyle w:val="ListNumber"/>
      </w:pPr>
      <w:r>
        <w:t>If still tied, prefer the simpler/more interpretable model.</w:t>
      </w:r>
    </w:p>
    <w:p>
      <w:pPr>
        <w:pStyle w:val="ListNumber"/>
      </w:pPr>
      <w:r>
        <w:t>Freeze the candidate before touching the test split.</w:t>
      </w:r>
    </w:p>
    <w:p>
      <w:r>
        <w:rPr>
          <w:b/>
        </w:rPr>
        <w:t>Isolation Forest is selected independently and remains advisory. No rule/ML fusion is part of selection.</w:t>
      </w:r>
    </w:p>
    <w:p>
      <w:pPr>
        <w:pStyle w:val="Heading1"/>
      </w:pPr>
      <w:r>
        <w:t>12. Reproducibility and saved artefacts</w:t>
      </w:r>
    </w:p>
    <w:p>
      <w:pPr>
        <w:pStyle w:val="ListBullet"/>
      </w:pPr>
      <w:r>
        <w:t>Python and scikit-learn versions; dependency state</w:t>
      </w:r>
    </w:p>
    <w:p>
      <w:pPr>
        <w:pStyle w:val="ListBullet"/>
      </w:pPr>
      <w:r>
        <w:t>Global and model-specific seeds</w:t>
      </w:r>
    </w:p>
    <w:p>
      <w:pPr>
        <w:pStyle w:val="ListBullet"/>
      </w:pPr>
      <w:r>
        <w:t>Feature, label, split, and metadata SHA-256 hashes</w:t>
      </w:r>
    </w:p>
    <w:p>
      <w:pPr>
        <w:pStyle w:val="ListBullet"/>
      </w:pPr>
      <w:r>
        <w:t>Dataset run ID</w:t>
      </w:r>
    </w:p>
    <w:p>
      <w:pPr>
        <w:pStyle w:val="ListBullet"/>
      </w:pPr>
      <w:r>
        <w:t>Selected hyperparameters and class-weight configuration</w:t>
      </w:r>
    </w:p>
    <w:p>
      <w:pPr>
        <w:pStyle w:val="ListBullet"/>
      </w:pPr>
      <w:r>
        <w:t>Preprocessing and calibration configuration</w:t>
      </w:r>
    </w:p>
    <w:p>
      <w:pPr>
        <w:pStyle w:val="ListBullet"/>
      </w:pPr>
      <w:r>
        <w:t>Threshold configuration</w:t>
      </w:r>
    </w:p>
    <w:p>
      <w:pPr>
        <w:pStyle w:val="ListBullet"/>
      </w:pPr>
      <w:r>
        <w:t>Candidate model and preprocessing pipeline</w:t>
      </w:r>
    </w:p>
    <w:p>
      <w:pPr>
        <w:pStyle w:val="ListBullet"/>
      </w:pPr>
      <w:r>
        <w:t>Validation/test metrics, confusion matrices, reliability data, anomaly metrics</w:t>
      </w:r>
    </w:p>
    <w:p>
      <w:pPr>
        <w:pStyle w:val="ListBullet"/>
      </w:pPr>
      <w:r>
        <w:t>Feature-importance/coefficient artefacts where supported</w:t>
      </w:r>
    </w:p>
    <w:p>
      <w:pPr>
        <w:pStyle w:val="ListBullet"/>
      </w:pPr>
      <w:r>
        <w:t>Experiment manifest linking artefacts to dataset/split hashes</w:t>
      </w:r>
    </w:p>
    <w:p>
      <w:pPr>
        <w:pStyle w:val="Heading1"/>
        <w:keepNext/>
      </w:pPr>
      <w:r>
        <w:t>13. Explainability contract</w:t>
      </w:r>
    </w:p>
    <w:p>
      <w:pPr>
        <w:pStyle w:val="ListBullet"/>
        <w:keepNext w:val="0"/>
      </w:pPr>
      <w:r>
        <w:t>Global explanation: report standardized logistic coefficients where applicable and model-agnostic permutation importance on validation with 20 repeats and random_state=20260828 for every non-dummy candidate.</w:t>
      </w:r>
    </w:p>
    <w:p>
      <w:pPr>
        <w:pStyle w:val="ListBullet"/>
        <w:keepNext w:val="0"/>
      </w:pPr>
      <w:r>
        <w:t>Local explanation: for each saved prediction, report the five observable features with the largest absolute change in predicted-class probability under one-feature baseline ablation. Label these as model-sensitivity indicators, not causal explanations.</w:t>
      </w:r>
    </w:p>
    <w:p>
      <w:pPr>
        <w:pStyle w:val="ListBullet"/>
        <w:keepNext w:val="0"/>
      </w:pPr>
      <w:r>
        <w:t>Explanation inputs must exactly match the approved feature contract. Ground truth, scenario metadata, identifiers and post-decision information remain prohibited.</w:t>
      </w:r>
    </w:p>
    <w:p>
      <w:pPr>
        <w:pStyle w:val="Heading1"/>
      </w:pPr>
      <w:r>
        <w:t>14. Synthetic-data and framework-gap limitations</w:t>
      </w:r>
    </w:p>
    <w:p>
      <w:pPr>
        <w:pStyle w:val="ListBullet"/>
      </w:pPr>
      <w:r>
        <w:t>No external real-world firmware corpus is used; production generalisation must not be claimed.</w:t>
      </w:r>
    </w:p>
    <w:p>
      <w:pPr>
        <w:pStyle w:val="ListBullet"/>
      </w:pPr>
      <w:r>
        <w:t>Synthetic feature distributions may not match deployed firmware ecosystems.</w:t>
      </w:r>
    </w:p>
    <w:p>
      <w:pPr>
        <w:pStyle w:val="ListBullet"/>
      </w:pPr>
      <w:r>
        <w:t>The framework benchmark is conformance/coverage, not certification.</w:t>
      </w:r>
    </w:p>
    <w:p>
      <w:pPr>
        <w:pStyle w:val="ListBullet"/>
      </w:pPr>
      <w:r>
        <w:t>Coverage result: 7 covered, 6 partial, 7 gaps.</w:t>
      </w:r>
    </w:p>
    <w:p>
      <w:pPr>
        <w:pStyle w:val="ListBullet"/>
      </w:pPr>
      <w:r>
        <w:t>SLSA build/source provenance is not represented.</w:t>
      </w:r>
    </w:p>
    <w:p>
      <w:pPr>
        <w:pStyle w:val="ListBullet"/>
      </w:pPr>
      <w:r>
        <w:t>NIST SP 800-193 recovery and hardware-backed protection are outside the PoC boundary.</w:t>
      </w:r>
    </w:p>
    <w:p>
      <w:pPr>
        <w:pStyle w:val="ListBullet"/>
      </w:pPr>
      <w:r>
        <w:t>NIST SSDF organisational development-process controls are not established.</w:t>
      </w:r>
    </w:p>
    <w:p>
      <w:pPr>
        <w:pStyle w:val="ListBullet"/>
      </w:pPr>
      <w:r>
        <w:t>CycloneDX VEX is separate CSV data, not a standards-valid CycloneDX vulnerability-analysis object.</w:t>
      </w:r>
    </w:p>
    <w:p>
      <w:pPr>
        <w:pStyle w:val="ListBullet"/>
      </w:pPr>
      <w:r>
        <w:t>CycloneDX BOM signature verification is a documented gap.</w:t>
      </w:r>
    </w:p>
    <w:p>
      <w:pPr>
        <w:pStyle w:val="ListBullet"/>
      </w:pPr>
      <w:r>
        <w:t>Framework gaps must not be interpreted as evidence that a package is safe or unsafe.</w:t>
      </w:r>
    </w:p>
    <w:p>
      <w:pPr>
        <w:pStyle w:val="Heading1"/>
      </w:pPr>
      <w:r>
        <w:t>15. Operational boundary</w:t>
      </w:r>
    </w:p>
    <w:p>
      <w:pPr>
        <w:pStyle w:val="ListBullet"/>
      </w:pPr>
      <w:r>
        <w:t>Do not implement rule/ML fusion.</w:t>
      </w:r>
    </w:p>
    <w:p>
      <w:pPr>
        <w:pStyle w:val="ListBullet"/>
      </w:pPr>
      <w:r>
        <w:t>Do not implement automatic ML override of deterministic decisions.</w:t>
      </w:r>
    </w:p>
    <w:p>
      <w:pPr>
        <w:pStyle w:val="ListBullet"/>
      </w:pPr>
      <w:r>
        <w:t>Do not implement inference API or dashboard.</w:t>
      </w:r>
    </w:p>
    <w:p>
      <w:pPr>
        <w:pStyle w:val="ListBullet"/>
      </w:pPr>
      <w:r>
        <w:t>Do not perform firmware flashing, installation, quarantine, or production actions.</w:t>
      </w:r>
    </w:p>
    <w:p>
      <w:pPr>
        <w:pStyle w:val="ListBullet"/>
      </w:pPr>
      <w:r>
        <w:t>If ML is later introduced, it remains advisory and deterministic hard-failure evidence retains precedence.</w:t>
      </w:r>
    </w:p>
    <w:p>
      <w:pPr>
        <w:pStyle w:val="Heading1"/>
        <w:keepNext/>
      </w:pPr>
      <w:r>
        <w:t>16. Responsible AI and model assurance</w:t>
      </w:r>
    </w:p>
    <w:p>
      <w:pPr>
        <w:keepNext w:val="0"/>
      </w:pPr>
      <w:r>
        <w:t>This PoC is informed by the NIST AI RMF Govern, Map, Measure and Manage functions and by responsible-AI principles of validity, safety, security, resilience, transparency, explainability, privacy and performance consistency. This is a design mapping, not certification or a compliance claim.</w:t>
      </w:r>
    </w:p>
    <w:p>
      <w:pPr>
        <w:pStyle w:val="ListBullet"/>
        <w:keepNext w:val="0"/>
      </w:pPr>
      <w:r>
        <w:t>Human authority: ML is advisory and cannot approve deployment, quarantine a package or override deterministic hard failures. Invalid, missing or unsupported inputs withhold the ML score and route to investigate.</w:t>
      </w:r>
    </w:p>
    <w:p>
      <w:pPr>
        <w:pStyle w:val="ListBullet"/>
        <w:keepNext w:val="0"/>
      </w:pPr>
      <w:r>
        <w:t>Operational performance consistency: after predictions are frozen, join audit-only vendor, product/device family, lineage and evidence-failure groups. These fields never enter X. Report sample count, FPR, FNR and high-risk recall; for groups with n≥30, reject or document remediation when the absolute high-risk-recall or FPR gap versus overall exceeds 0.10. Smaller groups are descriptive only.</w:t>
      </w:r>
    </w:p>
    <w:p>
      <w:pPr>
        <w:pStyle w:val="ListBullet"/>
        <w:keepNext w:val="0"/>
      </w:pPr>
      <w:r>
        <w:t>Robustness: create a separately versioned mutation suite with seed 20260903 covering missing fields, invalid types/ranges, contradictory evidence, extreme but valid values and OOD combinations. It is not used for fitting. Acceptance requires no crash, no silent coercion, abstention on invalid/OOD input and preserved deterministic hard-failure precedence.</w:t>
      </w:r>
    </w:p>
    <w:p>
      <w:pPr>
        <w:pStyle w:val="ListBullet"/>
        <w:keepNext w:val="0"/>
      </w:pPr>
      <w:r>
        <w:t>Privacy and minimisation: confirm the PoC contains synthetic data and no personal information; run a schema review and PII-pattern scan. Real telemetry collection, access, retention and deletion rules require separate approval.</w:t>
      </w:r>
    </w:p>
    <w:p>
      <w:pPr>
        <w:pStyle w:val="ListBullet"/>
        <w:keepNext w:val="0"/>
      </w:pPr>
      <w:r>
        <w:t>Accountability: record model owner, independent reviewer and approver; dataset/split/code/model hashes; model/data cards; every prediction, rule/ML disagreement, human override and final disposition. No disagreement or override may be silent.</w:t>
      </w:r>
    </w:p>
    <w:p>
      <w:pPr>
        <w:pStyle w:val="ListBullet"/>
        <w:keepNext w:val="0"/>
      </w:pPr>
      <w:r>
        <w:t>Lifecycle controls: define incident handling, monitoring, OOD/drift thresholds, review cadence and rollback before deployment. These controls are specified now but cannot be marked implemented until their later-stage evidence exists.</w:t>
      </w:r>
    </w:p>
    <w:p>
      <w:pPr>
        <w:keepNext w:val="0"/>
      </w:pPr>
      <w:r>
        <w:t>The assurance matrix in Appendix A is mandatory. Every row must contain file-level evidence and a pass/fail decision before the corresponding stage is accepted.</w:t>
      </w:r>
    </w:p>
    <w:p>
      <w:pPr>
        <w:pStyle w:val="Heading1"/>
      </w:pPr>
      <w:r>
        <w:t>17. Approval checklist</w:t>
      </w:r>
    </w:p>
    <w:p>
      <w:pPr>
        <w:pStyle w:val="ListBullet"/>
      </w:pPr>
      <w:r>
        <w:t>☐ Candidate tracks approved</w:t>
      </w:r>
    </w:p>
    <w:p>
      <w:pPr>
        <w:pStyle w:val="ListBullet"/>
      </w:pPr>
      <w:r>
        <w:t>☐ Exact feature/label/split files approved</w:t>
      </w:r>
    </w:p>
    <w:p>
      <w:pPr>
        <w:pStyle w:val="ListBullet"/>
      </w:pPr>
      <w:r>
        <w:t>☐ Grouped splits immutable</w:t>
      </w:r>
    </w:p>
    <w:p>
      <w:pPr>
        <w:pStyle w:val="ListBullet"/>
      </w:pPr>
      <w:r>
        <w:t>☐ Test-set quarantine approved</w:t>
      </w:r>
    </w:p>
    <w:p>
      <w:pPr>
        <w:pStyle w:val="ListBullet"/>
      </w:pPr>
      <w:r>
        <w:t>☐ Train-only preprocessing approved</w:t>
      </w:r>
    </w:p>
    <w:p>
      <w:pPr>
        <w:pStyle w:val="ListBullet"/>
      </w:pPr>
      <w:r>
        <w:t>☐ 5-fold GroupKFold tuning within train approved</w:t>
      </w:r>
    </w:p>
    <w:p>
      <w:pPr>
        <w:pStyle w:val="ListBullet"/>
      </w:pPr>
      <w:r>
        <w:t>☐ Class-weighting strategy approved</w:t>
      </w:r>
    </w:p>
    <w:p>
      <w:pPr>
        <w:pStyle w:val="ListBullet"/>
      </w:pPr>
      <w:r>
        <w:t>☐ Validation metrics and thresholds approved</w:t>
      </w:r>
    </w:p>
    <w:p>
      <w:pPr>
        <w:pStyle w:val="ListBullet"/>
      </w:pPr>
      <w:r>
        <w:t>☐ Calibration methodology approved</w:t>
      </w:r>
    </w:p>
    <w:p>
      <w:pPr>
        <w:pStyle w:val="ListBullet"/>
      </w:pPr>
      <w:r>
        <w:t>☐ Isolation Forest benign-only training approved</w:t>
      </w:r>
    </w:p>
    <w:p>
      <w:pPr>
        <w:pStyle w:val="ListBullet"/>
      </w:pPr>
      <w:r>
        <w:t>☐ Advisory-only anomaly boundary approved</w:t>
      </w:r>
    </w:p>
    <w:p>
      <w:pPr>
        <w:pStyle w:val="ListBullet"/>
      </w:pPr>
      <w:r>
        <w:t>☐ Reproducibility artefacts approved</w:t>
      </w:r>
    </w:p>
    <w:p>
      <w:pPr>
        <w:pStyle w:val="ListBullet"/>
      </w:pPr>
      <w:r>
        <w:t>☐ Synthetic-data and framework-gap limitations acknowledged</w:t>
      </w:r>
    </w:p>
    <w:p>
      <w:pPr>
        <w:pStyle w:val="ListBullet"/>
      </w:pPr>
      <w:r>
        <w:t>☐ No rule/ML fusion, API, or dashboard work in this stage</w:t>
      </w:r>
    </w:p>
    <w:p/>
    <w:p>
      <w:pPr>
        <w:pStyle w:val="ListBullet"/>
        <w:keepNext w:val="0"/>
      </w:pPr>
      <w:r>
        <w:t>☐ Exact candidate families, grids, budgets and seed approved</w:t>
      </w:r>
    </w:p>
    <w:p>
      <w:pPr>
        <w:pStyle w:val="ListBullet"/>
        <w:keepNext w:val="0"/>
      </w:pPr>
      <w:r>
        <w:t>☐ Isolation Forest fitting filter and validation threshold rule approved</w:t>
      </w:r>
    </w:p>
    <w:p>
      <w:pPr>
        <w:pStyle w:val="ListBullet"/>
        <w:keepNext w:val="0"/>
      </w:pPr>
      <w:r>
        <w:t>☐ Sigmoid calibration protocol and one-time test rule approved</w:t>
      </w:r>
    </w:p>
    <w:p>
      <w:pPr>
        <w:pStyle w:val="ListBullet"/>
        <w:keepNext w:val="0"/>
      </w:pPr>
      <w:r>
        <w:t>☐ Explainability contract approved</w:t>
      </w:r>
    </w:p>
    <w:p>
      <w:pPr>
        <w:pStyle w:val="ListBullet"/>
        <w:keepNext w:val="0"/>
      </w:pPr>
      <w:r>
        <w:t>☐ Responsible AI controls and assurance matrix approved</w:t>
      </w:r>
    </w:p>
    <w:p>
      <w:pPr>
        <w:pStyle w:val="ListBullet"/>
        <w:keepNext w:val="0"/>
      </w:pPr>
      <w:r>
        <w:t>☐ Subgroup and robustness acceptance criteria approved</w:t>
      </w:r>
    </w:p>
    <w:p>
      <w:pPr>
        <w:pStyle w:val="ListBullet"/>
        <w:keepNext w:val="0"/>
      </w:pPr>
      <w:r>
        <w:t>☐ Human oversight, incident handling and rollback boundaries approved</w:t>
      </w:r>
    </w:p>
    <w:p>
      <w:r>
        <w:rPr>
          <w:b/>
          <w:sz w:val="24"/>
        </w:rPr>
        <w:t>Approval requested before any model is fitted.</w:t>
      </w:r>
    </w:p>
    <w:p>
      <w:pPr>
        <w:sectPr>
          <w:pgSz w:w="12240" w:h="15840"/>
          <w:pgMar w:top="936" w:right="1008" w:bottom="936" w:left="1008" w:header="720" w:footer="720" w:gutter="0"/>
          <w:cols w:space="720"/>
          <w:docGrid w:linePitch="360"/>
        </w:sectPr>
      </w:pPr>
    </w:p>
    <w:p>
      <w:pPr>
        <w:pStyle w:val="Heading1"/>
        <w:keepNext/>
      </w:pPr>
      <w:r>
        <w:t>Appendix A — Responsible AI assurance matrix</w:t>
      </w:r>
    </w:p>
    <w:p>
      <w:pPr>
        <w:spacing w:after="120"/>
      </w:pPr>
      <w:r>
        <w:t>Result values describe the evidence state at specification approval. Pending controls must be populated with actual file-level evidence before the relevant later gate can pass.</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gridCol w:w="1469"/>
        <w:gridCol w:w="1469"/>
        <w:gridCol w:w="1469"/>
      </w:tblGrid>
      <w:tr>
        <w:trPr>
          <w:tblHeader w:val="true"/>
          <w:tblHeader w:val="true"/>
        </w:trPr>
        <w:tc>
          <w:tcPr>
            <w:tcW w:type="dxa" w:w="792"/>
            <w:vAlign w:val="top"/>
            <w:shd w:fill="1F4E78"/>
          </w:tcPr>
          <w:p>
            <w:pPr>
              <w:spacing w:before="0" w:after="30" w:line="240" w:lineRule="auto"/>
            </w:pPr>
            <w:r>
              <w:rPr>
                <w:rFonts w:ascii="Arial" w:hAnsi="Arial"/>
                <w:b/>
                <w:color w:val="FFFFFF"/>
                <w:sz w:val="14"/>
              </w:rPr>
              <w:t>Control ID</w:t>
            </w:r>
          </w:p>
        </w:tc>
        <w:tc>
          <w:tcPr>
            <w:tcW w:type="dxa" w:w="1080"/>
            <w:vAlign w:val="top"/>
            <w:shd w:fill="1F4E78"/>
          </w:tcPr>
          <w:p>
            <w:pPr>
              <w:spacing w:before="0" w:after="30" w:line="240" w:lineRule="auto"/>
            </w:pPr>
            <w:r>
              <w:rPr>
                <w:rFonts w:ascii="Arial" w:hAnsi="Arial"/>
                <w:b/>
                <w:color w:val="FFFFFF"/>
                <w:sz w:val="14"/>
              </w:rPr>
              <w:t>Principle</w:t>
            </w:r>
          </w:p>
        </w:tc>
        <w:tc>
          <w:tcPr>
            <w:tcW w:type="dxa" w:w="1440"/>
            <w:vAlign w:val="top"/>
            <w:shd w:fill="1F4E78"/>
          </w:tcPr>
          <w:p>
            <w:pPr>
              <w:spacing w:before="0" w:after="30" w:line="240" w:lineRule="auto"/>
            </w:pPr>
            <w:r>
              <w:rPr>
                <w:rFonts w:ascii="Arial" w:hAnsi="Arial"/>
                <w:b/>
                <w:color w:val="FFFFFF"/>
                <w:sz w:val="14"/>
              </w:rPr>
              <w:t>Risk</w:t>
            </w:r>
          </w:p>
        </w:tc>
        <w:tc>
          <w:tcPr>
            <w:tcW w:type="dxa" w:w="1944"/>
            <w:vAlign w:val="top"/>
            <w:shd w:fill="1F4E78"/>
          </w:tcPr>
          <w:p>
            <w:pPr>
              <w:spacing w:before="0" w:after="30" w:line="240" w:lineRule="auto"/>
            </w:pPr>
            <w:r>
              <w:rPr>
                <w:rFonts w:ascii="Arial" w:hAnsi="Arial"/>
                <w:b/>
                <w:color w:val="FFFFFF"/>
                <w:sz w:val="14"/>
              </w:rPr>
              <w:t>Required Control</w:t>
            </w:r>
          </w:p>
        </w:tc>
        <w:tc>
          <w:tcPr>
            <w:tcW w:type="dxa" w:w="1008"/>
            <w:vAlign w:val="top"/>
            <w:shd w:fill="1F4E78"/>
          </w:tcPr>
          <w:p>
            <w:pPr>
              <w:spacing w:before="0" w:after="30" w:line="240" w:lineRule="auto"/>
            </w:pPr>
            <w:r>
              <w:rPr>
                <w:rFonts w:ascii="Arial" w:hAnsi="Arial"/>
                <w:b/>
                <w:color w:val="FFFFFF"/>
                <w:sz w:val="14"/>
              </w:rPr>
              <w:t>Owner</w:t>
            </w:r>
          </w:p>
        </w:tc>
        <w:tc>
          <w:tcPr>
            <w:tcW w:type="dxa" w:w="1728"/>
            <w:vAlign w:val="top"/>
            <w:shd w:fill="1F4E78"/>
          </w:tcPr>
          <w:p>
            <w:pPr>
              <w:spacing w:before="0" w:after="30" w:line="240" w:lineRule="auto"/>
            </w:pPr>
            <w:r>
              <w:rPr>
                <w:rFonts w:ascii="Arial" w:hAnsi="Arial"/>
                <w:b/>
                <w:color w:val="FFFFFF"/>
                <w:sz w:val="14"/>
              </w:rPr>
              <w:t>Evidence Artefact</w:t>
            </w:r>
          </w:p>
        </w:tc>
        <w:tc>
          <w:tcPr>
            <w:tcW w:type="dxa" w:w="1656"/>
            <w:vAlign w:val="top"/>
            <w:shd w:fill="1F4E78"/>
          </w:tcPr>
          <w:p>
            <w:pPr>
              <w:spacing w:before="0" w:after="30" w:line="240" w:lineRule="auto"/>
            </w:pPr>
            <w:r>
              <w:rPr>
                <w:rFonts w:ascii="Arial" w:hAnsi="Arial"/>
                <w:b/>
                <w:color w:val="FFFFFF"/>
                <w:sz w:val="14"/>
              </w:rPr>
              <w:t>Verification Method</w:t>
            </w:r>
          </w:p>
        </w:tc>
        <w:tc>
          <w:tcPr>
            <w:tcW w:type="dxa" w:w="1944"/>
            <w:vAlign w:val="top"/>
            <w:shd w:fill="1F4E78"/>
          </w:tcPr>
          <w:p>
            <w:pPr>
              <w:spacing w:before="0" w:after="30" w:line="240" w:lineRule="auto"/>
            </w:pPr>
            <w:r>
              <w:rPr>
                <w:rFonts w:ascii="Arial" w:hAnsi="Arial"/>
                <w:b/>
                <w:color w:val="FFFFFF"/>
                <w:sz w:val="14"/>
              </w:rPr>
              <w:t>Acceptance Criterion</w:t>
            </w:r>
          </w:p>
        </w:tc>
        <w:tc>
          <w:tcPr>
            <w:tcW w:type="dxa" w:w="1296"/>
            <w:vAlign w:val="top"/>
            <w:shd w:fill="1F4E78"/>
          </w:tcPr>
          <w:p>
            <w:pPr>
              <w:spacing w:before="0" w:after="30" w:line="240" w:lineRule="auto"/>
            </w:pPr>
            <w:r>
              <w:rPr>
                <w:rFonts w:ascii="Arial" w:hAnsi="Arial"/>
                <w:b/>
                <w:color w:val="FFFFFF"/>
                <w:sz w:val="14"/>
              </w:rPr>
              <w:t>Result</w:t>
            </w:r>
          </w:p>
        </w:tc>
        <w:tc>
          <w:tcPr>
            <w:tcW w:type="dxa" w:w="1656"/>
            <w:vAlign w:val="top"/>
            <w:shd w:fill="1F4E78"/>
          </w:tcPr>
          <w:p>
            <w:pPr>
              <w:spacing w:before="0" w:after="30" w:line="240" w:lineRule="auto"/>
            </w:pPr>
            <w:r>
              <w:rPr>
                <w:rFonts w:ascii="Arial" w:hAnsi="Arial"/>
                <w:b/>
                <w:color w:val="FFFFFF"/>
                <w:sz w:val="14"/>
              </w:rPr>
              <w:t>Residual Risk</w:t>
            </w:r>
          </w:p>
        </w:tc>
      </w:tr>
      <w:tr>
        <w:tc>
          <w:tcPr>
            <w:tcW w:type="dxa" w:w="792"/>
            <w:vAlign w:val="top"/>
          </w:tcPr>
          <w:p>
            <w:pPr>
              <w:spacing w:before="0" w:after="30" w:line="240" w:lineRule="auto"/>
            </w:pPr>
            <w:r>
              <w:rPr>
                <w:rFonts w:ascii="Arial" w:hAnsi="Arial"/>
                <w:sz w:val="14"/>
              </w:rPr>
              <w:t>RAI-01</w:t>
            </w:r>
          </w:p>
        </w:tc>
        <w:tc>
          <w:tcPr>
            <w:tcW w:type="dxa" w:w="1080"/>
            <w:vAlign w:val="top"/>
          </w:tcPr>
          <w:p>
            <w:pPr>
              <w:spacing w:before="0" w:after="30" w:line="240" w:lineRule="auto"/>
            </w:pPr>
            <w:r>
              <w:rPr>
                <w:rFonts w:ascii="Arial" w:hAnsi="Arial"/>
                <w:sz w:val="14"/>
              </w:rPr>
              <w:t>Governance</w:t>
            </w:r>
          </w:p>
        </w:tc>
        <w:tc>
          <w:tcPr>
            <w:tcW w:type="dxa" w:w="1440"/>
            <w:vAlign w:val="top"/>
          </w:tcPr>
          <w:p>
            <w:pPr>
              <w:spacing w:before="0" w:after="30" w:line="240" w:lineRule="auto"/>
            </w:pPr>
            <w:r>
              <w:rPr>
                <w:rFonts w:ascii="Arial" w:hAnsi="Arial"/>
                <w:sz w:val="14"/>
              </w:rPr>
              <w:t>Unowned or unauthorised model use</w:t>
            </w:r>
          </w:p>
        </w:tc>
        <w:tc>
          <w:tcPr>
            <w:tcW w:type="dxa" w:w="1944"/>
            <w:vAlign w:val="top"/>
          </w:tcPr>
          <w:p>
            <w:pPr>
              <w:spacing w:before="0" w:after="30" w:line="240" w:lineRule="auto"/>
            </w:pPr>
            <w:r>
              <w:rPr>
                <w:rFonts w:ascii="Arial" w:hAnsi="Arial"/>
                <w:sz w:val="14"/>
              </w:rPr>
              <w:t>Record intended use, prohibited uses, accountable roles and change approval.</w:t>
            </w:r>
          </w:p>
        </w:tc>
        <w:tc>
          <w:tcPr>
            <w:tcW w:type="dxa" w:w="1008"/>
            <w:vAlign w:val="top"/>
          </w:tcPr>
          <w:p>
            <w:pPr>
              <w:spacing w:before="0" w:after="30" w:line="240" w:lineRule="auto"/>
            </w:pPr>
            <w:r>
              <w:rPr>
                <w:rFonts w:ascii="Arial" w:hAnsi="Arial"/>
                <w:sz w:val="14"/>
              </w:rPr>
              <w:t>ML Lead / Approver</w:t>
            </w:r>
          </w:p>
        </w:tc>
        <w:tc>
          <w:tcPr>
            <w:tcW w:type="dxa" w:w="1728"/>
            <w:vAlign w:val="top"/>
          </w:tcPr>
          <w:p>
            <w:pPr>
              <w:spacing w:before="0" w:after="30" w:line="240" w:lineRule="auto"/>
            </w:pPr>
            <w:r>
              <w:rPr>
                <w:rFonts w:ascii="Arial" w:hAnsi="Arial"/>
                <w:sz w:val="14"/>
              </w:rPr>
              <w:t>model_card.md; experiment_manifest.json</w:t>
            </w:r>
          </w:p>
        </w:tc>
        <w:tc>
          <w:tcPr>
            <w:tcW w:type="dxa" w:w="1656"/>
            <w:vAlign w:val="top"/>
          </w:tcPr>
          <w:p>
            <w:pPr>
              <w:spacing w:before="0" w:after="30" w:line="240" w:lineRule="auto"/>
            </w:pPr>
            <w:r>
              <w:rPr>
                <w:rFonts w:ascii="Arial" w:hAnsi="Arial"/>
                <w:sz w:val="14"/>
              </w:rPr>
              <w:t>Independent document review</w:t>
            </w:r>
          </w:p>
        </w:tc>
        <w:tc>
          <w:tcPr>
            <w:tcW w:type="dxa" w:w="1944"/>
            <w:vAlign w:val="top"/>
          </w:tcPr>
          <w:p>
            <w:pPr>
              <w:spacing w:before="0" w:after="30" w:line="240" w:lineRule="auto"/>
            </w:pPr>
            <w:r>
              <w:rPr>
                <w:rFonts w:ascii="Arial" w:hAnsi="Arial"/>
                <w:sz w:val="14"/>
              </w:rPr>
              <w:t>Owner, reviewer, approver and change path named; prohibited uses explicit.</w:t>
            </w:r>
          </w:p>
        </w:tc>
        <w:tc>
          <w:tcPr>
            <w:tcW w:type="dxa" w:w="1296"/>
            <w:vAlign w:val="top"/>
          </w:tcPr>
          <w:p>
            <w:pPr>
              <w:spacing w:before="0" w:after="30" w:line="240" w:lineRule="auto"/>
            </w:pPr>
            <w:r>
              <w:rPr>
                <w:rFonts w:ascii="Arial" w:hAnsi="Arial"/>
                <w:sz w:val="14"/>
              </w:rPr>
              <w:t>Pending — pre-training</w:t>
            </w:r>
          </w:p>
        </w:tc>
        <w:tc>
          <w:tcPr>
            <w:tcW w:type="dxa" w:w="1656"/>
            <w:vAlign w:val="top"/>
          </w:tcPr>
          <w:p>
            <w:pPr>
              <w:spacing w:before="0" w:after="30" w:line="240" w:lineRule="auto"/>
            </w:pPr>
            <w:r>
              <w:rPr>
                <w:rFonts w:ascii="Arial" w:hAnsi="Arial"/>
                <w:sz w:val="14"/>
              </w:rPr>
              <w:t>Role holders require project appointment.</w:t>
            </w:r>
          </w:p>
        </w:tc>
      </w:tr>
      <w:tr>
        <w:tc>
          <w:tcPr>
            <w:tcW w:type="dxa" w:w="792"/>
            <w:vAlign w:val="top"/>
            <w:shd w:fill="EAF2F8"/>
          </w:tcPr>
          <w:p>
            <w:pPr>
              <w:spacing w:before="0" w:after="30" w:line="240" w:lineRule="auto"/>
            </w:pPr>
            <w:r>
              <w:rPr>
                <w:rFonts w:ascii="Arial" w:hAnsi="Arial"/>
                <w:sz w:val="14"/>
              </w:rPr>
              <w:t>RAI-02</w:t>
            </w:r>
          </w:p>
        </w:tc>
        <w:tc>
          <w:tcPr>
            <w:tcW w:type="dxa" w:w="1080"/>
            <w:vAlign w:val="top"/>
            <w:shd w:fill="EAF2F8"/>
          </w:tcPr>
          <w:p>
            <w:pPr>
              <w:spacing w:before="0" w:after="30" w:line="240" w:lineRule="auto"/>
            </w:pPr>
            <w:r>
              <w:rPr>
                <w:rFonts w:ascii="Arial" w:hAnsi="Arial"/>
                <w:sz w:val="14"/>
              </w:rPr>
              <w:t>Data governance</w:t>
            </w:r>
          </w:p>
        </w:tc>
        <w:tc>
          <w:tcPr>
            <w:tcW w:type="dxa" w:w="1440"/>
            <w:vAlign w:val="top"/>
            <w:shd w:fill="EAF2F8"/>
          </w:tcPr>
          <w:p>
            <w:pPr>
              <w:spacing w:before="0" w:after="30" w:line="240" w:lineRule="auto"/>
            </w:pPr>
            <w:r>
              <w:rPr>
                <w:rFonts w:ascii="Arial" w:hAnsi="Arial"/>
                <w:sz w:val="14"/>
              </w:rPr>
              <w:t>Leakage or untraceable data</w:t>
            </w:r>
          </w:p>
        </w:tc>
        <w:tc>
          <w:tcPr>
            <w:tcW w:type="dxa" w:w="1944"/>
            <w:vAlign w:val="top"/>
            <w:shd w:fill="EAF2F8"/>
          </w:tcPr>
          <w:p>
            <w:pPr>
              <w:spacing w:before="0" w:after="30" w:line="240" w:lineRule="auto"/>
            </w:pPr>
            <w:r>
              <w:rPr>
                <w:rFonts w:ascii="Arial" w:hAnsi="Arial"/>
                <w:sz w:val="14"/>
              </w:rPr>
              <w:t>Separate observations, references, labels and predictions; hash every input.</w:t>
            </w:r>
          </w:p>
        </w:tc>
        <w:tc>
          <w:tcPr>
            <w:tcW w:type="dxa" w:w="1008"/>
            <w:vAlign w:val="top"/>
            <w:shd w:fill="EAF2F8"/>
          </w:tcPr>
          <w:p>
            <w:pPr>
              <w:spacing w:before="0" w:after="30" w:line="240" w:lineRule="auto"/>
            </w:pPr>
            <w:r>
              <w:rPr>
                <w:rFonts w:ascii="Arial" w:hAnsi="Arial"/>
                <w:sz w:val="14"/>
              </w:rPr>
              <w:t>Dataset Owner</w:t>
            </w:r>
          </w:p>
        </w:tc>
        <w:tc>
          <w:tcPr>
            <w:tcW w:type="dxa" w:w="1728"/>
            <w:vAlign w:val="top"/>
            <w:shd w:fill="EAF2F8"/>
          </w:tcPr>
          <w:p>
            <w:pPr>
              <w:spacing w:before="0" w:after="30" w:line="240" w:lineRule="auto"/>
            </w:pPr>
            <w:r>
              <w:rPr>
                <w:rFonts w:ascii="Arial" w:hAnsi="Arial"/>
                <w:sz w:val="14"/>
              </w:rPr>
              <w:t>data_card.md; dataset_file_hashes.json</w:t>
            </w:r>
          </w:p>
        </w:tc>
        <w:tc>
          <w:tcPr>
            <w:tcW w:type="dxa" w:w="1656"/>
            <w:vAlign w:val="top"/>
            <w:shd w:fill="EAF2F8"/>
          </w:tcPr>
          <w:p>
            <w:pPr>
              <w:spacing w:before="0" w:after="30" w:line="240" w:lineRule="auto"/>
            </w:pPr>
            <w:r>
              <w:rPr>
                <w:rFonts w:ascii="Arial" w:hAnsi="Arial"/>
                <w:sz w:val="14"/>
              </w:rPr>
              <w:t>Schema, forbidden-field and SHA-256 tests</w:t>
            </w:r>
          </w:p>
        </w:tc>
        <w:tc>
          <w:tcPr>
            <w:tcW w:type="dxa" w:w="1944"/>
            <w:vAlign w:val="top"/>
            <w:shd w:fill="EAF2F8"/>
          </w:tcPr>
          <w:p>
            <w:pPr>
              <w:spacing w:before="0" w:after="30" w:line="240" w:lineRule="auto"/>
            </w:pPr>
            <w:r>
              <w:rPr>
                <w:rFonts w:ascii="Arial" w:hAnsi="Arial"/>
                <w:sz w:val="14"/>
              </w:rPr>
              <w:t>No forbidden field in X; all hashes and lineage checks pass.</w:t>
            </w:r>
          </w:p>
        </w:tc>
        <w:tc>
          <w:tcPr>
            <w:tcW w:type="dxa" w:w="1296"/>
            <w:vAlign w:val="top"/>
            <w:shd w:fill="EAF2F8"/>
          </w:tcPr>
          <w:p>
            <w:pPr>
              <w:spacing w:before="0" w:after="30" w:line="240" w:lineRule="auto"/>
            </w:pPr>
            <w:r>
              <w:rPr>
                <w:rFonts w:ascii="Arial" w:hAnsi="Arial"/>
                <w:sz w:val="14"/>
              </w:rPr>
              <w:t>Existing control — reverify</w:t>
            </w:r>
          </w:p>
        </w:tc>
        <w:tc>
          <w:tcPr>
            <w:tcW w:type="dxa" w:w="1656"/>
            <w:vAlign w:val="top"/>
            <w:shd w:fill="EAF2F8"/>
          </w:tcPr>
          <w:p>
            <w:pPr>
              <w:spacing w:before="0" w:after="30" w:line="240" w:lineRule="auto"/>
            </w:pPr>
            <w:r>
              <w:rPr>
                <w:rFonts w:ascii="Arial" w:hAnsi="Arial"/>
                <w:sz w:val="14"/>
              </w:rPr>
              <w:t>Synthetic distributions may not reflect production.</w:t>
            </w:r>
          </w:p>
        </w:tc>
      </w:tr>
      <w:tr>
        <w:tc>
          <w:tcPr>
            <w:tcW w:type="dxa" w:w="792"/>
            <w:vAlign w:val="top"/>
          </w:tcPr>
          <w:p>
            <w:pPr>
              <w:spacing w:before="0" w:after="30" w:line="240" w:lineRule="auto"/>
            </w:pPr>
            <w:r>
              <w:rPr>
                <w:rFonts w:ascii="Arial" w:hAnsi="Arial"/>
                <w:sz w:val="14"/>
              </w:rPr>
              <w:t>RAI-03</w:t>
            </w:r>
          </w:p>
        </w:tc>
        <w:tc>
          <w:tcPr>
            <w:tcW w:type="dxa" w:w="1080"/>
            <w:vAlign w:val="top"/>
          </w:tcPr>
          <w:p>
            <w:pPr>
              <w:spacing w:before="0" w:after="30" w:line="240" w:lineRule="auto"/>
            </w:pPr>
            <w:r>
              <w:rPr>
                <w:rFonts w:ascii="Arial" w:hAnsi="Arial"/>
                <w:sz w:val="14"/>
              </w:rPr>
              <w:t>Human oversight</w:t>
            </w:r>
          </w:p>
        </w:tc>
        <w:tc>
          <w:tcPr>
            <w:tcW w:type="dxa" w:w="1440"/>
            <w:vAlign w:val="top"/>
          </w:tcPr>
          <w:p>
            <w:pPr>
              <w:spacing w:before="0" w:after="30" w:line="240" w:lineRule="auto"/>
            </w:pPr>
            <w:r>
              <w:rPr>
                <w:rFonts w:ascii="Arial" w:hAnsi="Arial"/>
                <w:sz w:val="14"/>
              </w:rPr>
              <w:t>Automated consequential action</w:t>
            </w:r>
          </w:p>
        </w:tc>
        <w:tc>
          <w:tcPr>
            <w:tcW w:type="dxa" w:w="1944"/>
            <w:vAlign w:val="top"/>
          </w:tcPr>
          <w:p>
            <w:pPr>
              <w:spacing w:before="0" w:after="30" w:line="240" w:lineRule="auto"/>
            </w:pPr>
            <w:r>
              <w:rPr>
                <w:rFonts w:ascii="Arial" w:hAnsi="Arial"/>
                <w:sz w:val="14"/>
              </w:rPr>
              <w:t>ML remains advisory; require human disposition for investigate/high-risk workflows.</w:t>
            </w:r>
          </w:p>
        </w:tc>
        <w:tc>
          <w:tcPr>
            <w:tcW w:type="dxa" w:w="1008"/>
            <w:vAlign w:val="top"/>
          </w:tcPr>
          <w:p>
            <w:pPr>
              <w:spacing w:before="0" w:after="30" w:line="240" w:lineRule="auto"/>
            </w:pPr>
            <w:r>
              <w:rPr>
                <w:rFonts w:ascii="Arial" w:hAnsi="Arial"/>
                <w:sz w:val="14"/>
              </w:rPr>
              <w:t>Product Owner</w:t>
            </w:r>
          </w:p>
        </w:tc>
        <w:tc>
          <w:tcPr>
            <w:tcW w:type="dxa" w:w="1728"/>
            <w:vAlign w:val="top"/>
          </w:tcPr>
          <w:p>
            <w:pPr>
              <w:spacing w:before="0" w:after="30" w:line="240" w:lineRule="auto"/>
            </w:pPr>
            <w:r>
              <w:rPr>
                <w:rFonts w:ascii="Arial" w:hAnsi="Arial"/>
                <w:sz w:val="14"/>
              </w:rPr>
              <w:t>model_card.md; operational_boundary.md</w:t>
            </w:r>
          </w:p>
        </w:tc>
        <w:tc>
          <w:tcPr>
            <w:tcW w:type="dxa" w:w="1656"/>
            <w:vAlign w:val="top"/>
          </w:tcPr>
          <w:p>
            <w:pPr>
              <w:spacing w:before="0" w:after="30" w:line="240" w:lineRule="auto"/>
            </w:pPr>
            <w:r>
              <w:rPr>
                <w:rFonts w:ascii="Arial" w:hAnsi="Arial"/>
                <w:sz w:val="14"/>
              </w:rPr>
              <w:t>Workflow and negative-path tests</w:t>
            </w:r>
          </w:p>
        </w:tc>
        <w:tc>
          <w:tcPr>
            <w:tcW w:type="dxa" w:w="1944"/>
            <w:vAlign w:val="top"/>
          </w:tcPr>
          <w:p>
            <w:pPr>
              <w:spacing w:before="0" w:after="30" w:line="240" w:lineRule="auto"/>
            </w:pPr>
            <w:r>
              <w:rPr>
                <w:rFonts w:ascii="Arial" w:hAnsi="Arial"/>
                <w:sz w:val="14"/>
              </w:rPr>
              <w:t>No ML path deploys, quarantines or overrides evidence automatically.</w:t>
            </w:r>
          </w:p>
        </w:tc>
        <w:tc>
          <w:tcPr>
            <w:tcW w:type="dxa" w:w="1296"/>
            <w:vAlign w:val="top"/>
          </w:tcPr>
          <w:p>
            <w:pPr>
              <w:spacing w:before="0" w:after="30" w:line="240" w:lineRule="auto"/>
            </w:pPr>
            <w:r>
              <w:rPr>
                <w:rFonts w:ascii="Arial" w:hAnsi="Arial"/>
                <w:sz w:val="14"/>
              </w:rPr>
              <w:t>Specified — verify later</w:t>
            </w:r>
          </w:p>
        </w:tc>
        <w:tc>
          <w:tcPr>
            <w:tcW w:type="dxa" w:w="1656"/>
            <w:vAlign w:val="top"/>
          </w:tcPr>
          <w:p>
            <w:pPr>
              <w:spacing w:before="0" w:after="30" w:line="240" w:lineRule="auto"/>
            </w:pPr>
            <w:r>
              <w:rPr>
                <w:rFonts w:ascii="Arial" w:hAnsi="Arial"/>
                <w:sz w:val="14"/>
              </w:rPr>
              <w:t>Human error remains possible.</w:t>
            </w:r>
          </w:p>
        </w:tc>
      </w:tr>
      <w:tr>
        <w:tc>
          <w:tcPr>
            <w:tcW w:type="dxa" w:w="792"/>
            <w:vAlign w:val="top"/>
            <w:shd w:fill="EAF2F8"/>
          </w:tcPr>
          <w:p>
            <w:pPr>
              <w:spacing w:before="0" w:after="30" w:line="240" w:lineRule="auto"/>
            </w:pPr>
            <w:r>
              <w:rPr>
                <w:rFonts w:ascii="Arial" w:hAnsi="Arial"/>
                <w:sz w:val="14"/>
              </w:rPr>
              <w:t>RAI-04</w:t>
            </w:r>
          </w:p>
        </w:tc>
        <w:tc>
          <w:tcPr>
            <w:tcW w:type="dxa" w:w="1080"/>
            <w:vAlign w:val="top"/>
            <w:shd w:fill="EAF2F8"/>
          </w:tcPr>
          <w:p>
            <w:pPr>
              <w:spacing w:before="0" w:after="30" w:line="240" w:lineRule="auto"/>
            </w:pPr>
            <w:r>
              <w:rPr>
                <w:rFonts w:ascii="Arial" w:hAnsi="Arial"/>
                <w:sz w:val="14"/>
              </w:rPr>
              <w:t>Safety</w:t>
            </w:r>
          </w:p>
        </w:tc>
        <w:tc>
          <w:tcPr>
            <w:tcW w:type="dxa" w:w="1440"/>
            <w:vAlign w:val="top"/>
            <w:shd w:fill="EAF2F8"/>
          </w:tcPr>
          <w:p>
            <w:pPr>
              <w:spacing w:before="0" w:after="30" w:line="240" w:lineRule="auto"/>
            </w:pPr>
            <w:r>
              <w:rPr>
                <w:rFonts w:ascii="Arial" w:hAnsi="Arial"/>
                <w:sz w:val="14"/>
              </w:rPr>
              <w:t>ML masks concrete compromise evidence</w:t>
            </w:r>
          </w:p>
        </w:tc>
        <w:tc>
          <w:tcPr>
            <w:tcW w:type="dxa" w:w="1944"/>
            <w:vAlign w:val="top"/>
            <w:shd w:fill="EAF2F8"/>
          </w:tcPr>
          <w:p>
            <w:pPr>
              <w:spacing w:before="0" w:after="30" w:line="240" w:lineRule="auto"/>
            </w:pPr>
            <w:r>
              <w:rPr>
                <w:rFonts w:ascii="Arial" w:hAnsi="Arial"/>
                <w:sz w:val="14"/>
              </w:rPr>
              <w:t>Deterministic hash, signature, root, SBOM and rollback hard failures retain precedence.</w:t>
            </w:r>
          </w:p>
        </w:tc>
        <w:tc>
          <w:tcPr>
            <w:tcW w:type="dxa" w:w="1008"/>
            <w:vAlign w:val="top"/>
            <w:shd w:fill="EAF2F8"/>
          </w:tcPr>
          <w:p>
            <w:pPr>
              <w:spacing w:before="0" w:after="30" w:line="240" w:lineRule="auto"/>
            </w:pPr>
            <w:r>
              <w:rPr>
                <w:rFonts w:ascii="Arial" w:hAnsi="Arial"/>
                <w:sz w:val="14"/>
              </w:rPr>
              <w:t>Security Lead</w:t>
            </w:r>
          </w:p>
        </w:tc>
        <w:tc>
          <w:tcPr>
            <w:tcW w:type="dxa" w:w="1728"/>
            <w:vAlign w:val="top"/>
            <w:shd w:fill="EAF2F8"/>
          </w:tcPr>
          <w:p>
            <w:pPr>
              <w:spacing w:before="0" w:after="30" w:line="240" w:lineRule="auto"/>
            </w:pPr>
            <w:r>
              <w:rPr>
                <w:rFonts w:ascii="Arial" w:hAnsi="Arial"/>
                <w:sz w:val="14"/>
              </w:rPr>
              <w:t>hard_failure_precedence_tests.json</w:t>
            </w:r>
          </w:p>
        </w:tc>
        <w:tc>
          <w:tcPr>
            <w:tcW w:type="dxa" w:w="1656"/>
            <w:vAlign w:val="top"/>
            <w:shd w:fill="EAF2F8"/>
          </w:tcPr>
          <w:p>
            <w:pPr>
              <w:spacing w:before="0" w:after="30" w:line="240" w:lineRule="auto"/>
            </w:pPr>
            <w:r>
              <w:rPr>
                <w:rFonts w:ascii="Arial" w:hAnsi="Arial"/>
                <w:sz w:val="14"/>
              </w:rPr>
              <w:t>Assertion-based precedence tests</w:t>
            </w:r>
          </w:p>
        </w:tc>
        <w:tc>
          <w:tcPr>
            <w:tcW w:type="dxa" w:w="1944"/>
            <w:vAlign w:val="top"/>
            <w:shd w:fill="EAF2F8"/>
          </w:tcPr>
          <w:p>
            <w:pPr>
              <w:spacing w:before="0" w:after="30" w:line="240" w:lineRule="auto"/>
            </w:pPr>
            <w:r>
              <w:rPr>
                <w:rFonts w:ascii="Arial" w:hAnsi="Arial"/>
                <w:sz w:val="14"/>
              </w:rPr>
              <w:t>Every hard-failure case remains blocked regardless of ML score.</w:t>
            </w:r>
          </w:p>
        </w:tc>
        <w:tc>
          <w:tcPr>
            <w:tcW w:type="dxa" w:w="1296"/>
            <w:vAlign w:val="top"/>
            <w:shd w:fill="EAF2F8"/>
          </w:tcPr>
          <w:p>
            <w:pPr>
              <w:spacing w:before="0" w:after="30" w:line="240" w:lineRule="auto"/>
            </w:pPr>
            <w:r>
              <w:rPr>
                <w:rFonts w:ascii="Arial" w:hAnsi="Arial"/>
                <w:sz w:val="14"/>
              </w:rPr>
              <w:t>Existing control — reverify</w:t>
            </w:r>
          </w:p>
        </w:tc>
        <w:tc>
          <w:tcPr>
            <w:tcW w:type="dxa" w:w="1656"/>
            <w:vAlign w:val="top"/>
            <w:shd w:fill="EAF2F8"/>
          </w:tcPr>
          <w:p>
            <w:pPr>
              <w:spacing w:before="0" w:after="30" w:line="240" w:lineRule="auto"/>
            </w:pPr>
            <w:r>
              <w:rPr>
                <w:rFonts w:ascii="Arial" w:hAnsi="Arial"/>
                <w:sz w:val="14"/>
              </w:rPr>
              <w:t>New failure classes may require rules.</w:t>
            </w:r>
          </w:p>
        </w:tc>
      </w:tr>
      <w:tr>
        <w:tc>
          <w:tcPr>
            <w:tcW w:type="dxa" w:w="792"/>
            <w:vAlign w:val="top"/>
          </w:tcPr>
          <w:p>
            <w:pPr>
              <w:spacing w:before="0" w:after="30" w:line="240" w:lineRule="auto"/>
            </w:pPr>
            <w:r>
              <w:rPr>
                <w:rFonts w:ascii="Arial" w:hAnsi="Arial"/>
                <w:sz w:val="14"/>
              </w:rPr>
              <w:t>RAI-05</w:t>
            </w:r>
          </w:p>
        </w:tc>
        <w:tc>
          <w:tcPr>
            <w:tcW w:type="dxa" w:w="1080"/>
            <w:vAlign w:val="top"/>
          </w:tcPr>
          <w:p>
            <w:pPr>
              <w:spacing w:before="0" w:after="30" w:line="240" w:lineRule="auto"/>
            </w:pPr>
            <w:r>
              <w:rPr>
                <w:rFonts w:ascii="Arial" w:hAnsi="Arial"/>
                <w:sz w:val="14"/>
              </w:rPr>
              <w:t>Transparency</w:t>
            </w:r>
          </w:p>
        </w:tc>
        <w:tc>
          <w:tcPr>
            <w:tcW w:type="dxa" w:w="1440"/>
            <w:vAlign w:val="top"/>
          </w:tcPr>
          <w:p>
            <w:pPr>
              <w:spacing w:before="0" w:after="30" w:line="240" w:lineRule="auto"/>
            </w:pPr>
            <w:r>
              <w:rPr>
                <w:rFonts w:ascii="Arial" w:hAnsi="Arial"/>
                <w:sz w:val="14"/>
              </w:rPr>
              <w:t>Unexplained or misleading output</w:t>
            </w:r>
          </w:p>
        </w:tc>
        <w:tc>
          <w:tcPr>
            <w:tcW w:type="dxa" w:w="1944"/>
            <w:vAlign w:val="top"/>
          </w:tcPr>
          <w:p>
            <w:pPr>
              <w:spacing w:before="0" w:after="30" w:line="240" w:lineRule="auto"/>
            </w:pPr>
            <w:r>
              <w:rPr>
                <w:rFonts w:ascii="Arial" w:hAnsi="Arial"/>
                <w:sz w:val="14"/>
              </w:rPr>
              <w:t>Emit model/data version, provenance, calibrated score, uncertainty and top feature contributions.</w:t>
            </w:r>
          </w:p>
        </w:tc>
        <w:tc>
          <w:tcPr>
            <w:tcW w:type="dxa" w:w="1008"/>
            <w:vAlign w:val="top"/>
          </w:tcPr>
          <w:p>
            <w:pPr>
              <w:spacing w:before="0" w:after="30" w:line="240" w:lineRule="auto"/>
            </w:pPr>
            <w:r>
              <w:rPr>
                <w:rFonts w:ascii="Arial" w:hAnsi="Arial"/>
                <w:sz w:val="14"/>
              </w:rPr>
              <w:t>ML Lead</w:t>
            </w:r>
          </w:p>
        </w:tc>
        <w:tc>
          <w:tcPr>
            <w:tcW w:type="dxa" w:w="1728"/>
            <w:vAlign w:val="top"/>
          </w:tcPr>
          <w:p>
            <w:pPr>
              <w:spacing w:before="0" w:after="30" w:line="240" w:lineRule="auto"/>
            </w:pPr>
            <w:r>
              <w:rPr>
                <w:rFonts w:ascii="Arial" w:hAnsi="Arial"/>
                <w:sz w:val="14"/>
              </w:rPr>
              <w:t>model_card.md; explanation_report.json</w:t>
            </w:r>
          </w:p>
        </w:tc>
        <w:tc>
          <w:tcPr>
            <w:tcW w:type="dxa" w:w="1656"/>
            <w:vAlign w:val="top"/>
          </w:tcPr>
          <w:p>
            <w:pPr>
              <w:spacing w:before="0" w:after="30" w:line="240" w:lineRule="auto"/>
            </w:pPr>
            <w:r>
              <w:rPr>
                <w:rFonts w:ascii="Arial" w:hAnsi="Arial"/>
                <w:sz w:val="14"/>
              </w:rPr>
              <w:t>Schema and sampled explanation review</w:t>
            </w:r>
          </w:p>
        </w:tc>
        <w:tc>
          <w:tcPr>
            <w:tcW w:type="dxa" w:w="1944"/>
            <w:vAlign w:val="top"/>
          </w:tcPr>
          <w:p>
            <w:pPr>
              <w:spacing w:before="0" w:after="30" w:line="240" w:lineRule="auto"/>
            </w:pPr>
            <w:r>
              <w:rPr>
                <w:rFonts w:ascii="Arial" w:hAnsi="Arial"/>
                <w:sz w:val="14"/>
              </w:rPr>
              <w:t>Every prediction is traceable; explanations use observable features only.</w:t>
            </w:r>
          </w:p>
        </w:tc>
        <w:tc>
          <w:tcPr>
            <w:tcW w:type="dxa" w:w="1296"/>
            <w:vAlign w:val="top"/>
          </w:tcPr>
          <w:p>
            <w:pPr>
              <w:spacing w:before="0" w:after="30" w:line="240" w:lineRule="auto"/>
            </w:pPr>
            <w:r>
              <w:rPr>
                <w:rFonts w:ascii="Arial" w:hAnsi="Arial"/>
                <w:sz w:val="14"/>
              </w:rPr>
              <w:t>Pending — training</w:t>
            </w:r>
          </w:p>
        </w:tc>
        <w:tc>
          <w:tcPr>
            <w:tcW w:type="dxa" w:w="1656"/>
            <w:vAlign w:val="top"/>
          </w:tcPr>
          <w:p>
            <w:pPr>
              <w:spacing w:before="0" w:after="30" w:line="240" w:lineRule="auto"/>
            </w:pPr>
            <w:r>
              <w:rPr>
                <w:rFonts w:ascii="Arial" w:hAnsi="Arial"/>
                <w:sz w:val="14"/>
              </w:rPr>
              <w:t>Importance is not causality.</w:t>
            </w:r>
          </w:p>
        </w:tc>
      </w:tr>
      <w:tr>
        <w:tc>
          <w:tcPr>
            <w:tcW w:type="dxa" w:w="792"/>
            <w:vAlign w:val="top"/>
            <w:shd w:fill="EAF2F8"/>
          </w:tcPr>
          <w:p>
            <w:pPr>
              <w:spacing w:before="0" w:after="30" w:line="240" w:lineRule="auto"/>
            </w:pPr>
            <w:r>
              <w:rPr>
                <w:rFonts w:ascii="Arial" w:hAnsi="Arial"/>
                <w:sz w:val="14"/>
              </w:rPr>
              <w:t>RAI-06</w:t>
            </w:r>
          </w:p>
        </w:tc>
        <w:tc>
          <w:tcPr>
            <w:tcW w:type="dxa" w:w="1080"/>
            <w:vAlign w:val="top"/>
            <w:shd w:fill="EAF2F8"/>
          </w:tcPr>
          <w:p>
            <w:pPr>
              <w:spacing w:before="0" w:after="30" w:line="240" w:lineRule="auto"/>
            </w:pPr>
            <w:r>
              <w:rPr>
                <w:rFonts w:ascii="Arial" w:hAnsi="Arial"/>
                <w:sz w:val="14"/>
              </w:rPr>
              <w:t>Reliability</w:t>
            </w:r>
          </w:p>
        </w:tc>
        <w:tc>
          <w:tcPr>
            <w:tcW w:type="dxa" w:w="1440"/>
            <w:vAlign w:val="top"/>
            <w:shd w:fill="EAF2F8"/>
          </w:tcPr>
          <w:p>
            <w:pPr>
              <w:spacing w:before="0" w:after="30" w:line="240" w:lineRule="auto"/>
            </w:pPr>
            <w:r>
              <w:rPr>
                <w:rFonts w:ascii="Arial" w:hAnsi="Arial"/>
                <w:sz w:val="14"/>
              </w:rPr>
              <w:t>Overconfident prediction</w:t>
            </w:r>
          </w:p>
        </w:tc>
        <w:tc>
          <w:tcPr>
            <w:tcW w:type="dxa" w:w="1944"/>
            <w:vAlign w:val="top"/>
            <w:shd w:fill="EAF2F8"/>
          </w:tcPr>
          <w:p>
            <w:pPr>
              <w:spacing w:before="0" w:after="30" w:line="240" w:lineRule="auto"/>
            </w:pPr>
            <w:r>
              <w:rPr>
                <w:rFonts w:ascii="Arial" w:hAnsi="Arial"/>
                <w:sz w:val="14"/>
              </w:rPr>
              <w:t>Use frozen sigmoid calibration; report Brier, log-loss, ECE and reliability bins.</w:t>
            </w:r>
          </w:p>
        </w:tc>
        <w:tc>
          <w:tcPr>
            <w:tcW w:type="dxa" w:w="1008"/>
            <w:vAlign w:val="top"/>
            <w:shd w:fill="EAF2F8"/>
          </w:tcPr>
          <w:p>
            <w:pPr>
              <w:spacing w:before="0" w:after="30" w:line="240" w:lineRule="auto"/>
            </w:pPr>
            <w:r>
              <w:rPr>
                <w:rFonts w:ascii="Arial" w:hAnsi="Arial"/>
                <w:sz w:val="14"/>
              </w:rPr>
              <w:t>ML Lead</w:t>
            </w:r>
          </w:p>
        </w:tc>
        <w:tc>
          <w:tcPr>
            <w:tcW w:type="dxa" w:w="1728"/>
            <w:vAlign w:val="top"/>
            <w:shd w:fill="EAF2F8"/>
          </w:tcPr>
          <w:p>
            <w:pPr>
              <w:spacing w:before="0" w:after="30" w:line="240" w:lineRule="auto"/>
            </w:pPr>
            <w:r>
              <w:rPr>
                <w:rFonts w:ascii="Arial" w:hAnsi="Arial"/>
                <w:sz w:val="14"/>
              </w:rPr>
              <w:t>calibration_report.json</w:t>
            </w:r>
          </w:p>
        </w:tc>
        <w:tc>
          <w:tcPr>
            <w:tcW w:type="dxa" w:w="1656"/>
            <w:vAlign w:val="top"/>
            <w:shd w:fill="EAF2F8"/>
          </w:tcPr>
          <w:p>
            <w:pPr>
              <w:spacing w:before="0" w:after="30" w:line="240" w:lineRule="auto"/>
            </w:pPr>
            <w:r>
              <w:rPr>
                <w:rFonts w:ascii="Arial" w:hAnsi="Arial"/>
                <w:sz w:val="14"/>
              </w:rPr>
              <w:t>One-time held-out test evaluation</w:t>
            </w:r>
          </w:p>
        </w:tc>
        <w:tc>
          <w:tcPr>
            <w:tcW w:type="dxa" w:w="1944"/>
            <w:vAlign w:val="top"/>
            <w:shd w:fill="EAF2F8"/>
          </w:tcPr>
          <w:p>
            <w:pPr>
              <w:spacing w:before="0" w:after="30" w:line="240" w:lineRule="auto"/>
            </w:pPr>
            <w:r>
              <w:rPr>
                <w:rFonts w:ascii="Arial" w:hAnsi="Arial"/>
                <w:sz w:val="14"/>
              </w:rPr>
              <w:t>All declared calibration gates pass; otherwise reject the model.</w:t>
            </w:r>
          </w:p>
        </w:tc>
        <w:tc>
          <w:tcPr>
            <w:tcW w:type="dxa" w:w="1296"/>
            <w:vAlign w:val="top"/>
            <w:shd w:fill="EAF2F8"/>
          </w:tcPr>
          <w:p>
            <w:pPr>
              <w:spacing w:before="0" w:after="30" w:line="240" w:lineRule="auto"/>
            </w:pPr>
            <w:r>
              <w:rPr>
                <w:rFonts w:ascii="Arial" w:hAnsi="Arial"/>
                <w:sz w:val="14"/>
              </w:rPr>
              <w:t>Pending — training</w:t>
            </w:r>
          </w:p>
        </w:tc>
        <w:tc>
          <w:tcPr>
            <w:tcW w:type="dxa" w:w="1656"/>
            <w:vAlign w:val="top"/>
            <w:shd w:fill="EAF2F8"/>
          </w:tcPr>
          <w:p>
            <w:pPr>
              <w:spacing w:before="0" w:after="30" w:line="240" w:lineRule="auto"/>
            </w:pPr>
            <w:r>
              <w:rPr>
                <w:rFonts w:ascii="Arial" w:hAnsi="Arial"/>
                <w:sz w:val="14"/>
              </w:rPr>
              <w:t>Calibration may drift in production.</w:t>
            </w:r>
          </w:p>
        </w:tc>
      </w:tr>
      <w:tr>
        <w:tc>
          <w:tcPr>
            <w:tcW w:type="dxa" w:w="792"/>
            <w:vAlign w:val="top"/>
          </w:tcPr>
          <w:p>
            <w:pPr>
              <w:spacing w:before="0" w:after="30" w:line="240" w:lineRule="auto"/>
            </w:pPr>
            <w:r>
              <w:rPr>
                <w:rFonts w:ascii="Arial" w:hAnsi="Arial"/>
                <w:sz w:val="14"/>
              </w:rPr>
              <w:t>RAI-07</w:t>
            </w:r>
          </w:p>
        </w:tc>
        <w:tc>
          <w:tcPr>
            <w:tcW w:type="dxa" w:w="1080"/>
            <w:vAlign w:val="top"/>
          </w:tcPr>
          <w:p>
            <w:pPr>
              <w:spacing w:before="0" w:after="30" w:line="240" w:lineRule="auto"/>
            </w:pPr>
            <w:r>
              <w:rPr>
                <w:rFonts w:ascii="Arial" w:hAnsi="Arial"/>
                <w:sz w:val="14"/>
              </w:rPr>
              <w:t>Security/resilience</w:t>
            </w:r>
          </w:p>
        </w:tc>
        <w:tc>
          <w:tcPr>
            <w:tcW w:type="dxa" w:w="1440"/>
            <w:vAlign w:val="top"/>
          </w:tcPr>
          <w:p>
            <w:pPr>
              <w:spacing w:before="0" w:after="30" w:line="240" w:lineRule="auto"/>
            </w:pPr>
            <w:r>
              <w:rPr>
                <w:rFonts w:ascii="Arial" w:hAnsi="Arial"/>
                <w:sz w:val="14"/>
              </w:rPr>
              <w:t>Malformed, adversarial or OOD evidence</w:t>
            </w:r>
          </w:p>
        </w:tc>
        <w:tc>
          <w:tcPr>
            <w:tcW w:type="dxa" w:w="1944"/>
            <w:vAlign w:val="top"/>
          </w:tcPr>
          <w:p>
            <w:pPr>
              <w:spacing w:before="0" w:after="30" w:line="240" w:lineRule="auto"/>
            </w:pPr>
            <w:r>
              <w:rPr>
                <w:rFonts w:ascii="Arial" w:hAnsi="Arial"/>
                <w:sz w:val="14"/>
              </w:rPr>
              <w:t>Validate schema/ranges; withhold ML score and route invalid or OOD input to investigate.</w:t>
            </w:r>
          </w:p>
        </w:tc>
        <w:tc>
          <w:tcPr>
            <w:tcW w:type="dxa" w:w="1008"/>
            <w:vAlign w:val="top"/>
          </w:tcPr>
          <w:p>
            <w:pPr>
              <w:spacing w:before="0" w:after="30" w:line="240" w:lineRule="auto"/>
            </w:pPr>
            <w:r>
              <w:rPr>
                <w:rFonts w:ascii="Arial" w:hAnsi="Arial"/>
                <w:sz w:val="14"/>
              </w:rPr>
              <w:t>Security QA</w:t>
            </w:r>
          </w:p>
        </w:tc>
        <w:tc>
          <w:tcPr>
            <w:tcW w:type="dxa" w:w="1728"/>
            <w:vAlign w:val="top"/>
          </w:tcPr>
          <w:p>
            <w:pPr>
              <w:spacing w:before="0" w:after="30" w:line="240" w:lineRule="auto"/>
            </w:pPr>
            <w:r>
              <w:rPr>
                <w:rFonts w:ascii="Arial" w:hAnsi="Arial"/>
                <w:sz w:val="14"/>
              </w:rPr>
              <w:t>robustness_report.json; robustness_tests/</w:t>
            </w:r>
          </w:p>
        </w:tc>
        <w:tc>
          <w:tcPr>
            <w:tcW w:type="dxa" w:w="1656"/>
            <w:vAlign w:val="top"/>
          </w:tcPr>
          <w:p>
            <w:pPr>
              <w:spacing w:before="0" w:after="30" w:line="240" w:lineRule="auto"/>
            </w:pPr>
            <w:r>
              <w:rPr>
                <w:rFonts w:ascii="Arial" w:hAnsi="Arial"/>
                <w:sz w:val="14"/>
              </w:rPr>
              <w:t>Deterministic mutation and negative tests</w:t>
            </w:r>
          </w:p>
        </w:tc>
        <w:tc>
          <w:tcPr>
            <w:tcW w:type="dxa" w:w="1944"/>
            <w:vAlign w:val="top"/>
          </w:tcPr>
          <w:p>
            <w:pPr>
              <w:spacing w:before="0" w:after="30" w:line="240" w:lineRule="auto"/>
            </w:pPr>
            <w:r>
              <w:rPr>
                <w:rFonts w:ascii="Arial" w:hAnsi="Arial"/>
                <w:sz w:val="14"/>
              </w:rPr>
              <w:t>No crash or silent coercion; invalid/OOD cases abstain and hard failures persist.</w:t>
            </w:r>
          </w:p>
        </w:tc>
        <w:tc>
          <w:tcPr>
            <w:tcW w:type="dxa" w:w="1296"/>
            <w:vAlign w:val="top"/>
          </w:tcPr>
          <w:p>
            <w:pPr>
              <w:spacing w:before="0" w:after="30" w:line="240" w:lineRule="auto"/>
            </w:pPr>
            <w:r>
              <w:rPr>
                <w:rFonts w:ascii="Arial" w:hAnsi="Arial"/>
                <w:sz w:val="14"/>
              </w:rPr>
              <w:t>Pending — training</w:t>
            </w:r>
          </w:p>
        </w:tc>
        <w:tc>
          <w:tcPr>
            <w:tcW w:type="dxa" w:w="1656"/>
            <w:vAlign w:val="top"/>
          </w:tcPr>
          <w:p>
            <w:pPr>
              <w:spacing w:before="0" w:after="30" w:line="240" w:lineRule="auto"/>
            </w:pPr>
            <w:r>
              <w:rPr>
                <w:rFonts w:ascii="Arial" w:hAnsi="Arial"/>
                <w:sz w:val="14"/>
              </w:rPr>
              <w:t>Novel attacks cannot be exhaustively covered.</w:t>
            </w:r>
          </w:p>
        </w:tc>
      </w:tr>
      <w:tr>
        <w:tc>
          <w:tcPr>
            <w:tcW w:type="dxa" w:w="792"/>
            <w:vAlign w:val="top"/>
            <w:shd w:fill="EAF2F8"/>
          </w:tcPr>
          <w:p>
            <w:pPr>
              <w:spacing w:before="0" w:after="30" w:line="240" w:lineRule="auto"/>
            </w:pPr>
            <w:r>
              <w:rPr>
                <w:rFonts w:ascii="Arial" w:hAnsi="Arial"/>
                <w:sz w:val="14"/>
              </w:rPr>
              <w:t>RAI-08</w:t>
            </w:r>
          </w:p>
        </w:tc>
        <w:tc>
          <w:tcPr>
            <w:tcW w:type="dxa" w:w="1080"/>
            <w:vAlign w:val="top"/>
            <w:shd w:fill="EAF2F8"/>
          </w:tcPr>
          <w:p>
            <w:pPr>
              <w:spacing w:before="0" w:after="30" w:line="240" w:lineRule="auto"/>
            </w:pPr>
            <w:r>
              <w:rPr>
                <w:rFonts w:ascii="Arial" w:hAnsi="Arial"/>
                <w:sz w:val="14"/>
              </w:rPr>
              <w:t>Performance consistency</w:t>
            </w:r>
          </w:p>
        </w:tc>
        <w:tc>
          <w:tcPr>
            <w:tcW w:type="dxa" w:w="1440"/>
            <w:vAlign w:val="top"/>
            <w:shd w:fill="EAF2F8"/>
          </w:tcPr>
          <w:p>
            <w:pPr>
              <w:spacing w:before="0" w:after="30" w:line="240" w:lineRule="auto"/>
            </w:pPr>
            <w:r>
              <w:rPr>
                <w:rFonts w:ascii="Arial" w:hAnsi="Arial"/>
                <w:sz w:val="14"/>
              </w:rPr>
              <w:t>Uneven error rates across technical groups</w:t>
            </w:r>
          </w:p>
        </w:tc>
        <w:tc>
          <w:tcPr>
            <w:tcW w:type="dxa" w:w="1944"/>
            <w:vAlign w:val="top"/>
            <w:shd w:fill="EAF2F8"/>
          </w:tcPr>
          <w:p>
            <w:pPr>
              <w:spacing w:before="0" w:after="30" w:line="240" w:lineRule="auto"/>
            </w:pPr>
            <w:r>
              <w:rPr>
                <w:rFonts w:ascii="Arial" w:hAnsi="Arial"/>
                <w:sz w:val="14"/>
              </w:rPr>
              <w:t>Audit vendor, family, lineage and evidence-failure groups after prediction generation.</w:t>
            </w:r>
          </w:p>
        </w:tc>
        <w:tc>
          <w:tcPr>
            <w:tcW w:type="dxa" w:w="1008"/>
            <w:vAlign w:val="top"/>
            <w:shd w:fill="EAF2F8"/>
          </w:tcPr>
          <w:p>
            <w:pPr>
              <w:spacing w:before="0" w:after="30" w:line="240" w:lineRule="auto"/>
            </w:pPr>
            <w:r>
              <w:rPr>
                <w:rFonts w:ascii="Arial" w:hAnsi="Arial"/>
                <w:sz w:val="14"/>
              </w:rPr>
              <w:t>Independent Reviewer</w:t>
            </w:r>
          </w:p>
        </w:tc>
        <w:tc>
          <w:tcPr>
            <w:tcW w:type="dxa" w:w="1728"/>
            <w:vAlign w:val="top"/>
            <w:shd w:fill="EAF2F8"/>
          </w:tcPr>
          <w:p>
            <w:pPr>
              <w:spacing w:before="0" w:after="30" w:line="240" w:lineRule="auto"/>
            </w:pPr>
            <w:r>
              <w:rPr>
                <w:rFonts w:ascii="Arial" w:hAnsi="Arial"/>
                <w:sz w:val="14"/>
              </w:rPr>
              <w:t>subgroup_evaluation.json</w:t>
            </w:r>
          </w:p>
        </w:tc>
        <w:tc>
          <w:tcPr>
            <w:tcW w:type="dxa" w:w="1656"/>
            <w:vAlign w:val="top"/>
            <w:shd w:fill="EAF2F8"/>
          </w:tcPr>
          <w:p>
            <w:pPr>
              <w:spacing w:before="0" w:after="30" w:line="240" w:lineRule="auto"/>
            </w:pPr>
            <w:r>
              <w:rPr>
                <w:rFonts w:ascii="Arial" w:hAnsi="Arial"/>
                <w:sz w:val="14"/>
              </w:rPr>
              <w:t>Compare FPR, FNR, recall and sample count</w:t>
            </w:r>
          </w:p>
        </w:tc>
        <w:tc>
          <w:tcPr>
            <w:tcW w:type="dxa" w:w="1944"/>
            <w:vAlign w:val="top"/>
            <w:shd w:fill="EAF2F8"/>
          </w:tcPr>
          <w:p>
            <w:pPr>
              <w:spacing w:before="0" w:after="30" w:line="240" w:lineRule="auto"/>
            </w:pPr>
            <w:r>
              <w:rPr>
                <w:rFonts w:ascii="Arial" w:hAnsi="Arial"/>
                <w:sz w:val="14"/>
              </w:rPr>
              <w:t>For n≥30, absolute high-risk-recall and FPR gap versus overall ≤0.10; else document/reject.</w:t>
            </w:r>
          </w:p>
        </w:tc>
        <w:tc>
          <w:tcPr>
            <w:tcW w:type="dxa" w:w="1296"/>
            <w:vAlign w:val="top"/>
            <w:shd w:fill="EAF2F8"/>
          </w:tcPr>
          <w:p>
            <w:pPr>
              <w:spacing w:before="0" w:after="30" w:line="240" w:lineRule="auto"/>
            </w:pPr>
            <w:r>
              <w:rPr>
                <w:rFonts w:ascii="Arial" w:hAnsi="Arial"/>
                <w:sz w:val="14"/>
              </w:rPr>
              <w:t>Pending — evaluation</w:t>
            </w:r>
          </w:p>
        </w:tc>
        <w:tc>
          <w:tcPr>
            <w:tcW w:type="dxa" w:w="1656"/>
            <w:vAlign w:val="top"/>
            <w:shd w:fill="EAF2F8"/>
          </w:tcPr>
          <w:p>
            <w:pPr>
              <w:spacing w:before="0" w:after="30" w:line="240" w:lineRule="auto"/>
            </w:pPr>
            <w:r>
              <w:rPr>
                <w:rFonts w:ascii="Arial" w:hAnsi="Arial"/>
                <w:sz w:val="14"/>
              </w:rPr>
              <w:t>Synthetic groups are not human fairness evidence.</w:t>
            </w:r>
          </w:p>
        </w:tc>
      </w:tr>
      <w:tr>
        <w:tc>
          <w:tcPr>
            <w:tcW w:type="dxa" w:w="792"/>
            <w:vAlign w:val="top"/>
          </w:tcPr>
          <w:p>
            <w:pPr>
              <w:spacing w:before="0" w:after="30" w:line="240" w:lineRule="auto"/>
            </w:pPr>
            <w:r>
              <w:rPr>
                <w:rFonts w:ascii="Arial" w:hAnsi="Arial"/>
                <w:sz w:val="14"/>
              </w:rPr>
              <w:t>RAI-09</w:t>
            </w:r>
          </w:p>
        </w:tc>
        <w:tc>
          <w:tcPr>
            <w:tcW w:type="dxa" w:w="1080"/>
            <w:vAlign w:val="top"/>
          </w:tcPr>
          <w:p>
            <w:pPr>
              <w:spacing w:before="0" w:after="30" w:line="240" w:lineRule="auto"/>
            </w:pPr>
            <w:r>
              <w:rPr>
                <w:rFonts w:ascii="Arial" w:hAnsi="Arial"/>
                <w:sz w:val="14"/>
              </w:rPr>
              <w:t>Privacy/minimisation</w:t>
            </w:r>
          </w:p>
        </w:tc>
        <w:tc>
          <w:tcPr>
            <w:tcW w:type="dxa" w:w="1440"/>
            <w:vAlign w:val="top"/>
          </w:tcPr>
          <w:p>
            <w:pPr>
              <w:spacing w:before="0" w:after="30" w:line="240" w:lineRule="auto"/>
            </w:pPr>
            <w:r>
              <w:rPr>
                <w:rFonts w:ascii="Arial" w:hAnsi="Arial"/>
                <w:sz w:val="14"/>
              </w:rPr>
              <w:t>Unnecessary or personal data collection</w:t>
            </w:r>
          </w:p>
        </w:tc>
        <w:tc>
          <w:tcPr>
            <w:tcW w:type="dxa" w:w="1944"/>
            <w:vAlign w:val="top"/>
          </w:tcPr>
          <w:p>
            <w:pPr>
              <w:spacing w:before="0" w:after="30" w:line="240" w:lineRule="auto"/>
            </w:pPr>
            <w:r>
              <w:rPr>
                <w:rFonts w:ascii="Arial" w:hAnsi="Arial"/>
                <w:sz w:val="14"/>
              </w:rPr>
              <w:t>Confirm synthetic/no-PII scope; forbid raw proprietary telemetry in this PoC.</w:t>
            </w:r>
          </w:p>
        </w:tc>
        <w:tc>
          <w:tcPr>
            <w:tcW w:type="dxa" w:w="1008"/>
            <w:vAlign w:val="top"/>
          </w:tcPr>
          <w:p>
            <w:pPr>
              <w:spacing w:before="0" w:after="30" w:line="240" w:lineRule="auto"/>
            </w:pPr>
            <w:r>
              <w:rPr>
                <w:rFonts w:ascii="Arial" w:hAnsi="Arial"/>
                <w:sz w:val="14"/>
              </w:rPr>
              <w:t>Dataset Owner</w:t>
            </w:r>
          </w:p>
        </w:tc>
        <w:tc>
          <w:tcPr>
            <w:tcW w:type="dxa" w:w="1728"/>
            <w:vAlign w:val="top"/>
          </w:tcPr>
          <w:p>
            <w:pPr>
              <w:spacing w:before="0" w:after="30" w:line="240" w:lineRule="auto"/>
            </w:pPr>
            <w:r>
              <w:rPr>
                <w:rFonts w:ascii="Arial" w:hAnsi="Arial"/>
                <w:sz w:val="14"/>
              </w:rPr>
              <w:t>data_card.md; privacy_scan.json</w:t>
            </w:r>
          </w:p>
        </w:tc>
        <w:tc>
          <w:tcPr>
            <w:tcW w:type="dxa" w:w="1656"/>
            <w:vAlign w:val="top"/>
          </w:tcPr>
          <w:p>
            <w:pPr>
              <w:spacing w:before="0" w:after="30" w:line="240" w:lineRule="auto"/>
            </w:pPr>
            <w:r>
              <w:rPr>
                <w:rFonts w:ascii="Arial" w:hAnsi="Arial"/>
                <w:sz w:val="14"/>
              </w:rPr>
              <w:t>Schema review and PII-pattern scan</w:t>
            </w:r>
          </w:p>
        </w:tc>
        <w:tc>
          <w:tcPr>
            <w:tcW w:type="dxa" w:w="1944"/>
            <w:vAlign w:val="top"/>
          </w:tcPr>
          <w:p>
            <w:pPr>
              <w:spacing w:before="0" w:after="30" w:line="240" w:lineRule="auto"/>
            </w:pPr>
            <w:r>
              <w:rPr>
                <w:rFonts w:ascii="Arial" w:hAnsi="Arial"/>
                <w:sz w:val="14"/>
              </w:rPr>
              <w:t>No PII fields or matches; future retention/access rules documented before telemetry use.</w:t>
            </w:r>
          </w:p>
        </w:tc>
        <w:tc>
          <w:tcPr>
            <w:tcW w:type="dxa" w:w="1296"/>
            <w:vAlign w:val="top"/>
          </w:tcPr>
          <w:p>
            <w:pPr>
              <w:spacing w:before="0" w:after="30" w:line="240" w:lineRule="auto"/>
            </w:pPr>
            <w:r>
              <w:rPr>
                <w:rFonts w:ascii="Arial" w:hAnsi="Arial"/>
                <w:sz w:val="14"/>
              </w:rPr>
              <w:t>Pending — pre-training</w:t>
            </w:r>
          </w:p>
        </w:tc>
        <w:tc>
          <w:tcPr>
            <w:tcW w:type="dxa" w:w="1656"/>
            <w:vAlign w:val="top"/>
          </w:tcPr>
          <w:p>
            <w:pPr>
              <w:spacing w:before="0" w:after="30" w:line="240" w:lineRule="auto"/>
            </w:pPr>
            <w:r>
              <w:rPr>
                <w:rFonts w:ascii="Arial" w:hAnsi="Arial"/>
                <w:sz w:val="14"/>
              </w:rPr>
              <w:t>Pattern scans cannot prove absence of all sensitive data.</w:t>
            </w:r>
          </w:p>
        </w:tc>
      </w:tr>
      <w:tr>
        <w:tc>
          <w:tcPr>
            <w:tcW w:type="dxa" w:w="792"/>
            <w:vAlign w:val="top"/>
            <w:shd w:fill="EAF2F8"/>
          </w:tcPr>
          <w:p>
            <w:pPr>
              <w:spacing w:before="0" w:after="30" w:line="240" w:lineRule="auto"/>
            </w:pPr>
            <w:r>
              <w:rPr>
                <w:rFonts w:ascii="Arial" w:hAnsi="Arial"/>
                <w:sz w:val="14"/>
              </w:rPr>
              <w:t>RAI-10</w:t>
            </w:r>
          </w:p>
        </w:tc>
        <w:tc>
          <w:tcPr>
            <w:tcW w:type="dxa" w:w="1080"/>
            <w:vAlign w:val="top"/>
            <w:shd w:fill="EAF2F8"/>
          </w:tcPr>
          <w:p>
            <w:pPr>
              <w:spacing w:before="0" w:after="30" w:line="240" w:lineRule="auto"/>
            </w:pPr>
            <w:r>
              <w:rPr>
                <w:rFonts w:ascii="Arial" w:hAnsi="Arial"/>
                <w:sz w:val="14"/>
              </w:rPr>
              <w:t>Integrity</w:t>
            </w:r>
          </w:p>
        </w:tc>
        <w:tc>
          <w:tcPr>
            <w:tcW w:type="dxa" w:w="1440"/>
            <w:vAlign w:val="top"/>
            <w:shd w:fill="EAF2F8"/>
          </w:tcPr>
          <w:p>
            <w:pPr>
              <w:spacing w:before="0" w:after="30" w:line="240" w:lineRule="auto"/>
            </w:pPr>
            <w:r>
              <w:rPr>
                <w:rFonts w:ascii="Arial" w:hAnsi="Arial"/>
                <w:sz w:val="14"/>
              </w:rPr>
              <w:t>Data/model tampering</w:t>
            </w:r>
          </w:p>
        </w:tc>
        <w:tc>
          <w:tcPr>
            <w:tcW w:type="dxa" w:w="1944"/>
            <w:vAlign w:val="top"/>
            <w:shd w:fill="EAF2F8"/>
          </w:tcPr>
          <w:p>
            <w:pPr>
              <w:spacing w:before="0" w:after="30" w:line="240" w:lineRule="auto"/>
            </w:pPr>
            <w:r>
              <w:rPr>
                <w:rFonts w:ascii="Arial" w:hAnsi="Arial"/>
                <w:sz w:val="14"/>
              </w:rPr>
              <w:t>Hash datasets, features, splits, code revision, model and evaluation artefacts.</w:t>
            </w:r>
          </w:p>
        </w:tc>
        <w:tc>
          <w:tcPr>
            <w:tcW w:type="dxa" w:w="1008"/>
            <w:vAlign w:val="top"/>
            <w:shd w:fill="EAF2F8"/>
          </w:tcPr>
          <w:p>
            <w:pPr>
              <w:spacing w:before="0" w:after="30" w:line="240" w:lineRule="auto"/>
            </w:pPr>
            <w:r>
              <w:rPr>
                <w:rFonts w:ascii="Arial" w:hAnsi="Arial"/>
                <w:sz w:val="14"/>
              </w:rPr>
              <w:t>Security Lead</w:t>
            </w:r>
          </w:p>
        </w:tc>
        <w:tc>
          <w:tcPr>
            <w:tcW w:type="dxa" w:w="1728"/>
            <w:vAlign w:val="top"/>
            <w:shd w:fill="EAF2F8"/>
          </w:tcPr>
          <w:p>
            <w:pPr>
              <w:spacing w:before="0" w:after="30" w:line="240" w:lineRule="auto"/>
            </w:pPr>
            <w:r>
              <w:rPr>
                <w:rFonts w:ascii="Arial" w:hAnsi="Arial"/>
                <w:sz w:val="14"/>
              </w:rPr>
              <w:t>experiment_manifest.json</w:t>
            </w:r>
          </w:p>
        </w:tc>
        <w:tc>
          <w:tcPr>
            <w:tcW w:type="dxa" w:w="1656"/>
            <w:vAlign w:val="top"/>
            <w:shd w:fill="EAF2F8"/>
          </w:tcPr>
          <w:p>
            <w:pPr>
              <w:spacing w:before="0" w:after="30" w:line="240" w:lineRule="auto"/>
            </w:pPr>
            <w:r>
              <w:rPr>
                <w:rFonts w:ascii="Arial" w:hAnsi="Arial"/>
                <w:sz w:val="14"/>
              </w:rPr>
              <w:t>Clean-run hash and reload verification</w:t>
            </w:r>
          </w:p>
        </w:tc>
        <w:tc>
          <w:tcPr>
            <w:tcW w:type="dxa" w:w="1944"/>
            <w:vAlign w:val="top"/>
            <w:shd w:fill="EAF2F8"/>
          </w:tcPr>
          <w:p>
            <w:pPr>
              <w:spacing w:before="0" w:after="30" w:line="240" w:lineRule="auto"/>
            </w:pPr>
            <w:r>
              <w:rPr>
                <w:rFonts w:ascii="Arial" w:hAnsi="Arial"/>
                <w:sz w:val="14"/>
              </w:rPr>
              <w:t>All recorded hashes match and selected model reproduces within declared tolerance.</w:t>
            </w:r>
          </w:p>
        </w:tc>
        <w:tc>
          <w:tcPr>
            <w:tcW w:type="dxa" w:w="1296"/>
            <w:vAlign w:val="top"/>
            <w:shd w:fill="EAF2F8"/>
          </w:tcPr>
          <w:p>
            <w:pPr>
              <w:spacing w:before="0" w:after="30" w:line="240" w:lineRule="auto"/>
            </w:pPr>
            <w:r>
              <w:rPr>
                <w:rFonts w:ascii="Arial" w:hAnsi="Arial"/>
                <w:sz w:val="14"/>
              </w:rPr>
              <w:t>Pending — training</w:t>
            </w:r>
          </w:p>
        </w:tc>
        <w:tc>
          <w:tcPr>
            <w:tcW w:type="dxa" w:w="1656"/>
            <w:vAlign w:val="top"/>
            <w:shd w:fill="EAF2F8"/>
          </w:tcPr>
          <w:p>
            <w:pPr>
              <w:spacing w:before="0" w:after="30" w:line="240" w:lineRule="auto"/>
            </w:pPr>
            <w:r>
              <w:rPr>
                <w:rFonts w:ascii="Arial" w:hAnsi="Arial"/>
                <w:sz w:val="14"/>
              </w:rPr>
              <w:t>Key-backed signing is outside current PoC.</w:t>
            </w:r>
          </w:p>
        </w:tc>
      </w:tr>
      <w:tr>
        <w:tc>
          <w:tcPr>
            <w:tcW w:type="dxa" w:w="792"/>
            <w:vAlign w:val="top"/>
          </w:tcPr>
          <w:p>
            <w:pPr>
              <w:spacing w:before="0" w:after="30" w:line="240" w:lineRule="auto"/>
            </w:pPr>
            <w:r>
              <w:rPr>
                <w:rFonts w:ascii="Arial" w:hAnsi="Arial"/>
                <w:sz w:val="14"/>
              </w:rPr>
              <w:t>RAI-11</w:t>
            </w:r>
          </w:p>
        </w:tc>
        <w:tc>
          <w:tcPr>
            <w:tcW w:type="dxa" w:w="1080"/>
            <w:vAlign w:val="top"/>
          </w:tcPr>
          <w:p>
            <w:pPr>
              <w:spacing w:before="0" w:after="30" w:line="240" w:lineRule="auto"/>
            </w:pPr>
            <w:r>
              <w:rPr>
                <w:rFonts w:ascii="Arial" w:hAnsi="Arial"/>
                <w:sz w:val="14"/>
              </w:rPr>
              <w:t>Accountability/redress</w:t>
            </w:r>
          </w:p>
        </w:tc>
        <w:tc>
          <w:tcPr>
            <w:tcW w:type="dxa" w:w="1440"/>
            <w:vAlign w:val="top"/>
          </w:tcPr>
          <w:p>
            <w:pPr>
              <w:spacing w:before="0" w:after="30" w:line="240" w:lineRule="auto"/>
            </w:pPr>
            <w:r>
              <w:rPr>
                <w:rFonts w:ascii="Arial" w:hAnsi="Arial"/>
                <w:sz w:val="14"/>
              </w:rPr>
              <w:t>Unreviewable disagreement or override</w:t>
            </w:r>
          </w:p>
        </w:tc>
        <w:tc>
          <w:tcPr>
            <w:tcW w:type="dxa" w:w="1944"/>
            <w:vAlign w:val="top"/>
          </w:tcPr>
          <w:p>
            <w:pPr>
              <w:spacing w:before="0" w:after="30" w:line="240" w:lineRule="auto"/>
            </w:pPr>
            <w:r>
              <w:rPr>
                <w:rFonts w:ascii="Arial" w:hAnsi="Arial"/>
                <w:sz w:val="14"/>
              </w:rPr>
              <w:t>Log rule output, ML output, disagreement, human disposition and reason.</w:t>
            </w:r>
          </w:p>
        </w:tc>
        <w:tc>
          <w:tcPr>
            <w:tcW w:type="dxa" w:w="1008"/>
            <w:vAlign w:val="top"/>
          </w:tcPr>
          <w:p>
            <w:pPr>
              <w:spacing w:before="0" w:after="30" w:line="240" w:lineRule="auto"/>
            </w:pPr>
            <w:r>
              <w:rPr>
                <w:rFonts w:ascii="Arial" w:hAnsi="Arial"/>
                <w:sz w:val="14"/>
              </w:rPr>
              <w:t>Product Owner</w:t>
            </w:r>
          </w:p>
        </w:tc>
        <w:tc>
          <w:tcPr>
            <w:tcW w:type="dxa" w:w="1728"/>
            <w:vAlign w:val="top"/>
          </w:tcPr>
          <w:p>
            <w:pPr>
              <w:spacing w:before="0" w:after="30" w:line="240" w:lineRule="auto"/>
            </w:pPr>
            <w:r>
              <w:rPr>
                <w:rFonts w:ascii="Arial" w:hAnsi="Arial"/>
                <w:sz w:val="14"/>
              </w:rPr>
              <w:t>decision_audit_schema.json; audit_tests.json</w:t>
            </w:r>
          </w:p>
        </w:tc>
        <w:tc>
          <w:tcPr>
            <w:tcW w:type="dxa" w:w="1656"/>
            <w:vAlign w:val="top"/>
          </w:tcPr>
          <w:p>
            <w:pPr>
              <w:spacing w:before="0" w:after="30" w:line="240" w:lineRule="auto"/>
            </w:pPr>
            <w:r>
              <w:rPr>
                <w:rFonts w:ascii="Arial" w:hAnsi="Arial"/>
                <w:sz w:val="14"/>
              </w:rPr>
              <w:t>Schema and workflow tests</w:t>
            </w:r>
          </w:p>
        </w:tc>
        <w:tc>
          <w:tcPr>
            <w:tcW w:type="dxa" w:w="1944"/>
            <w:vAlign w:val="top"/>
          </w:tcPr>
          <w:p>
            <w:pPr>
              <w:spacing w:before="0" w:after="30" w:line="240" w:lineRule="auto"/>
            </w:pPr>
            <w:r>
              <w:rPr>
                <w:rFonts w:ascii="Arial" w:hAnsi="Arial"/>
                <w:sz w:val="14"/>
              </w:rPr>
              <w:t>All disagreements/overrides are attributable and reviewable; no silent override.</w:t>
            </w:r>
          </w:p>
        </w:tc>
        <w:tc>
          <w:tcPr>
            <w:tcW w:type="dxa" w:w="1296"/>
            <w:vAlign w:val="top"/>
          </w:tcPr>
          <w:p>
            <w:pPr>
              <w:spacing w:before="0" w:after="30" w:line="240" w:lineRule="auto"/>
            </w:pPr>
            <w:r>
              <w:rPr>
                <w:rFonts w:ascii="Arial" w:hAnsi="Arial"/>
                <w:sz w:val="14"/>
              </w:rPr>
              <w:t>Pending — fusion/API</w:t>
            </w:r>
          </w:p>
        </w:tc>
        <w:tc>
          <w:tcPr>
            <w:tcW w:type="dxa" w:w="1656"/>
            <w:vAlign w:val="top"/>
          </w:tcPr>
          <w:p>
            <w:pPr>
              <w:spacing w:before="0" w:after="30" w:line="240" w:lineRule="auto"/>
            </w:pPr>
            <w:r>
              <w:rPr>
                <w:rFonts w:ascii="Arial" w:hAnsi="Arial"/>
                <w:sz w:val="14"/>
              </w:rPr>
              <w:t>Operational identity controls remain future work.</w:t>
            </w:r>
          </w:p>
        </w:tc>
      </w:tr>
      <w:tr>
        <w:tc>
          <w:tcPr>
            <w:tcW w:type="dxa" w:w="792"/>
            <w:vAlign w:val="top"/>
            <w:shd w:fill="EAF2F8"/>
          </w:tcPr>
          <w:p>
            <w:pPr>
              <w:spacing w:before="0" w:after="30" w:line="240" w:lineRule="auto"/>
            </w:pPr>
            <w:r>
              <w:rPr>
                <w:rFonts w:ascii="Arial" w:hAnsi="Arial"/>
                <w:sz w:val="14"/>
              </w:rPr>
              <w:t>RAI-12</w:t>
            </w:r>
          </w:p>
        </w:tc>
        <w:tc>
          <w:tcPr>
            <w:tcW w:type="dxa" w:w="1080"/>
            <w:vAlign w:val="top"/>
            <w:shd w:fill="EAF2F8"/>
          </w:tcPr>
          <w:p>
            <w:pPr>
              <w:spacing w:before="0" w:after="30" w:line="240" w:lineRule="auto"/>
            </w:pPr>
            <w:r>
              <w:rPr>
                <w:rFonts w:ascii="Arial" w:hAnsi="Arial"/>
                <w:sz w:val="14"/>
              </w:rPr>
              <w:t>Monitoring/rollback</w:t>
            </w:r>
          </w:p>
        </w:tc>
        <w:tc>
          <w:tcPr>
            <w:tcW w:type="dxa" w:w="1440"/>
            <w:vAlign w:val="top"/>
            <w:shd w:fill="EAF2F8"/>
          </w:tcPr>
          <w:p>
            <w:pPr>
              <w:spacing w:before="0" w:after="30" w:line="240" w:lineRule="auto"/>
            </w:pPr>
            <w:r>
              <w:rPr>
                <w:rFonts w:ascii="Arial" w:hAnsi="Arial"/>
                <w:sz w:val="14"/>
              </w:rPr>
              <w:t>Undetected degradation</w:t>
            </w:r>
          </w:p>
        </w:tc>
        <w:tc>
          <w:tcPr>
            <w:tcW w:type="dxa" w:w="1944"/>
            <w:vAlign w:val="top"/>
            <w:shd w:fill="EAF2F8"/>
          </w:tcPr>
          <w:p>
            <w:pPr>
              <w:spacing w:before="0" w:after="30" w:line="240" w:lineRule="auto"/>
            </w:pPr>
            <w:r>
              <w:rPr>
                <w:rFonts w:ascii="Arial" w:hAnsi="Arial"/>
                <w:sz w:val="14"/>
              </w:rPr>
              <w:t>Define drift/OOD alerts, incident response, review cadence and reversible model rollout.</w:t>
            </w:r>
          </w:p>
        </w:tc>
        <w:tc>
          <w:tcPr>
            <w:tcW w:type="dxa" w:w="1008"/>
            <w:vAlign w:val="top"/>
            <w:shd w:fill="EAF2F8"/>
          </w:tcPr>
          <w:p>
            <w:pPr>
              <w:spacing w:before="0" w:after="30" w:line="240" w:lineRule="auto"/>
            </w:pPr>
            <w:r>
              <w:rPr>
                <w:rFonts w:ascii="Arial" w:hAnsi="Arial"/>
                <w:sz w:val="14"/>
              </w:rPr>
              <w:t>Operations Owner</w:t>
            </w:r>
          </w:p>
        </w:tc>
        <w:tc>
          <w:tcPr>
            <w:tcW w:type="dxa" w:w="1728"/>
            <w:vAlign w:val="top"/>
            <w:shd w:fill="EAF2F8"/>
          </w:tcPr>
          <w:p>
            <w:pPr>
              <w:spacing w:before="0" w:after="30" w:line="240" w:lineRule="auto"/>
            </w:pPr>
            <w:r>
              <w:rPr>
                <w:rFonts w:ascii="Arial" w:hAnsi="Arial"/>
                <w:sz w:val="14"/>
              </w:rPr>
              <w:t>monitoring_plan.md; rollback_runbook.md</w:t>
            </w:r>
          </w:p>
        </w:tc>
        <w:tc>
          <w:tcPr>
            <w:tcW w:type="dxa" w:w="1656"/>
            <w:vAlign w:val="top"/>
            <w:shd w:fill="EAF2F8"/>
          </w:tcPr>
          <w:p>
            <w:pPr>
              <w:spacing w:before="0" w:after="30" w:line="240" w:lineRule="auto"/>
            </w:pPr>
            <w:r>
              <w:rPr>
                <w:rFonts w:ascii="Arial" w:hAnsi="Arial"/>
                <w:sz w:val="14"/>
              </w:rPr>
              <w:t>Tabletop test before deployment</w:t>
            </w:r>
          </w:p>
        </w:tc>
        <w:tc>
          <w:tcPr>
            <w:tcW w:type="dxa" w:w="1944"/>
            <w:vAlign w:val="top"/>
            <w:shd w:fill="EAF2F8"/>
          </w:tcPr>
          <w:p>
            <w:pPr>
              <w:spacing w:before="0" w:after="30" w:line="240" w:lineRule="auto"/>
            </w:pPr>
            <w:r>
              <w:rPr>
                <w:rFonts w:ascii="Arial" w:hAnsi="Arial"/>
                <w:sz w:val="14"/>
              </w:rPr>
              <w:t>Alert thresholds, owners, rollback trigger and review schedule approved.</w:t>
            </w:r>
          </w:p>
        </w:tc>
        <w:tc>
          <w:tcPr>
            <w:tcW w:type="dxa" w:w="1296"/>
            <w:vAlign w:val="top"/>
            <w:shd w:fill="EAF2F8"/>
          </w:tcPr>
          <w:p>
            <w:pPr>
              <w:spacing w:before="0" w:after="30" w:line="240" w:lineRule="auto"/>
            </w:pPr>
            <w:r>
              <w:rPr>
                <w:rFonts w:ascii="Arial" w:hAnsi="Arial"/>
                <w:sz w:val="14"/>
              </w:rPr>
              <w:t>Pending — deployment</w:t>
            </w:r>
          </w:p>
        </w:tc>
        <w:tc>
          <w:tcPr>
            <w:tcW w:type="dxa" w:w="1656"/>
            <w:vAlign w:val="top"/>
            <w:shd w:fill="EAF2F8"/>
          </w:tcPr>
          <w:p>
            <w:pPr>
              <w:spacing w:before="0" w:after="30" w:line="240" w:lineRule="auto"/>
            </w:pPr>
            <w:r>
              <w:rPr>
                <w:rFonts w:ascii="Arial" w:hAnsi="Arial"/>
                <w:sz w:val="14"/>
              </w:rPr>
              <w:t>No production telemetry exists in the PoC.</w:t>
            </w:r>
          </w:p>
        </w:tc>
      </w:tr>
    </w:tbl>
    <w:sectPr w:rsidR="00FC693F" w:rsidRPr="0006063C" w:rsidSect="00034616">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Model Selection, Evaluation and Responsible AI Assurance Specification</dc:title>
  <dc:subject>Firmware supply-chain assurance pre-training gate</dc:subject>
  <dc:creator>Firmware Supply-Chain Assurance PoC Team</dc:creator>
  <cp:keywords/>
  <dc:description>Revised from Nihar's submitted pre-training specification; original preserved.</dc:description>
  <cp:lastModifiedBy/>
  <cp:revision>1</cp:revision>
  <dcterms:created xsi:type="dcterms:W3CDTF">2013-12-23T23:15:00Z</dcterms:created>
  <dcterms:modified xsi:type="dcterms:W3CDTF">2013-12-23T23:15:00Z</dcterms:modified>
  <cp:category/>
</cp:coreProperties>
</file>