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3: REQUIREMENT ANALYSIS PHASE</w:t>
        <w:br/>
      </w:r>
      <w:r>
        <w:rPr>
          <w:b/>
          <w:color w:val="0F172A"/>
          <w:sz w:val="32"/>
        </w:rPr>
        <w:t>Technology Stack (Architecture &amp; 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4 Marks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Technology Selected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User Interface (Frontend)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Single-page responsive web client for travellers and hoteliers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React 18, Vite, Tailwind CSS, React Router v7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Icons &amp; Components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Lightweight vector icons matching modern travel portals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Lucide React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HTTP &amp; State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API client with transparent 401 token refresh interceptors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Axios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Backend Web API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Modular REST API implementing business rules and hold engine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Node.js, Express.js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Request Validation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Type-safe runtime schema validation for incoming payloads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Zod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Security &amp; Session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Dual-token session handling and password hashing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bcryptjs, jsonwebtoken, cookie-parser, helmet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Database &amp; Persistence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Document storage for hotels, rooms, bookings, and sessions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MongoDB Atlas / Mongoose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Payment Simulation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Test checkout simulation for UPI, Cards, and Net Banking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Razorpay Sandbox (Test Mode)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Artificial Intelligence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Catalog-grounded conversational assistant &amp; NLP parsing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Google Gemini API (gemini-1.5-flash)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Characteristic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Architectural Strategy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Implementation Details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Open Source Stack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100% open-source components with zero vendor lock-in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React, Node.js, Express, Tailwind, Mongoose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Concurrency &amp; Scalability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Stateless API with database-level isolation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JWT tokens + MongoDB compound indexes for date overlap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Automated Testing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Native Node.js test runner verifying core business rules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node --test tests/**/*.test.js (sub-second execution)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Cloud Deployment Tier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Free-tier hosting compliance for academic evaluation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Vercel (Frontend), Render (Backend), MongoDB Atlas (M0 Free)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