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eastAsia="Times New Roman"/>
          <w:b w:val="0"/>
          <w:i w:val="0"/>
          <w:sz w:val="24"/>
        </w:rPr>
      </w:r>
    </w:p>
    <w:p>
      <w:pPr>
        <w:spacing w:line="360" w:lineRule="auto" w:after="160"/>
        <w:jc w:val="center"/>
      </w:pPr>
      <w:r>
        <w:rPr>
          <w:rFonts w:ascii="Times New Roman" w:hAnsi="Times New Roman" w:eastAsia="Times New Roman"/>
          <w:b/>
          <w:i w:val="0"/>
          <w:sz w:val="28"/>
        </w:rPr>
        <w:t>[Institution Name]</w:t>
      </w:r>
    </w:p>
    <w:p>
      <w:pPr>
        <w:spacing w:line="360" w:lineRule="auto" w:after="160"/>
        <w:jc w:val="center"/>
      </w:pPr>
      <w:r>
        <w:rPr>
          <w:rFonts w:ascii="Times New Roman" w:hAnsi="Times New Roman" w:eastAsia="Times New Roman"/>
          <w:b w:val="0"/>
          <w:i w:val="0"/>
          <w:sz w:val="24"/>
        </w:rPr>
        <w:t>Department of Computer Science and Engineering</w:t>
      </w:r>
    </w:p>
    <w:p>
      <w:pPr>
        <w:spacing w:line="360" w:lineRule="auto" w:after="160"/>
        <w:jc w:val="center"/>
      </w:pPr>
      <w:r>
        <w:rPr>
          <w:rFonts w:ascii="Times New Roman" w:hAnsi="Times New Roman" w:eastAsia="Times New Roman"/>
          <w:b w:val="0"/>
          <w:i w:val="0"/>
          <w:sz w:val="24"/>
        </w:rPr>
      </w:r>
    </w:p>
    <w:p>
      <w:pPr>
        <w:spacing w:line="360" w:lineRule="auto" w:after="160"/>
        <w:jc w:val="center"/>
      </w:pPr>
      <w:r>
        <w:rPr>
          <w:rFonts w:ascii="Times New Roman" w:hAnsi="Times New Roman" w:eastAsia="Times New Roman"/>
          <w:b/>
          <w:i w:val="0"/>
          <w:sz w:val="26"/>
        </w:rPr>
        <w:t>CIA-3  |  Component 2: Micro Project  |  Technical Project Report</w:t>
      </w:r>
    </w:p>
    <w:p>
      <w:pPr>
        <w:spacing w:line="360" w:lineRule="auto" w:after="160"/>
        <w:jc w:val="center"/>
      </w:pPr>
      <w:r>
        <w:rPr>
          <w:rFonts w:ascii="Times New Roman" w:hAnsi="Times New Roman" w:eastAsia="Times New Roman"/>
          <w:b w:val="0"/>
          <w:i w:val="0"/>
          <w:sz w:val="24"/>
        </w:rPr>
        <w:t>Course: Reinforcement Learning</w:t>
      </w:r>
    </w:p>
    <w:p>
      <w:pPr>
        <w:spacing w:line="360" w:lineRule="auto" w:after="160"/>
        <w:jc w:val="center"/>
      </w:pPr>
      <w:r>
        <w:rPr>
          <w:rFonts w:ascii="Times New Roman" w:hAnsi="Times New Roman" w:eastAsia="Times New Roman"/>
          <w:b w:val="0"/>
          <w:i w:val="0"/>
          <w:sz w:val="24"/>
        </w:rPr>
      </w:r>
    </w:p>
    <w:p>
      <w:pPr>
        <w:spacing w:line="360" w:lineRule="auto" w:after="160"/>
        <w:jc w:val="center"/>
      </w:pPr>
      <w:r>
        <w:rPr>
          <w:rFonts w:ascii="Times New Roman" w:hAnsi="Times New Roman" w:eastAsia="Times New Roman"/>
          <w:b/>
          <w:i w:val="0"/>
          <w:sz w:val="32"/>
        </w:rPr>
        <w:t>Comparative Study of SARSA, Q-learning, Expected SARSA and Dyna-Q</w:t>
        <w:br/>
        <w:t>for Adaptive Traffic Signal Control in a Custom Discrete Simulator</w:t>
      </w:r>
    </w:p>
    <w:p>
      <w:pPr>
        <w:spacing w:line="360" w:lineRule="auto" w:after="160"/>
        <w:jc w:val="center"/>
      </w:pPr>
      <w:r>
        <w:rPr>
          <w:rFonts w:ascii="Times New Roman" w:hAnsi="Times New Roman" w:eastAsia="Times New Roman"/>
          <w:b w:val="0"/>
          <w:i w:val="0"/>
          <w:sz w:val="24"/>
        </w:rPr>
      </w:r>
    </w:p>
    <w:p>
      <w:pPr>
        <w:spacing w:line="360" w:lineRule="auto" w:after="160"/>
        <w:jc w:val="center"/>
      </w:pPr>
      <w:r>
        <w:rPr>
          <w:rFonts w:ascii="Times New Roman" w:hAnsi="Times New Roman" w:eastAsia="Times New Roman"/>
          <w:b/>
          <w:i w:val="0"/>
          <w:sz w:val="24"/>
        </w:rPr>
        <w:t>Team Members</w:t>
      </w:r>
    </w:p>
    <w:p>
      <w:pPr>
        <w:spacing w:line="360" w:lineRule="auto" w:after="40"/>
        <w:jc w:val="center"/>
      </w:pPr>
      <w:r>
        <w:rPr>
          <w:rFonts w:ascii="Times New Roman" w:hAnsi="Times New Roman" w:eastAsia="Times New Roman"/>
          <w:b w:val="0"/>
          <w:i w:val="0"/>
          <w:sz w:val="24"/>
        </w:rPr>
        <w:t>Member 1</w:t>
      </w:r>
    </w:p>
    <w:p>
      <w:pPr>
        <w:spacing w:line="360" w:lineRule="auto" w:after="40"/>
        <w:jc w:val="center"/>
      </w:pPr>
      <w:r>
        <w:rPr>
          <w:rFonts w:ascii="Times New Roman" w:hAnsi="Times New Roman" w:eastAsia="Times New Roman"/>
          <w:b w:val="0"/>
          <w:i w:val="0"/>
          <w:sz w:val="24"/>
        </w:rPr>
        <w:t>Member 2</w:t>
      </w:r>
    </w:p>
    <w:p>
      <w:pPr>
        <w:spacing w:line="360" w:lineRule="auto" w:after="40"/>
        <w:jc w:val="center"/>
      </w:pPr>
      <w:r>
        <w:rPr>
          <w:rFonts w:ascii="Times New Roman" w:hAnsi="Times New Roman" w:eastAsia="Times New Roman"/>
          <w:b w:val="0"/>
          <w:i w:val="0"/>
          <w:sz w:val="24"/>
        </w:rPr>
        <w:t>Member 3</w:t>
      </w:r>
    </w:p>
    <w:p>
      <w:pPr>
        <w:spacing w:line="360" w:lineRule="auto" w:after="40"/>
        <w:jc w:val="center"/>
      </w:pPr>
      <w:r>
        <w:rPr>
          <w:rFonts w:ascii="Times New Roman" w:hAnsi="Times New Roman" w:eastAsia="Times New Roman"/>
          <w:b w:val="0"/>
          <w:i w:val="0"/>
          <w:sz w:val="24"/>
        </w:rPr>
        <w:t>Member 4</w:t>
      </w:r>
    </w:p>
    <w:p>
      <w:pPr>
        <w:spacing w:line="360" w:lineRule="auto" w:after="160"/>
        <w:jc w:val="center"/>
      </w:pPr>
      <w:r>
        <w:rPr>
          <w:rFonts w:ascii="Times New Roman" w:hAnsi="Times New Roman" w:eastAsia="Times New Roman"/>
          <w:b w:val="0"/>
          <w:i w:val="0"/>
          <w:sz w:val="24"/>
        </w:rPr>
        <w:t>September 2026</w:t>
      </w:r>
    </w:p>
    <w:p>
      <w:r>
        <w:br w:type="page"/>
      </w:r>
    </w:p>
    <w:p>
      <w:pPr>
        <w:spacing w:before="240" w:after="120" w:line="360" w:lineRule="auto"/>
        <w:ind w:firstLine="0"/>
        <w:jc w:val="left"/>
      </w:pPr>
      <w:r>
        <w:rPr>
          <w:rFonts w:ascii="Times New Roman" w:hAnsi="Times New Roman" w:eastAsia="Times New Roman"/>
          <w:b/>
          <w:i w:val="0"/>
          <w:color w:val="1F4E79"/>
          <w:sz w:val="32"/>
        </w:rPr>
        <w:t>2. Abstract</w:t>
      </w:r>
    </w:p>
    <w:p>
      <w:pPr>
        <w:spacing w:line="360" w:lineRule="auto" w:after="160"/>
        <w:ind w:firstLine="432"/>
        <w:jc w:val="both"/>
      </w:pPr>
      <w:r>
        <w:rPr>
          <w:rFonts w:ascii="Times New Roman" w:hAnsi="Times New Roman" w:eastAsia="Times New Roman"/>
          <w:b w:val="0"/>
          <w:i w:val="0"/>
          <w:sz w:val="24"/>
        </w:rPr>
        <w:t>This micro-project continues the Component 1 case study of adaptive traffic signal control at an isolated four-approach intersection. A custom Gym-style environment exposes a 6,480-state tabular MDP whose actions are keep-or-switch phase decisions and whose reward penalises waiting, spillback, and switch chatter. Four conceptually related temporal-difference methods were implemented from scratch in Python/NumPy: on-policy SARSA, off-policy Q-learning, Expected SARSA, and Dyna-Q with an empirical stochastic model and eight planning steps. Each algorithm trained for 1,400 episodes of 120 steps with identical stepsize, discount, and ε-schedule. On last-100-episode mean return, Dyna-Q reached -811.22 versus -827.10 for Expected SARSA, -838.81 for SARSA, and -858.89 for Q-learning. Greedy evaluation confirmed the same ranking (Dyna-Q eval return -820.29). Q-learning met the rolling-mean stability test earliest but plateaued at a weaker policy. The main conclusion is that, for this stochastic queueing MDP, planning with a learned model (Dyna-Q) and expected on-policy targets (Expected SARSA) outperform plain one-step SARSA and Q-learning on asymptotic return, at the cost of extra compute for Dyna-Q. Safe RL shielding is recommended before any field interpretation.</w:t>
      </w:r>
    </w:p>
    <w:p>
      <w:pPr>
        <w:spacing w:before="240" w:after="120" w:line="360" w:lineRule="auto"/>
        <w:ind w:firstLine="0"/>
        <w:jc w:val="left"/>
      </w:pPr>
      <w:r>
        <w:rPr>
          <w:rFonts w:ascii="Times New Roman" w:hAnsi="Times New Roman" w:eastAsia="Times New Roman"/>
          <w:b/>
          <w:i w:val="0"/>
          <w:color w:val="1F4E79"/>
          <w:sz w:val="32"/>
        </w:rPr>
        <w:t>3. Keywords</w:t>
      </w:r>
    </w:p>
    <w:p>
      <w:pPr>
        <w:spacing w:line="360" w:lineRule="auto" w:after="160"/>
        <w:jc w:val="both"/>
      </w:pPr>
      <w:r>
        <w:rPr>
          <w:rFonts w:ascii="Times New Roman" w:hAnsi="Times New Roman" w:eastAsia="Times New Roman"/>
          <w:b w:val="0"/>
          <w:i w:val="0"/>
          <w:sz w:val="24"/>
        </w:rPr>
        <w:t>Reinforcement Learning; Traffic Signal Control; SARSA; Q-learning; Expected SARSA; Dyna-Q; Real-time Sequential Decision Making.</w:t>
      </w:r>
    </w:p>
    <w:p>
      <w:pPr>
        <w:spacing w:before="240" w:after="120" w:line="360" w:lineRule="auto"/>
        <w:ind w:firstLine="0"/>
        <w:jc w:val="left"/>
      </w:pPr>
      <w:r>
        <w:rPr>
          <w:rFonts w:ascii="Times New Roman" w:hAnsi="Times New Roman" w:eastAsia="Times New Roman"/>
          <w:b/>
          <w:i w:val="0"/>
          <w:color w:val="1F4E79"/>
          <w:sz w:val="32"/>
        </w:rPr>
        <w:t>4. Introduction</w:t>
      </w:r>
    </w:p>
    <w:p>
      <w:pPr>
        <w:spacing w:line="360" w:lineRule="auto" w:after="160"/>
        <w:ind w:firstLine="432"/>
        <w:jc w:val="both"/>
      </w:pPr>
      <w:r>
        <w:rPr>
          <w:rFonts w:ascii="Times New Roman" w:hAnsi="Times New Roman" w:eastAsia="Times New Roman"/>
          <w:b w:val="0"/>
          <w:i w:val="0"/>
          <w:sz w:val="24"/>
        </w:rPr>
        <w:t>Background. Isolated intersections remain the elementary control unit of urban networks. Even when a city later coordinates corridors, the local cabinet must still decide, at each tick, whether to extend the current green or to serve the opposing movement. Demand is noisy, peak direction can reverse inside a single peak window, and the cost of a late switch is delayed spillback rather than an immediate labelled error. These properties place the problem in sequential stochastic control.</w:t>
      </w:r>
    </w:p>
    <w:p>
      <w:pPr>
        <w:spacing w:line="360" w:lineRule="auto" w:after="160"/>
        <w:ind w:firstLine="432"/>
        <w:jc w:val="both"/>
      </w:pPr>
      <w:r>
        <w:rPr>
          <w:rFonts w:ascii="Times New Roman" w:hAnsi="Times New Roman" w:eastAsia="Times New Roman"/>
          <w:b w:val="0"/>
          <w:i w:val="0"/>
          <w:sz w:val="24"/>
        </w:rPr>
        <w:t>Why reinforcement learning. Classical Webster splits and gap-based actuation are open-loop or myopic. They do not estimate a discounted action-value for keep versus switch. RL agents can learn such values by interacting with a simulator when field logs and a calibrated microscopic model are unavailable—as is the case for this coursework. We therefore built a compact discrete environment whose occupancy cells play the role of a Gridworld lane, and we trained tabular agents that remain within the algorithmic vocabulary of Units 4 and 5.</w:t>
      </w:r>
    </w:p>
    <w:p>
      <w:pPr>
        <w:spacing w:line="360" w:lineRule="auto" w:after="160"/>
        <w:ind w:firstLine="432"/>
        <w:jc w:val="both"/>
      </w:pPr>
      <w:r>
        <w:rPr>
          <w:rFonts w:ascii="Times New Roman" w:hAnsi="Times New Roman" w:eastAsia="Times New Roman"/>
          <w:b w:val="0"/>
          <w:i w:val="0"/>
          <w:sz w:val="24"/>
        </w:rPr>
        <w:t>Four approaches, briefly. SARSA evaluates the ε-greedy behaviour policy, which is appropriate if a little exploration would remain at deployment. Q-learning evaluates the greedy policy while exploring, matching a simulation-train / greedy-deploy workflow. Expected SARSA replaces the sampled next-action bootstrap with an expectation under π, reducing variance when Poisson arrivals make SARSA’s target noisy. Dyna-Q layers a learned transition model and n planning updates on top of Q-learning, reusing scarce occupancy patterns. One-line justifications: SARSA — on-policy TD for exploratory controllers; Q-learning — off-policy TD for greedy cabinets; Expected SARSA — lower-variance on-policy TD; Dyna-Q — model-based acceleration of Q-learning when dynamics are locally repeatable.</w:t>
      </w:r>
    </w:p>
    <w:p>
      <w:pPr>
        <w:spacing w:line="360" w:lineRule="auto" w:after="160"/>
        <w:ind w:firstLine="432"/>
        <w:jc w:val="both"/>
      </w:pPr>
      <w:r>
        <w:rPr>
          <w:rFonts w:ascii="Times New Roman" w:hAnsi="Times New Roman" w:eastAsia="Times New Roman"/>
          <w:b w:val="0"/>
          <w:i w:val="0"/>
          <w:sz w:val="24"/>
        </w:rPr>
        <w:t>Objective. Implement a shared environment and four from-scratch training loops; produce real learning curves (not fabricated); compare the methods on at least four explicitly defined metrics; analyse why the ranking occurred; and document a Safe RL innovation consistent with Component 1.</w:t>
      </w:r>
    </w:p>
    <w:p>
      <w:pPr>
        <w:spacing w:before="240" w:after="120" w:line="360" w:lineRule="auto"/>
        <w:ind w:firstLine="0"/>
        <w:jc w:val="left"/>
      </w:pPr>
      <w:r>
        <w:rPr>
          <w:rFonts w:ascii="Times New Roman" w:hAnsi="Times New Roman" w:eastAsia="Times New Roman"/>
          <w:b/>
          <w:i w:val="0"/>
          <w:color w:val="1F4E79"/>
          <w:sz w:val="32"/>
        </w:rPr>
        <w:t>5. Literature Review</w:t>
      </w:r>
    </w:p>
    <w:p>
      <w:pPr>
        <w:spacing w:line="360" w:lineRule="auto" w:after="160"/>
        <w:ind w:firstLine="432"/>
        <w:jc w:val="both"/>
      </w:pPr>
      <w:r>
        <w:rPr>
          <w:rFonts w:ascii="Times New Roman" w:hAnsi="Times New Roman" w:eastAsia="Times New Roman"/>
          <w:b w:val="0"/>
          <w:i w:val="0"/>
          <w:sz w:val="24"/>
        </w:rPr>
        <w:t>Wiering [3] treated junctions as multi-agent RL problems and showed that local Q-learning can reduce waiting relative to fixed plans, at the cost of coordination externalities. Prashanth and Bhatnagar [4] introduced function approximation for signal control, addressing the tabular curse of dimensionality that we still accept in this micro-project by capping occupancy at five. Van der Pol and Oliehoek [5] and Wei et al. [6] moved to deep RL (DQN-style) for richer detector features; IntelliLight in particular reported gains over actuated control on a calibrated simulator. Chen et al. [7] scaled decentralized deep RL toward large networks. Haydari and Yılmaz [9] survey the ITS literature and stress sim-to-real, safety, and reward specification as open issues. García and Fernández [8] survey Safe RL, which we adopt as the innovation layer rather than as a trained constrained optimiser in this delivery.</w:t>
      </w:r>
    </w:p>
    <w:p>
      <w:pPr>
        <w:spacing w:line="360" w:lineRule="auto" w:after="160"/>
        <w:ind w:firstLine="432"/>
        <w:jc w:val="both"/>
      </w:pPr>
      <w:r>
        <w:rPr>
          <w:rFonts w:ascii="Times New Roman" w:hAnsi="Times New Roman" w:eastAsia="Times New Roman"/>
          <w:b w:val="0"/>
          <w:i w:val="0"/>
          <w:sz w:val="24"/>
        </w:rPr>
        <w:t>Strengths of prior work include demonstrated delay reductions in simulation and an increasingly standard MDP framing (queues, phases, waiting rewards). Limitations include reliance on heavy simulators (SUMO, VISSIM) that are difficult to reimplement from scratch for a four-person coursework, sparse reporting of tabular TD ablations, and frequent omission of hard timing constraints. Our contribution is not a new SOTA controller; it is a transparent, fully from-scratch comparison of four TD methods on one documented MDP, with reproducible artefacts.</w:t>
      </w:r>
    </w:p>
    <w:p>
      <w:pPr>
        <w:spacing w:line="360" w:lineRule="auto" w:after="160"/>
        <w:ind w:firstLine="432"/>
        <w:jc w:val="both"/>
      </w:pPr>
      <w:r>
        <w:rPr>
          <w:rFonts w:ascii="Times New Roman" w:hAnsi="Times New Roman" w:eastAsia="Times New Roman"/>
          <w:b w:val="0"/>
          <w:i w:val="0"/>
          <w:sz w:val="24"/>
        </w:rPr>
        <w:t>Classical traffic control remains the baseline family: Webster’s formula [2] and demand-responsive logic such as OPAC [10] still explain deployed cabinets. RL should be read as a data-driven alternative for the split decision, not as a replacement for the conflict monitor.</w:t>
      </w:r>
    </w:p>
    <w:p>
      <w:pPr>
        <w:spacing w:before="240" w:after="120" w:line="360" w:lineRule="auto"/>
        <w:ind w:firstLine="0"/>
        <w:jc w:val="left"/>
      </w:pPr>
      <w:r>
        <w:rPr>
          <w:rFonts w:ascii="Times New Roman" w:hAnsi="Times New Roman" w:eastAsia="Times New Roman"/>
          <w:b/>
          <w:i w:val="0"/>
          <w:color w:val="1F4E79"/>
          <w:sz w:val="32"/>
        </w:rPr>
        <w:t>6. Methodology</w:t>
      </w:r>
    </w:p>
    <w:p>
      <w:pPr>
        <w:spacing w:before="160" w:after="120" w:line="360" w:lineRule="auto"/>
        <w:ind w:firstLine="0"/>
        <w:jc w:val="left"/>
      </w:pPr>
      <w:r>
        <w:rPr>
          <w:rFonts w:ascii="Times New Roman" w:hAnsi="Times New Roman" w:eastAsia="Times New Roman"/>
          <w:b/>
          <w:i w:val="0"/>
          <w:color w:val="1F4E79"/>
          <w:sz w:val="28"/>
        </w:rPr>
        <w:t>6.1 Case study recap</w:t>
      </w:r>
    </w:p>
    <w:p>
      <w:pPr>
        <w:spacing w:line="360" w:lineRule="auto" w:after="160"/>
        <w:ind w:firstLine="432"/>
        <w:jc w:val="both"/>
      </w:pPr>
      <w:r>
        <w:rPr>
          <w:rFonts w:ascii="Times New Roman" w:hAnsi="Times New Roman" w:eastAsia="Times New Roman"/>
          <w:b w:val="0"/>
          <w:i w:val="0"/>
          <w:sz w:val="24"/>
        </w:rPr>
        <w:t>The case study (Component 1) defined an isolated two-phase intersection in which a single agent chooses keep or switch. The long-term objective is discounted return equal to negative waiting, spillback, and switch cost. Rule-based splits are treated as insufficient because they do not estimate delayed value under a directional demand flip. The same MDP is used here without retuning the physics between algorithms.</w:t>
      </w:r>
    </w:p>
    <w:p>
      <w:pPr>
        <w:ind w:firstLine="0"/>
        <w:jc w:val="center"/>
      </w:pPr>
      <w:r>
        <w:drawing>
          <wp:inline xmlns:a="http://schemas.openxmlformats.org/drawingml/2006/main" xmlns:pic="http://schemas.openxmlformats.org/drawingml/2006/picture">
            <wp:extent cx="3931920" cy="3931920"/>
            <wp:docPr id="1" name="Picture 1"/>
            <wp:cNvGraphicFramePr>
              <a:graphicFrameLocks noChangeAspect="1"/>
            </wp:cNvGraphicFramePr>
            <a:graphic>
              <a:graphicData uri="http://schemas.openxmlformats.org/drawingml/2006/picture">
                <pic:pic>
                  <pic:nvPicPr>
                    <pic:cNvPr id="0" name="intersection_sketch.png"/>
                    <pic:cNvPicPr/>
                  </pic:nvPicPr>
                  <pic:blipFill>
                    <a:blip r:embed="rId10"/>
                    <a:stretch>
                      <a:fillRect/>
                    </a:stretch>
                  </pic:blipFill>
                  <pic:spPr>
                    <a:xfrm>
                      <a:off x="0" y="0"/>
                      <a:ext cx="3931920" cy="3931920"/>
                    </a:xfrm>
                    <a:prstGeom prst="rect"/>
                  </pic:spPr>
                </pic:pic>
              </a:graphicData>
            </a:graphic>
          </wp:inline>
        </w:drawing>
      </w:r>
    </w:p>
    <w:p>
      <w:pPr>
        <w:spacing w:after="200"/>
        <w:ind w:firstLine="0"/>
        <w:jc w:val="center"/>
      </w:pPr>
      <w:r>
        <w:rPr>
          <w:rFonts w:ascii="Times New Roman" w:hAnsi="Times New Roman" w:eastAsia="Times New Roman"/>
          <w:b w:val="0"/>
          <w:i/>
          <w:sz w:val="22"/>
        </w:rPr>
        <w:t>Figure 1. Intersection abstraction (N/S versus E/W phases).</w:t>
      </w:r>
    </w:p>
    <w:p>
      <w:pPr>
        <w:spacing w:before="160" w:after="120" w:line="360" w:lineRule="auto"/>
        <w:ind w:firstLine="0"/>
        <w:jc w:val="left"/>
      </w:pPr>
      <w:r>
        <w:rPr>
          <w:rFonts w:ascii="Times New Roman" w:hAnsi="Times New Roman" w:eastAsia="Times New Roman"/>
          <w:b/>
          <w:i w:val="0"/>
          <w:color w:val="1F4E79"/>
          <w:sz w:val="28"/>
        </w:rPr>
        <w:t>6.2 RL environment design</w:t>
      </w:r>
    </w:p>
    <w:p>
      <w:pPr>
        <w:spacing w:line="360" w:lineRule="auto" w:after="160"/>
        <w:ind w:firstLine="432"/>
        <w:jc w:val="both"/>
      </w:pPr>
      <w:r>
        <w:rPr>
          <w:rFonts w:ascii="Times New Roman" w:hAnsi="Times New Roman" w:eastAsia="Times New Roman"/>
          <w:b w:val="0"/>
          <w:i w:val="0"/>
          <w:sz w:val="24"/>
        </w:rPr>
        <w:t>State. s = (q_N, q_S, q_E, q_W, φ, t_green) with q_i ∈ {0,…,5}, φ ∈ {0,1}, t_green ∈ {0,…,4}. Integer encoding yields |S| = 6,480. Action. a ∈ {0,1} = {keep, switch}; switches with t_green &lt; 4 are no-ops. Reward. R = −Σ q_i − 8 n_blocked − 0.35·1_switched. Episode. T = 120 steps, then terminate (episodic MDP). Environment type. Stochastic, dynamic (time-varying Poisson means), fully observed in simulation, discrete state and action, simulation-based learning. Assumption: arrivals are synthetic; stall probability 0.08 approximates lost time.</w:t>
      </w:r>
    </w:p>
    <w:p>
      <w:pPr>
        <w:spacing w:line="360" w:lineRule="auto" w:after="160"/>
        <w:ind w:firstLine="432"/>
        <w:jc w:val="both"/>
      </w:pPr>
      <w:r>
        <w:rPr>
          <w:rFonts w:ascii="Times New Roman" w:hAnsi="Times New Roman" w:eastAsia="Times New Roman"/>
          <w:b w:val="0"/>
          <w:i w:val="0"/>
          <w:sz w:val="24"/>
        </w:rPr>
        <w:t>Transition sketch. If phase 0 is green, approaches N and S each attempt to discharge one vehicle; E and W do not. Poisson arrivals are then added independently. Occupancy is clipped at MAX_QUEUE = 5; excess counts as blocked. The directional means start NS-heavy and become relatively more EW-heavy as t/T increases, so a static split is structurally suboptimal.</w:t>
      </w:r>
    </w:p>
    <w:p>
      <w:pPr>
        <w:spacing w:before="160" w:after="120" w:line="360" w:lineRule="auto"/>
        <w:ind w:firstLine="0"/>
        <w:jc w:val="left"/>
      </w:pPr>
      <w:r>
        <w:rPr>
          <w:rFonts w:ascii="Times New Roman" w:hAnsi="Times New Roman" w:eastAsia="Times New Roman"/>
          <w:b/>
          <w:i w:val="0"/>
          <w:color w:val="1F4E79"/>
          <w:sz w:val="28"/>
        </w:rPr>
        <w:t>6.3 Approach 1 — SARSA</w:t>
      </w:r>
    </w:p>
    <w:p>
      <w:pPr>
        <w:spacing w:line="360" w:lineRule="auto" w:after="160"/>
        <w:ind w:firstLine="432"/>
        <w:jc w:val="both"/>
      </w:pPr>
      <w:r>
        <w:rPr>
          <w:rFonts w:ascii="Times New Roman" w:hAnsi="Times New Roman" w:eastAsia="Times New Roman"/>
          <w:b w:val="0"/>
          <w:i w:val="0"/>
          <w:sz w:val="24"/>
        </w:rPr>
        <w:t>Explanation. SARSA is on-policy one-step TD control [1]. After transitioning (S, A, R, S′) and selecting A′ ∼ π_ε(·|S′), the update is Q(S,A) ← Q(S,A) + α[R + γ Q(S′,A′) − Q(S,A)]. Suitability. If the cabinet retains exploratory probes, the learned Q matches the behaviour that will actually run. Implementation. NumPy table; linear ε decay; random tie-break among greedy actions; training loop in Approach_1/train_sarsa.py; artefacts: rewards.npy, q_table.npy, policy.npy, metrics.json, behavior_trace.txt.</w:t>
      </w:r>
    </w:p>
    <w:p>
      <w:pPr>
        <w:spacing w:before="160" w:after="120" w:line="360" w:lineRule="auto"/>
        <w:ind w:firstLine="0"/>
        <w:jc w:val="left"/>
      </w:pPr>
      <w:r>
        <w:rPr>
          <w:rFonts w:ascii="Times New Roman" w:hAnsi="Times New Roman" w:eastAsia="Times New Roman"/>
          <w:b/>
          <w:i w:val="0"/>
          <w:color w:val="1F4E79"/>
          <w:sz w:val="28"/>
        </w:rPr>
        <w:t>6.4 Approach 2 — Q-learning</w:t>
      </w:r>
    </w:p>
    <w:p>
      <w:pPr>
        <w:spacing w:line="360" w:lineRule="auto" w:after="160"/>
        <w:ind w:firstLine="432"/>
        <w:jc w:val="both"/>
      </w:pPr>
      <w:r>
        <w:rPr>
          <w:rFonts w:ascii="Times New Roman" w:hAnsi="Times New Roman" w:eastAsia="Times New Roman"/>
          <w:b w:val="0"/>
          <w:i w:val="0"/>
          <w:sz w:val="24"/>
        </w:rPr>
        <w:t>Explanation. Off-policy TD control uses the greedy backup R + γ max_a Q(S′,a) regardless of the ε-greedy action that will be taken next [1]. Suitability. Matches simulation with exploration and greedy deployment. Risk: the max operator can overestimate under noisy rewards (addressed conceptually by Double Q-learning, not implemented here). Implementation. Approach_2/train_qlearning.py with the same α, γ, ε as SARSA so that differences are algorithmic rather than hyperparameter search artefacts. Seeds differ so that the four runs are independent stochastic trials.</w:t>
      </w:r>
    </w:p>
    <w:p>
      <w:pPr>
        <w:spacing w:before="160" w:after="120" w:line="360" w:lineRule="auto"/>
        <w:ind w:firstLine="0"/>
        <w:jc w:val="left"/>
      </w:pPr>
      <w:r>
        <w:rPr>
          <w:rFonts w:ascii="Times New Roman" w:hAnsi="Times New Roman" w:eastAsia="Times New Roman"/>
          <w:b/>
          <w:i w:val="0"/>
          <w:color w:val="1F4E79"/>
          <w:sz w:val="28"/>
        </w:rPr>
        <w:t>6.5 Approach 3 — Expected SARSA</w:t>
      </w:r>
    </w:p>
    <w:p>
      <w:pPr>
        <w:spacing w:line="360" w:lineRule="auto" w:after="160"/>
        <w:ind w:firstLine="432"/>
        <w:jc w:val="both"/>
      </w:pPr>
      <w:r>
        <w:rPr>
          <w:rFonts w:ascii="Times New Roman" w:hAnsi="Times New Roman" w:eastAsia="Times New Roman"/>
          <w:b w:val="0"/>
          <w:i w:val="0"/>
          <w:sz w:val="24"/>
        </w:rPr>
        <w:t>Explanation. The bootstrap target is Σ_a π_ε(a|S′) Q(S′,a), i.e. the expectation under the current ε-greedy policy rather than a single sampled A′ [1]. Suitability. Poisson arrivals make sampled SARSA targets noisy; taking the expectation reduces that source of variance while remaining on-policy with respect to π_ε. Implementation. Approach_3/train_expected_sarsa.py; π_ε puts probability ε/|A| on every action and splits the remaining 1−ε uniformly among greedy maximisers.</w:t>
      </w:r>
    </w:p>
    <w:p>
      <w:pPr>
        <w:spacing w:before="160" w:after="120" w:line="360" w:lineRule="auto"/>
        <w:ind w:firstLine="0"/>
        <w:jc w:val="left"/>
      </w:pPr>
      <w:r>
        <w:rPr>
          <w:rFonts w:ascii="Times New Roman" w:hAnsi="Times New Roman" w:eastAsia="Times New Roman"/>
          <w:b/>
          <w:i w:val="0"/>
          <w:color w:val="1F4E79"/>
          <w:sz w:val="28"/>
        </w:rPr>
        <w:t>6.6 Approach 4 — Dyna-Q</w:t>
      </w:r>
    </w:p>
    <w:p>
      <w:pPr>
        <w:spacing w:line="360" w:lineRule="auto" w:after="160"/>
        <w:ind w:firstLine="432"/>
        <w:jc w:val="both"/>
      </w:pPr>
      <w:r>
        <w:rPr>
          <w:rFonts w:ascii="Times New Roman" w:hAnsi="Times New Roman" w:eastAsia="Times New Roman"/>
          <w:b w:val="0"/>
          <w:i w:val="0"/>
          <w:sz w:val="24"/>
        </w:rPr>
        <w:t>Explanation. After each real Q-learning update, the pair (S,A) and the observed (S′,R) increment an empirical count model. Then n = 8 planning steps sample a previously seen (S,A) uniformly and sample (S′,R) from the empirical multinomial, applying the same Q-learning backup [1]. Suitability. Occupancy dynamics are locally repeatable even though they are stochastic; planning reuses those samples. Implementation. Approach_4/train_dyna_q.py. Assumption: the model is non-stationary in truth (arrival means drift with t) but the tabular model is time-aggregated, so planning is slightly misspecified. This is discussed in Section 10.</w:t>
      </w:r>
    </w:p>
    <w:p>
      <w:pPr>
        <w:ind w:firstLine="0"/>
        <w:jc w:val="center"/>
      </w:pPr>
      <w:r>
        <w:drawing>
          <wp:inline xmlns:a="http://schemas.openxmlformats.org/drawingml/2006/main" xmlns:pic="http://schemas.openxmlformats.org/drawingml/2006/picture">
            <wp:extent cx="5486400" cy="3092335"/>
            <wp:docPr id="2" name="Picture 2"/>
            <wp:cNvGraphicFramePr>
              <a:graphicFrameLocks noChangeAspect="1"/>
            </wp:cNvGraphicFramePr>
            <a:graphic>
              <a:graphicData uri="http://schemas.openxmlformats.org/drawingml/2006/picture">
                <pic:pic>
                  <pic:nvPicPr>
                    <pic:cNvPr id="0" name="rl_workflow.png"/>
                    <pic:cNvPicPr/>
                  </pic:nvPicPr>
                  <pic:blipFill>
                    <a:blip r:embed="rId11"/>
                    <a:stretch>
                      <a:fillRect/>
                    </a:stretch>
                  </pic:blipFill>
                  <pic:spPr>
                    <a:xfrm>
                      <a:off x="0" y="0"/>
                      <a:ext cx="5486400" cy="3092335"/>
                    </a:xfrm>
                    <a:prstGeom prst="rect"/>
                  </pic:spPr>
                </pic:pic>
              </a:graphicData>
            </a:graphic>
          </wp:inline>
        </w:drawing>
      </w:r>
    </w:p>
    <w:p>
      <w:pPr>
        <w:spacing w:after="200"/>
        <w:ind w:firstLine="0"/>
        <w:jc w:val="center"/>
      </w:pPr>
      <w:r>
        <w:rPr>
          <w:rFonts w:ascii="Times New Roman" w:hAnsi="Times New Roman" w:eastAsia="Times New Roman"/>
          <w:b w:val="0"/>
          <w:i/>
          <w:sz w:val="22"/>
        </w:rPr>
        <w:t>Figure 2. Shared interaction and learning loop.</w:t>
      </w:r>
    </w:p>
    <w:p>
      <w:pPr>
        <w:spacing w:before="240" w:after="120" w:line="360" w:lineRule="auto"/>
        <w:ind w:firstLine="0"/>
        <w:jc w:val="left"/>
      </w:pPr>
      <w:r>
        <w:rPr>
          <w:rFonts w:ascii="Times New Roman" w:hAnsi="Times New Roman" w:eastAsia="Times New Roman"/>
          <w:b/>
          <w:i w:val="0"/>
          <w:color w:val="1F4E79"/>
          <w:sz w:val="32"/>
        </w:rPr>
        <w:t>7. Experimental Setup</w:t>
      </w:r>
    </w:p>
    <w:p>
      <w:pPr>
        <w:spacing w:line="360" w:lineRule="auto" w:after="160"/>
        <w:ind w:firstLine="432"/>
        <w:jc w:val="both"/>
      </w:pPr>
      <w:r>
        <w:rPr>
          <w:rFonts w:ascii="Times New Roman" w:hAnsi="Times New Roman" w:eastAsia="Times New Roman"/>
          <w:b w:val="0"/>
          <w:i w:val="0"/>
          <w:sz w:val="24"/>
        </w:rPr>
        <w:t>Hardware/software. Experiments were run on a macOS (Darwin) host with CPython 3 in a project virtual environment. No GPU is required. Software: Python 3, NumPy 1.26+, Matplotlib 3.8+, python-docx and python-pptx only for reporting. No Gym/PettingZoo/Stable-Baselines3/Tianshou stack is used for learning—the environment is Gym-style in API shape (reset/step) but implemented locally.</w:t>
      </w:r>
    </w:p>
    <w:p>
      <w:pPr>
        <w:spacing w:line="360" w:lineRule="auto" w:after="160"/>
        <w:ind w:firstLine="432"/>
        <w:jc w:val="both"/>
      </w:pPr>
      <w:r>
        <w:rPr>
          <w:rFonts w:ascii="Times New Roman" w:hAnsi="Times New Roman" w:eastAsia="Times New Roman"/>
          <w:b w:val="0"/>
          <w:i w:val="0"/>
          <w:sz w:val="24"/>
        </w:rPr>
        <w:t>Environment configuration. MAX_QUEUE = 5, MIN_GREEN = 4, T = 120, λ_NS = 0.42, λ_EW = 0.28 with the documented linear drift, discharge = 1, stall probability = 0.08, spillback penalty = 8, switch cost = 0.35. Training: 1,400 episodes per algorithm. Evaluation: 40 greedy episodes with fixed seeds (2026 + i).</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Hyperparameter</w:t>
            </w:r>
          </w:p>
        </w:tc>
        <w:tc>
          <w:tcPr>
            <w:tcW w:type="dxa" w:w="3120"/>
          </w:tcPr>
          <w:p>
            <w:r/>
            <w:r>
              <w:rPr>
                <w:rFonts w:ascii="Times New Roman" w:hAnsi="Times New Roman" w:eastAsia="Times New Roman"/>
                <w:b/>
                <w:i w:val="0"/>
                <w:sz w:val="20"/>
              </w:rPr>
              <w:t>Value</w:t>
            </w:r>
          </w:p>
        </w:tc>
        <w:tc>
          <w:tcPr>
            <w:tcW w:type="dxa" w:w="3120"/>
          </w:tcPr>
          <w:p>
            <w:r/>
            <w:r>
              <w:rPr>
                <w:rFonts w:ascii="Times New Roman" w:hAnsi="Times New Roman" w:eastAsia="Times New Roman"/>
                <w:b/>
                <w:i w:val="0"/>
                <w:sz w:val="20"/>
              </w:rPr>
              <w:t>Notes</w:t>
            </w:r>
          </w:p>
        </w:tc>
      </w:tr>
      <w:tr>
        <w:tc>
          <w:tcPr>
            <w:tcW w:type="dxa" w:w="3120"/>
          </w:tcPr>
          <w:p>
            <w:r/>
            <w:r>
              <w:rPr>
                <w:rFonts w:ascii="Times New Roman" w:hAnsi="Times New Roman" w:eastAsia="Times New Roman"/>
                <w:b w:val="0"/>
                <w:i w:val="0"/>
                <w:sz w:val="20"/>
              </w:rPr>
              <w:t>α (learning rate)</w:t>
            </w:r>
          </w:p>
        </w:tc>
        <w:tc>
          <w:tcPr>
            <w:tcW w:type="dxa" w:w="3120"/>
          </w:tcPr>
          <w:p>
            <w:r/>
            <w:r>
              <w:rPr>
                <w:rFonts w:ascii="Times New Roman" w:hAnsi="Times New Roman" w:eastAsia="Times New Roman"/>
                <w:b w:val="0"/>
                <w:i w:val="0"/>
                <w:sz w:val="20"/>
              </w:rPr>
              <w:t>0.12</w:t>
            </w:r>
          </w:p>
        </w:tc>
        <w:tc>
          <w:tcPr>
            <w:tcW w:type="dxa" w:w="3120"/>
          </w:tcPr>
          <w:p>
            <w:r/>
            <w:r>
              <w:rPr>
                <w:rFonts w:ascii="Times New Roman" w:hAnsi="Times New Roman" w:eastAsia="Times New Roman"/>
                <w:b w:val="0"/>
                <w:i w:val="0"/>
                <w:sz w:val="20"/>
              </w:rPr>
              <w:t>Constant; not annealed</w:t>
            </w:r>
          </w:p>
        </w:tc>
      </w:tr>
      <w:tr>
        <w:tc>
          <w:tcPr>
            <w:tcW w:type="dxa" w:w="3120"/>
          </w:tcPr>
          <w:p>
            <w:r/>
            <w:r>
              <w:rPr>
                <w:rFonts w:ascii="Times New Roman" w:hAnsi="Times New Roman" w:eastAsia="Times New Roman"/>
                <w:b w:val="0"/>
                <w:i w:val="0"/>
                <w:sz w:val="20"/>
              </w:rPr>
              <w:t>γ (discount)</w:t>
            </w:r>
          </w:p>
        </w:tc>
        <w:tc>
          <w:tcPr>
            <w:tcW w:type="dxa" w:w="3120"/>
          </w:tcPr>
          <w:p>
            <w:r/>
            <w:r>
              <w:rPr>
                <w:rFonts w:ascii="Times New Roman" w:hAnsi="Times New Roman" w:eastAsia="Times New Roman"/>
                <w:b w:val="0"/>
                <w:i w:val="0"/>
                <w:sz w:val="20"/>
              </w:rPr>
              <w:t>0.95</w:t>
            </w:r>
          </w:p>
        </w:tc>
        <w:tc>
          <w:tcPr>
            <w:tcW w:type="dxa" w:w="3120"/>
          </w:tcPr>
          <w:p>
            <w:r/>
            <w:r>
              <w:rPr>
                <w:rFonts w:ascii="Times New Roman" w:hAnsi="Times New Roman" w:eastAsia="Times New Roman"/>
                <w:b w:val="0"/>
                <w:i w:val="0"/>
                <w:sz w:val="20"/>
              </w:rPr>
              <w:t>Values near-horizon waiting</w:t>
            </w:r>
          </w:p>
        </w:tc>
      </w:tr>
      <w:tr>
        <w:tc>
          <w:tcPr>
            <w:tcW w:type="dxa" w:w="3120"/>
          </w:tcPr>
          <w:p>
            <w:r/>
            <w:r>
              <w:rPr>
                <w:rFonts w:ascii="Times New Roman" w:hAnsi="Times New Roman" w:eastAsia="Times New Roman"/>
                <w:b w:val="0"/>
                <w:i w:val="0"/>
                <w:sz w:val="20"/>
              </w:rPr>
              <w:t>ε start → end</w:t>
            </w:r>
          </w:p>
        </w:tc>
        <w:tc>
          <w:tcPr>
            <w:tcW w:type="dxa" w:w="3120"/>
          </w:tcPr>
          <w:p>
            <w:r/>
            <w:r>
              <w:rPr>
                <w:rFonts w:ascii="Times New Roman" w:hAnsi="Times New Roman" w:eastAsia="Times New Roman"/>
                <w:b w:val="0"/>
                <w:i w:val="0"/>
                <w:sz w:val="20"/>
              </w:rPr>
              <w:t>1.0 → 0.05</w:t>
            </w:r>
          </w:p>
        </w:tc>
        <w:tc>
          <w:tcPr>
            <w:tcW w:type="dxa" w:w="3120"/>
          </w:tcPr>
          <w:p>
            <w:r/>
            <w:r>
              <w:rPr>
                <w:rFonts w:ascii="Times New Roman" w:hAnsi="Times New Roman" w:eastAsia="Times New Roman"/>
                <w:b w:val="0"/>
                <w:i w:val="0"/>
                <w:sz w:val="20"/>
              </w:rPr>
              <w:t>Linear in episode index</w:t>
            </w:r>
          </w:p>
        </w:tc>
      </w:tr>
      <w:tr>
        <w:tc>
          <w:tcPr>
            <w:tcW w:type="dxa" w:w="3120"/>
          </w:tcPr>
          <w:p>
            <w:r/>
            <w:r>
              <w:rPr>
                <w:rFonts w:ascii="Times New Roman" w:hAnsi="Times New Roman" w:eastAsia="Times New Roman"/>
                <w:b w:val="0"/>
                <w:i w:val="0"/>
                <w:sz w:val="20"/>
              </w:rPr>
              <w:t>Episodes</w:t>
            </w:r>
          </w:p>
        </w:tc>
        <w:tc>
          <w:tcPr>
            <w:tcW w:type="dxa" w:w="3120"/>
          </w:tcPr>
          <w:p>
            <w:r/>
            <w:r>
              <w:rPr>
                <w:rFonts w:ascii="Times New Roman" w:hAnsi="Times New Roman" w:eastAsia="Times New Roman"/>
                <w:b w:val="0"/>
                <w:i w:val="0"/>
                <w:sz w:val="20"/>
              </w:rPr>
              <w:t>1400</w:t>
            </w:r>
          </w:p>
        </w:tc>
        <w:tc>
          <w:tcPr>
            <w:tcW w:type="dxa" w:w="3120"/>
          </w:tcPr>
          <w:p>
            <w:r/>
            <w:r>
              <w:rPr>
                <w:rFonts w:ascii="Times New Roman" w:hAnsi="Times New Roman" w:eastAsia="Times New Roman"/>
                <w:b w:val="0"/>
                <w:i w:val="0"/>
                <w:sz w:val="20"/>
              </w:rPr>
              <w:t>Shared</w:t>
            </w:r>
          </w:p>
        </w:tc>
      </w:tr>
      <w:tr>
        <w:tc>
          <w:tcPr>
            <w:tcW w:type="dxa" w:w="3120"/>
          </w:tcPr>
          <w:p>
            <w:r/>
            <w:r>
              <w:rPr>
                <w:rFonts w:ascii="Times New Roman" w:hAnsi="Times New Roman" w:eastAsia="Times New Roman"/>
                <w:b w:val="0"/>
                <w:i w:val="0"/>
                <w:sz w:val="20"/>
              </w:rPr>
              <w:t>Planning steps n (Dyna-Q)</w:t>
            </w:r>
          </w:p>
        </w:tc>
        <w:tc>
          <w:tcPr>
            <w:tcW w:type="dxa" w:w="3120"/>
          </w:tcPr>
          <w:p>
            <w:r/>
            <w:r>
              <w:rPr>
                <w:rFonts w:ascii="Times New Roman" w:hAnsi="Times New Roman" w:eastAsia="Times New Roman"/>
                <w:b w:val="0"/>
                <w:i w:val="0"/>
                <w:sz w:val="20"/>
              </w:rPr>
              <w:t>8</w:t>
            </w:r>
          </w:p>
        </w:tc>
        <w:tc>
          <w:tcPr>
            <w:tcW w:type="dxa" w:w="3120"/>
          </w:tcPr>
          <w:p>
            <w:r/>
            <w:r>
              <w:rPr>
                <w:rFonts w:ascii="Times New Roman" w:hAnsi="Times New Roman" w:eastAsia="Times New Roman"/>
                <w:b w:val="0"/>
                <w:i w:val="0"/>
                <w:sz w:val="20"/>
              </w:rPr>
              <w:t>Per real interaction</w:t>
            </w:r>
          </w:p>
        </w:tc>
      </w:tr>
      <w:tr>
        <w:tc>
          <w:tcPr>
            <w:tcW w:type="dxa" w:w="3120"/>
          </w:tcPr>
          <w:p>
            <w:r/>
            <w:r>
              <w:rPr>
                <w:rFonts w:ascii="Times New Roman" w:hAnsi="Times New Roman" w:eastAsia="Times New Roman"/>
                <w:b w:val="0"/>
                <w:i w:val="0"/>
                <w:sz w:val="20"/>
              </w:rPr>
              <w:t>Seeds</w:t>
            </w:r>
          </w:p>
        </w:tc>
        <w:tc>
          <w:tcPr>
            <w:tcW w:type="dxa" w:w="3120"/>
          </w:tcPr>
          <w:p>
            <w:r/>
            <w:r>
              <w:rPr>
                <w:rFonts w:ascii="Times New Roman" w:hAnsi="Times New Roman" w:eastAsia="Times New Roman"/>
                <w:b w:val="0"/>
                <w:i w:val="0"/>
                <w:sz w:val="20"/>
              </w:rPr>
              <w:t>11 / 22 / 33 / 44</w:t>
            </w:r>
          </w:p>
        </w:tc>
        <w:tc>
          <w:tcPr>
            <w:tcW w:type="dxa" w:w="3120"/>
          </w:tcPr>
          <w:p>
            <w:r/>
            <w:r>
              <w:rPr>
                <w:rFonts w:ascii="Times New Roman" w:hAnsi="Times New Roman" w:eastAsia="Times New Roman"/>
                <w:b w:val="0"/>
                <w:i w:val="0"/>
                <w:sz w:val="20"/>
              </w:rPr>
              <w:t>SARSA / QL / ExpSARSA / Dyna-Q</w:t>
            </w:r>
          </w:p>
        </w:tc>
      </w:tr>
    </w:tbl>
    <w:p/>
    <w:p>
      <w:pPr>
        <w:spacing w:line="360" w:lineRule="auto" w:after="160"/>
        <w:ind w:firstLine="432"/>
        <w:jc w:val="both"/>
      </w:pPr>
      <w:r>
        <w:rPr>
          <w:rFonts w:ascii="Times New Roman" w:hAnsi="Times New Roman" w:eastAsia="Times New Roman"/>
          <w:b w:val="0"/>
          <w:i w:val="0"/>
          <w:sz w:val="24"/>
        </w:rPr>
        <w:t>Metric definitions (how each number is calculated).</w:t>
      </w:r>
    </w:p>
    <w:p>
      <w:pPr>
        <w:pStyle w:val="ListBullet"/>
        <w:spacing w:line="360" w:lineRule="auto"/>
        <w:ind w:firstLine="0"/>
      </w:pPr>
      <w:r>
        <w:rPr>
          <w:rFonts w:ascii="Times New Roman" w:hAnsi="Times New Roman" w:eastAsia="Times New Roman"/>
          <w:b w:val="0"/>
          <w:i w:val="0"/>
          <w:sz w:val="24"/>
        </w:rPr>
        <w:t>Average reward: mean undiscounted episode return over the last 100 training episodes.</w:t>
      </w:r>
    </w:p>
    <w:p>
      <w:pPr>
        <w:pStyle w:val="ListBullet"/>
        <w:spacing w:line="360" w:lineRule="auto"/>
        <w:ind w:firstLine="0"/>
      </w:pPr>
      <w:r>
        <w:rPr>
          <w:rFonts w:ascii="Times New Roman" w:hAnsi="Times New Roman" w:eastAsia="Times New Roman"/>
          <w:b w:val="0"/>
          <w:i w:val="0"/>
          <w:sz w:val="24"/>
        </w:rPr>
        <w:t>Episodes to stability: first index where an 80-episode rolling mean stays within 8% of the final-100 mean for 40 consecutive windows (else 1400).</w:t>
      </w:r>
    </w:p>
    <w:p>
      <w:pPr>
        <w:pStyle w:val="ListBullet"/>
        <w:spacing w:line="360" w:lineRule="auto"/>
        <w:ind w:firstLine="0"/>
      </w:pPr>
      <w:r>
        <w:rPr>
          <w:rFonts w:ascii="Times New Roman" w:hAnsi="Times New Roman" w:eastAsia="Times New Roman"/>
          <w:b w:val="0"/>
          <w:i w:val="0"/>
          <w:sz w:val="24"/>
        </w:rPr>
        <w:t>Cumulative reward: sum of all 1,400 training returns (includes exploration).</w:t>
      </w:r>
    </w:p>
    <w:p>
      <w:pPr>
        <w:pStyle w:val="ListBullet"/>
        <w:spacing w:line="360" w:lineRule="auto"/>
        <w:ind w:firstLine="0"/>
      </w:pPr>
      <w:r>
        <w:rPr>
          <w:rFonts w:ascii="Times New Roman" w:hAnsi="Times New Roman" w:eastAsia="Times New Roman"/>
          <w:b w:val="0"/>
          <w:i w:val="0"/>
          <w:sz w:val="24"/>
        </w:rPr>
        <w:t>Computational time: wall-clock seconds of the training loop (time.perf_counter).</w:t>
      </w:r>
    </w:p>
    <w:p>
      <w:pPr>
        <w:pStyle w:val="ListBullet"/>
        <w:spacing w:line="360" w:lineRule="auto"/>
        <w:ind w:firstLine="0"/>
      </w:pPr>
      <w:r>
        <w:rPr>
          <w:rFonts w:ascii="Times New Roman" w:hAnsi="Times New Roman" w:eastAsia="Times New Roman"/>
          <w:b w:val="0"/>
          <w:i w:val="0"/>
          <w:sz w:val="24"/>
        </w:rPr>
        <w:t>Stability/variance: standard deviation of the last 100 training returns.</w:t>
      </w:r>
    </w:p>
    <w:p>
      <w:pPr>
        <w:pStyle w:val="ListBullet"/>
        <w:spacing w:line="360" w:lineRule="auto"/>
        <w:ind w:firstLine="0"/>
      </w:pPr>
      <w:r>
        <w:rPr>
          <w:rFonts w:ascii="Times New Roman" w:hAnsi="Times New Roman" w:eastAsia="Times New Roman"/>
          <w:b w:val="0"/>
          <w:i w:val="0"/>
          <w:sz w:val="24"/>
        </w:rPr>
        <w:t>Policy quality: mean greedy return over 40 evaluation episodes.</w:t>
      </w:r>
    </w:p>
    <w:p>
      <w:pPr>
        <w:pStyle w:val="ListBullet"/>
        <w:spacing w:line="360" w:lineRule="auto"/>
        <w:ind w:firstLine="0"/>
      </w:pPr>
      <w:r>
        <w:rPr>
          <w:rFonts w:ascii="Times New Roman" w:hAnsi="Times New Roman" w:eastAsia="Times New Roman"/>
          <w:b w:val="0"/>
          <w:i w:val="0"/>
          <w:sz w:val="24"/>
        </w:rPr>
        <w:t>Success rate: fraction of evaluation steps with total occupancy ≤ 6.</w:t>
      </w:r>
    </w:p>
    <w:p>
      <w:pPr>
        <w:pStyle w:val="ListBullet"/>
        <w:spacing w:line="360" w:lineRule="auto"/>
        <w:ind w:firstLine="0"/>
      </w:pPr>
      <w:r>
        <w:rPr>
          <w:rFonts w:ascii="Times New Roman" w:hAnsi="Times New Roman" w:eastAsia="Times New Roman"/>
          <w:b w:val="0"/>
          <w:i w:val="0"/>
          <w:sz w:val="24"/>
        </w:rPr>
        <w:t>Exploration efficiency: (last-100 mean − overall mean) / fraction of exploratory actions.</w:t>
      </w:r>
    </w:p>
    <w:p>
      <w:pPr>
        <w:spacing w:before="240" w:after="120" w:line="360" w:lineRule="auto"/>
        <w:ind w:firstLine="0"/>
        <w:jc w:val="left"/>
      </w:pPr>
      <w:r>
        <w:rPr>
          <w:rFonts w:ascii="Times New Roman" w:hAnsi="Times New Roman" w:eastAsia="Times New Roman"/>
          <w:b/>
          <w:i w:val="0"/>
          <w:color w:val="1F4E79"/>
          <w:sz w:val="32"/>
        </w:rPr>
        <w:t>8. Results</w:t>
      </w:r>
    </w:p>
    <w:p>
      <w:pPr>
        <w:spacing w:line="360" w:lineRule="auto" w:after="160"/>
        <w:ind w:firstLine="432"/>
        <w:jc w:val="both"/>
      </w:pPr>
      <w:r>
        <w:rPr>
          <w:rFonts w:ascii="Times New Roman" w:hAnsi="Times New Roman" w:eastAsia="Times New Roman"/>
          <w:b w:val="0"/>
          <w:i w:val="0"/>
          <w:sz w:val="24"/>
        </w:rPr>
        <w:t>All curves below are produced from the saved rewards.npy files of the four training runs. They are not schematic drawings.</w:t>
      </w:r>
    </w:p>
    <w:p>
      <w:pPr>
        <w:ind w:firstLine="0"/>
        <w:jc w:val="center"/>
      </w:pPr>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learning_curve_SARSA.png"/>
                    <pic:cNvPicPr/>
                  </pic:nvPicPr>
                  <pic:blipFill>
                    <a:blip r:embed="rId12"/>
                    <a:stretch>
                      <a:fillRect/>
                    </a:stretch>
                  </pic:blipFill>
                  <pic:spPr>
                    <a:xfrm>
                      <a:off x="0" y="0"/>
                      <a:ext cx="5394960" cy="3034665"/>
                    </a:xfrm>
                    <a:prstGeom prst="rect"/>
                  </pic:spPr>
                </pic:pic>
              </a:graphicData>
            </a:graphic>
          </wp:inline>
        </w:drawing>
      </w:r>
    </w:p>
    <w:p>
      <w:pPr>
        <w:spacing w:after="200"/>
        <w:ind w:firstLine="0"/>
        <w:jc w:val="center"/>
      </w:pPr>
      <w:r>
        <w:rPr>
          <w:rFonts w:ascii="Times New Roman" w:hAnsi="Times New Roman" w:eastAsia="Times New Roman"/>
          <w:b w:val="0"/>
          <w:i/>
          <w:sz w:val="22"/>
        </w:rPr>
        <w:t>Figure 3. SARSA learning curve (raw return and 50-episode moving average).</w:t>
      </w:r>
    </w:p>
    <w:p>
      <w:pPr>
        <w:ind w:firstLine="0"/>
        <w:jc w:val="center"/>
      </w:pPr>
      <w:r>
        <w:drawing>
          <wp:inline xmlns:a="http://schemas.openxmlformats.org/drawingml/2006/main" xmlns:pic="http://schemas.openxmlformats.org/drawingml/2006/picture">
            <wp:extent cx="5394960" cy="3034665"/>
            <wp:docPr id="4" name="Picture 4"/>
            <wp:cNvGraphicFramePr>
              <a:graphicFrameLocks noChangeAspect="1"/>
            </wp:cNvGraphicFramePr>
            <a:graphic>
              <a:graphicData uri="http://schemas.openxmlformats.org/drawingml/2006/picture">
                <pic:pic>
                  <pic:nvPicPr>
                    <pic:cNvPr id="0" name="learning_curve_Q_learning.png"/>
                    <pic:cNvPicPr/>
                  </pic:nvPicPr>
                  <pic:blipFill>
                    <a:blip r:embed="rId13"/>
                    <a:stretch>
                      <a:fillRect/>
                    </a:stretch>
                  </pic:blipFill>
                  <pic:spPr>
                    <a:xfrm>
                      <a:off x="0" y="0"/>
                      <a:ext cx="5394960" cy="3034665"/>
                    </a:xfrm>
                    <a:prstGeom prst="rect"/>
                  </pic:spPr>
                </pic:pic>
              </a:graphicData>
            </a:graphic>
          </wp:inline>
        </w:drawing>
      </w:r>
    </w:p>
    <w:p>
      <w:pPr>
        <w:spacing w:after="200"/>
        <w:ind w:firstLine="0"/>
        <w:jc w:val="center"/>
      </w:pPr>
      <w:r>
        <w:rPr>
          <w:rFonts w:ascii="Times New Roman" w:hAnsi="Times New Roman" w:eastAsia="Times New Roman"/>
          <w:b w:val="0"/>
          <w:i/>
          <w:sz w:val="22"/>
        </w:rPr>
        <w:t>Figure 4. Q-learning learning curve.</w:t>
      </w:r>
    </w:p>
    <w:p>
      <w:pPr>
        <w:ind w:firstLine="0"/>
        <w:jc w:val="center"/>
      </w:pPr>
      <w:r>
        <w:drawing>
          <wp:inline xmlns:a="http://schemas.openxmlformats.org/drawingml/2006/main" xmlns:pic="http://schemas.openxmlformats.org/drawingml/2006/picture">
            <wp:extent cx="5394960" cy="3034665"/>
            <wp:docPr id="5" name="Picture 5"/>
            <wp:cNvGraphicFramePr>
              <a:graphicFrameLocks noChangeAspect="1"/>
            </wp:cNvGraphicFramePr>
            <a:graphic>
              <a:graphicData uri="http://schemas.openxmlformats.org/drawingml/2006/picture">
                <pic:pic>
                  <pic:nvPicPr>
                    <pic:cNvPr id="0" name="learning_curve_Expected_SARSA.png"/>
                    <pic:cNvPicPr/>
                  </pic:nvPicPr>
                  <pic:blipFill>
                    <a:blip r:embed="rId14"/>
                    <a:stretch>
                      <a:fillRect/>
                    </a:stretch>
                  </pic:blipFill>
                  <pic:spPr>
                    <a:xfrm>
                      <a:off x="0" y="0"/>
                      <a:ext cx="5394960" cy="3034665"/>
                    </a:xfrm>
                    <a:prstGeom prst="rect"/>
                  </pic:spPr>
                </pic:pic>
              </a:graphicData>
            </a:graphic>
          </wp:inline>
        </w:drawing>
      </w:r>
    </w:p>
    <w:p>
      <w:pPr>
        <w:spacing w:after="200"/>
        <w:ind w:firstLine="0"/>
        <w:jc w:val="center"/>
      </w:pPr>
      <w:r>
        <w:rPr>
          <w:rFonts w:ascii="Times New Roman" w:hAnsi="Times New Roman" w:eastAsia="Times New Roman"/>
          <w:b w:val="0"/>
          <w:i/>
          <w:sz w:val="22"/>
        </w:rPr>
        <w:t>Figure 5. Expected SARSA learning curve.</w:t>
      </w:r>
    </w:p>
    <w:p>
      <w:pPr>
        <w:ind w:firstLine="0"/>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learning_curve_Dyna_Q.png"/>
                    <pic:cNvPicPr/>
                  </pic:nvPicPr>
                  <pic:blipFill>
                    <a:blip r:embed="rId15"/>
                    <a:stretch>
                      <a:fillRect/>
                    </a:stretch>
                  </pic:blipFill>
                  <pic:spPr>
                    <a:xfrm>
                      <a:off x="0" y="0"/>
                      <a:ext cx="5394960" cy="3034665"/>
                    </a:xfrm>
                    <a:prstGeom prst="rect"/>
                  </pic:spPr>
                </pic:pic>
              </a:graphicData>
            </a:graphic>
          </wp:inline>
        </w:drawing>
      </w:r>
    </w:p>
    <w:p>
      <w:pPr>
        <w:spacing w:after="200"/>
        <w:ind w:firstLine="0"/>
        <w:jc w:val="center"/>
      </w:pPr>
      <w:r>
        <w:rPr>
          <w:rFonts w:ascii="Times New Roman" w:hAnsi="Times New Roman" w:eastAsia="Times New Roman"/>
          <w:b w:val="0"/>
          <w:i/>
          <w:sz w:val="22"/>
        </w:rPr>
        <w:t>Figure 6. Dyna-Q learning curve.</w:t>
      </w:r>
    </w:p>
    <w:p>
      <w:pPr>
        <w:ind w:firstLine="0"/>
        <w:jc w:val="center"/>
      </w:pPr>
      <w:r>
        <w:drawing>
          <wp:inline xmlns:a="http://schemas.openxmlformats.org/drawingml/2006/main" xmlns:pic="http://schemas.openxmlformats.org/drawingml/2006/picture">
            <wp:extent cx="5394960" cy="2997200"/>
            <wp:docPr id="7" name="Picture 7"/>
            <wp:cNvGraphicFramePr>
              <a:graphicFrameLocks noChangeAspect="1"/>
            </wp:cNvGraphicFramePr>
            <a:graphic>
              <a:graphicData uri="http://schemas.openxmlformats.org/drawingml/2006/picture">
                <pic:pic>
                  <pic:nvPicPr>
                    <pic:cNvPr id="0" name="reward_vs_episode_overlay.png"/>
                    <pic:cNvPicPr/>
                  </pic:nvPicPr>
                  <pic:blipFill>
                    <a:blip r:embed="rId16"/>
                    <a:stretch>
                      <a:fillRect/>
                    </a:stretch>
                  </pic:blipFill>
                  <pic:spPr>
                    <a:xfrm>
                      <a:off x="0" y="0"/>
                      <a:ext cx="5394960" cy="2997200"/>
                    </a:xfrm>
                    <a:prstGeom prst="rect"/>
                  </pic:spPr>
                </pic:pic>
              </a:graphicData>
            </a:graphic>
          </wp:inline>
        </w:drawing>
      </w:r>
    </w:p>
    <w:p>
      <w:pPr>
        <w:spacing w:after="200"/>
        <w:ind w:firstLine="0"/>
        <w:jc w:val="center"/>
      </w:pPr>
      <w:r>
        <w:rPr>
          <w:rFonts w:ascii="Times New Roman" w:hAnsi="Times New Roman" w:eastAsia="Times New Roman"/>
          <w:b w:val="0"/>
          <w:i/>
          <w:sz w:val="22"/>
        </w:rPr>
        <w:t>Figure 7. Overlay of smoothed episode returns for all four approaches.</w:t>
      </w:r>
    </w:p>
    <w:p>
      <w:pPr>
        <w:ind w:firstLine="0"/>
        <w:jc w:val="center"/>
      </w:pPr>
      <w:r>
        <w:drawing>
          <wp:inline xmlns:a="http://schemas.openxmlformats.org/drawingml/2006/main" xmlns:pic="http://schemas.openxmlformats.org/drawingml/2006/picture">
            <wp:extent cx="5394960" cy="2997200"/>
            <wp:docPr id="8" name="Picture 8"/>
            <wp:cNvGraphicFramePr>
              <a:graphicFrameLocks noChangeAspect="1"/>
            </wp:cNvGraphicFramePr>
            <a:graphic>
              <a:graphicData uri="http://schemas.openxmlformats.org/drawingml/2006/picture">
                <pic:pic>
                  <pic:nvPicPr>
                    <pic:cNvPr id="0" name="cumulative_reward.png"/>
                    <pic:cNvPicPr/>
                  </pic:nvPicPr>
                  <pic:blipFill>
                    <a:blip r:embed="rId17"/>
                    <a:stretch>
                      <a:fillRect/>
                    </a:stretch>
                  </pic:blipFill>
                  <pic:spPr>
                    <a:xfrm>
                      <a:off x="0" y="0"/>
                      <a:ext cx="5394960" cy="2997200"/>
                    </a:xfrm>
                    <a:prstGeom prst="rect"/>
                  </pic:spPr>
                </pic:pic>
              </a:graphicData>
            </a:graphic>
          </wp:inline>
        </w:drawing>
      </w:r>
    </w:p>
    <w:p>
      <w:pPr>
        <w:spacing w:after="200"/>
        <w:ind w:firstLine="0"/>
        <w:jc w:val="center"/>
      </w:pPr>
      <w:r>
        <w:rPr>
          <w:rFonts w:ascii="Times New Roman" w:hAnsi="Times New Roman" w:eastAsia="Times New Roman"/>
          <w:b w:val="0"/>
          <w:i/>
          <w:sz w:val="22"/>
        </w:rPr>
        <w:t>Figure 8. Cumulative training return versus episode.</w:t>
      </w:r>
    </w:p>
    <w:p>
      <w:pPr>
        <w:spacing w:line="360" w:lineRule="auto" w:after="160"/>
        <w:ind w:firstLine="432"/>
        <w:jc w:val="both"/>
      </w:pPr>
      <w:r>
        <w:rPr>
          <w:rFonts w:ascii="Times New Roman" w:hAnsi="Times New Roman" w:eastAsia="Times New Roman"/>
          <w:b w:val="0"/>
          <w:i w:val="0"/>
          <w:sz w:val="24"/>
        </w:rPr>
        <w:t>Table 1 reports the quantitative comparison. Dyna-Q attains the best last-100 mean, the best greedy evaluation return, the best cumulative training return, the highest evaluation success rate, and the lowest late-training standard deviation. Expected SARSA is second on late mean return and best on exploration efficiency. Q-learning triggers the stability rule earliest (248 episodes) but with a weaker plateau. SARSA is slower to settle (740 episodes) and sits between Q-learning and Expected SARSA on late return.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20"/>
              </w:rPr>
              <w:t>Metric</w:t>
            </w:r>
          </w:p>
        </w:tc>
        <w:tc>
          <w:tcPr>
            <w:tcW w:type="dxa" w:w="1872"/>
          </w:tcPr>
          <w:p>
            <w:r/>
            <w:r>
              <w:rPr>
                <w:rFonts w:ascii="Times New Roman" w:hAnsi="Times New Roman" w:eastAsia="Times New Roman"/>
                <w:b/>
                <w:i w:val="0"/>
                <w:sz w:val="20"/>
              </w:rPr>
              <w:t>SARSA</w:t>
            </w:r>
          </w:p>
        </w:tc>
        <w:tc>
          <w:tcPr>
            <w:tcW w:type="dxa" w:w="1872"/>
          </w:tcPr>
          <w:p>
            <w:r/>
            <w:r>
              <w:rPr>
                <w:rFonts w:ascii="Times New Roman" w:hAnsi="Times New Roman" w:eastAsia="Times New Roman"/>
                <w:b/>
                <w:i w:val="0"/>
                <w:sz w:val="20"/>
              </w:rPr>
              <w:t>Q-learning</w:t>
            </w:r>
          </w:p>
        </w:tc>
        <w:tc>
          <w:tcPr>
            <w:tcW w:type="dxa" w:w="1872"/>
          </w:tcPr>
          <w:p>
            <w:r/>
            <w:r>
              <w:rPr>
                <w:rFonts w:ascii="Times New Roman" w:hAnsi="Times New Roman" w:eastAsia="Times New Roman"/>
                <w:b/>
                <w:i w:val="0"/>
                <w:sz w:val="20"/>
              </w:rPr>
              <w:t>Expected SARSA</w:t>
            </w:r>
          </w:p>
        </w:tc>
        <w:tc>
          <w:tcPr>
            <w:tcW w:type="dxa" w:w="1872"/>
          </w:tcPr>
          <w:p>
            <w:r/>
            <w:r>
              <w:rPr>
                <w:rFonts w:ascii="Times New Roman" w:hAnsi="Times New Roman" w:eastAsia="Times New Roman"/>
                <w:b/>
                <w:i w:val="0"/>
                <w:sz w:val="20"/>
              </w:rPr>
              <w:t>Dyna-Q</w:t>
            </w:r>
          </w:p>
        </w:tc>
      </w:tr>
      <w:tr>
        <w:tc>
          <w:tcPr>
            <w:tcW w:type="dxa" w:w="1872"/>
          </w:tcPr>
          <w:p>
            <w:r/>
            <w:r>
              <w:rPr>
                <w:rFonts w:ascii="Times New Roman" w:hAnsi="Times New Roman" w:eastAsia="Times New Roman"/>
                <w:b w:val="0"/>
                <w:i w:val="0"/>
                <w:sz w:val="20"/>
              </w:rPr>
              <w:t>Avg reward last 100</w:t>
            </w:r>
          </w:p>
        </w:tc>
        <w:tc>
          <w:tcPr>
            <w:tcW w:type="dxa" w:w="1872"/>
          </w:tcPr>
          <w:p>
            <w:r/>
            <w:r>
              <w:rPr>
                <w:rFonts w:ascii="Times New Roman" w:hAnsi="Times New Roman" w:eastAsia="Times New Roman"/>
                <w:b w:val="0"/>
                <w:i w:val="0"/>
                <w:sz w:val="20"/>
              </w:rPr>
              <w:t>-838.81</w:t>
            </w:r>
          </w:p>
        </w:tc>
        <w:tc>
          <w:tcPr>
            <w:tcW w:type="dxa" w:w="1872"/>
          </w:tcPr>
          <w:p>
            <w:r/>
            <w:r>
              <w:rPr>
                <w:rFonts w:ascii="Times New Roman" w:hAnsi="Times New Roman" w:eastAsia="Times New Roman"/>
                <w:b w:val="0"/>
                <w:i w:val="0"/>
                <w:sz w:val="20"/>
              </w:rPr>
              <w:t>-858.89</w:t>
            </w:r>
          </w:p>
        </w:tc>
        <w:tc>
          <w:tcPr>
            <w:tcW w:type="dxa" w:w="1872"/>
          </w:tcPr>
          <w:p>
            <w:r/>
            <w:r>
              <w:rPr>
                <w:rFonts w:ascii="Times New Roman" w:hAnsi="Times New Roman" w:eastAsia="Times New Roman"/>
                <w:b w:val="0"/>
                <w:i w:val="0"/>
                <w:sz w:val="20"/>
              </w:rPr>
              <w:t>-827.10</w:t>
            </w:r>
          </w:p>
        </w:tc>
        <w:tc>
          <w:tcPr>
            <w:tcW w:type="dxa" w:w="1872"/>
          </w:tcPr>
          <w:p>
            <w:r/>
            <w:r>
              <w:rPr>
                <w:rFonts w:ascii="Times New Roman" w:hAnsi="Times New Roman" w:eastAsia="Times New Roman"/>
                <w:b w:val="0"/>
                <w:i w:val="0"/>
                <w:sz w:val="20"/>
              </w:rPr>
              <w:t>-811.22</w:t>
            </w:r>
          </w:p>
        </w:tc>
      </w:tr>
      <w:tr>
        <w:tc>
          <w:tcPr>
            <w:tcW w:type="dxa" w:w="1872"/>
          </w:tcPr>
          <w:p>
            <w:r/>
            <w:r>
              <w:rPr>
                <w:rFonts w:ascii="Times New Roman" w:hAnsi="Times New Roman" w:eastAsia="Times New Roman"/>
                <w:b w:val="0"/>
                <w:i w:val="0"/>
                <w:sz w:val="20"/>
              </w:rPr>
              <w:t>Episodes to stability</w:t>
            </w:r>
          </w:p>
        </w:tc>
        <w:tc>
          <w:tcPr>
            <w:tcW w:type="dxa" w:w="1872"/>
          </w:tcPr>
          <w:p>
            <w:r/>
            <w:r>
              <w:rPr>
                <w:rFonts w:ascii="Times New Roman" w:hAnsi="Times New Roman" w:eastAsia="Times New Roman"/>
                <w:b w:val="0"/>
                <w:i w:val="0"/>
                <w:sz w:val="20"/>
              </w:rPr>
              <w:t>740</w:t>
            </w:r>
          </w:p>
        </w:tc>
        <w:tc>
          <w:tcPr>
            <w:tcW w:type="dxa" w:w="1872"/>
          </w:tcPr>
          <w:p>
            <w:r/>
            <w:r>
              <w:rPr>
                <w:rFonts w:ascii="Times New Roman" w:hAnsi="Times New Roman" w:eastAsia="Times New Roman"/>
                <w:b w:val="0"/>
                <w:i w:val="0"/>
                <w:sz w:val="20"/>
              </w:rPr>
              <w:t>248</w:t>
            </w:r>
          </w:p>
        </w:tc>
        <w:tc>
          <w:tcPr>
            <w:tcW w:type="dxa" w:w="1872"/>
          </w:tcPr>
          <w:p>
            <w:r/>
            <w:r>
              <w:rPr>
                <w:rFonts w:ascii="Times New Roman" w:hAnsi="Times New Roman" w:eastAsia="Times New Roman"/>
                <w:b w:val="0"/>
                <w:i w:val="0"/>
                <w:sz w:val="20"/>
              </w:rPr>
              <w:t>545</w:t>
            </w:r>
          </w:p>
        </w:tc>
        <w:tc>
          <w:tcPr>
            <w:tcW w:type="dxa" w:w="1872"/>
          </w:tcPr>
          <w:p>
            <w:r/>
            <w:r>
              <w:rPr>
                <w:rFonts w:ascii="Times New Roman" w:hAnsi="Times New Roman" w:eastAsia="Times New Roman"/>
                <w:b w:val="0"/>
                <w:i w:val="0"/>
                <w:sz w:val="20"/>
              </w:rPr>
              <w:t>678</w:t>
            </w:r>
          </w:p>
        </w:tc>
      </w:tr>
      <w:tr>
        <w:tc>
          <w:tcPr>
            <w:tcW w:type="dxa" w:w="1872"/>
          </w:tcPr>
          <w:p>
            <w:r/>
            <w:r>
              <w:rPr>
                <w:rFonts w:ascii="Times New Roman" w:hAnsi="Times New Roman" w:eastAsia="Times New Roman"/>
                <w:b w:val="0"/>
                <w:i w:val="0"/>
                <w:sz w:val="20"/>
              </w:rPr>
              <w:t>Cumulative reward</w:t>
            </w:r>
          </w:p>
        </w:tc>
        <w:tc>
          <w:tcPr>
            <w:tcW w:type="dxa" w:w="1872"/>
          </w:tcPr>
          <w:p>
            <w:r/>
            <w:r>
              <w:rPr>
                <w:rFonts w:ascii="Times New Roman" w:hAnsi="Times New Roman" w:eastAsia="Times New Roman"/>
                <w:b w:val="0"/>
                <w:i w:val="0"/>
                <w:sz w:val="20"/>
              </w:rPr>
              <w:t>-1246215.0</w:t>
            </w:r>
          </w:p>
        </w:tc>
        <w:tc>
          <w:tcPr>
            <w:tcW w:type="dxa" w:w="1872"/>
          </w:tcPr>
          <w:p>
            <w:r/>
            <w:r>
              <w:rPr>
                <w:rFonts w:ascii="Times New Roman" w:hAnsi="Times New Roman" w:eastAsia="Times New Roman"/>
                <w:b w:val="0"/>
                <w:i w:val="0"/>
                <w:sz w:val="20"/>
              </w:rPr>
              <w:t>-1248973.6</w:t>
            </w:r>
          </w:p>
        </w:tc>
        <w:tc>
          <w:tcPr>
            <w:tcW w:type="dxa" w:w="1872"/>
          </w:tcPr>
          <w:p>
            <w:r/>
            <w:r>
              <w:rPr>
                <w:rFonts w:ascii="Times New Roman" w:hAnsi="Times New Roman" w:eastAsia="Times New Roman"/>
                <w:b w:val="0"/>
                <w:i w:val="0"/>
                <w:sz w:val="20"/>
              </w:rPr>
              <w:t>-1242811.4</w:t>
            </w:r>
          </w:p>
        </w:tc>
        <w:tc>
          <w:tcPr>
            <w:tcW w:type="dxa" w:w="1872"/>
          </w:tcPr>
          <w:p>
            <w:r/>
            <w:r>
              <w:rPr>
                <w:rFonts w:ascii="Times New Roman" w:hAnsi="Times New Roman" w:eastAsia="Times New Roman"/>
                <w:b w:val="0"/>
                <w:i w:val="0"/>
                <w:sz w:val="20"/>
              </w:rPr>
              <w:t>-1217580.1</w:t>
            </w:r>
          </w:p>
        </w:tc>
      </w:tr>
      <w:tr>
        <w:tc>
          <w:tcPr>
            <w:tcW w:type="dxa" w:w="1872"/>
          </w:tcPr>
          <w:p>
            <w:r/>
            <w:r>
              <w:rPr>
                <w:rFonts w:ascii="Times New Roman" w:hAnsi="Times New Roman" w:eastAsia="Times New Roman"/>
                <w:b w:val="0"/>
                <w:i w:val="0"/>
                <w:sz w:val="20"/>
              </w:rPr>
              <w:t>Time (s)</w:t>
            </w:r>
          </w:p>
        </w:tc>
        <w:tc>
          <w:tcPr>
            <w:tcW w:type="dxa" w:w="1872"/>
          </w:tcPr>
          <w:p>
            <w:r/>
            <w:r>
              <w:rPr>
                <w:rFonts w:ascii="Times New Roman" w:hAnsi="Times New Roman" w:eastAsia="Times New Roman"/>
                <w:b w:val="0"/>
                <w:i w:val="0"/>
                <w:sz w:val="20"/>
              </w:rPr>
              <w:t>2.08</w:t>
            </w:r>
          </w:p>
        </w:tc>
        <w:tc>
          <w:tcPr>
            <w:tcW w:type="dxa" w:w="1872"/>
          </w:tcPr>
          <w:p>
            <w:r/>
            <w:r>
              <w:rPr>
                <w:rFonts w:ascii="Times New Roman" w:hAnsi="Times New Roman" w:eastAsia="Times New Roman"/>
                <w:b w:val="0"/>
                <w:i w:val="0"/>
                <w:sz w:val="20"/>
              </w:rPr>
              <w:t>2.26</w:t>
            </w:r>
          </w:p>
        </w:tc>
        <w:tc>
          <w:tcPr>
            <w:tcW w:type="dxa" w:w="1872"/>
          </w:tcPr>
          <w:p>
            <w:r/>
            <w:r>
              <w:rPr>
                <w:rFonts w:ascii="Times New Roman" w:hAnsi="Times New Roman" w:eastAsia="Times New Roman"/>
                <w:b w:val="0"/>
                <w:i w:val="0"/>
                <w:sz w:val="20"/>
              </w:rPr>
              <w:t>5.53</w:t>
            </w:r>
          </w:p>
        </w:tc>
        <w:tc>
          <w:tcPr>
            <w:tcW w:type="dxa" w:w="1872"/>
          </w:tcPr>
          <w:p>
            <w:r/>
            <w:r>
              <w:rPr>
                <w:rFonts w:ascii="Times New Roman" w:hAnsi="Times New Roman" w:eastAsia="Times New Roman"/>
                <w:b w:val="0"/>
                <w:i w:val="0"/>
                <w:sz w:val="20"/>
              </w:rPr>
              <w:t>13.88</w:t>
            </w:r>
          </w:p>
        </w:tc>
      </w:tr>
      <w:tr>
        <w:tc>
          <w:tcPr>
            <w:tcW w:type="dxa" w:w="1872"/>
          </w:tcPr>
          <w:p>
            <w:r/>
            <w:r>
              <w:rPr>
                <w:rFonts w:ascii="Times New Roman" w:hAnsi="Times New Roman" w:eastAsia="Times New Roman"/>
                <w:b w:val="0"/>
                <w:i w:val="0"/>
                <w:sz w:val="20"/>
              </w:rPr>
              <w:t>Std last 100</w:t>
            </w:r>
          </w:p>
        </w:tc>
        <w:tc>
          <w:tcPr>
            <w:tcW w:type="dxa" w:w="1872"/>
          </w:tcPr>
          <w:p>
            <w:r/>
            <w:r>
              <w:rPr>
                <w:rFonts w:ascii="Times New Roman" w:hAnsi="Times New Roman" w:eastAsia="Times New Roman"/>
                <w:b w:val="0"/>
                <w:i w:val="0"/>
                <w:sz w:val="20"/>
              </w:rPr>
              <w:t>140.73</w:t>
            </w:r>
          </w:p>
        </w:tc>
        <w:tc>
          <w:tcPr>
            <w:tcW w:type="dxa" w:w="1872"/>
          </w:tcPr>
          <w:p>
            <w:r/>
            <w:r>
              <w:rPr>
                <w:rFonts w:ascii="Times New Roman" w:hAnsi="Times New Roman" w:eastAsia="Times New Roman"/>
                <w:b w:val="0"/>
                <w:i w:val="0"/>
                <w:sz w:val="20"/>
              </w:rPr>
              <w:t>138.58</w:t>
            </w:r>
          </w:p>
        </w:tc>
        <w:tc>
          <w:tcPr>
            <w:tcW w:type="dxa" w:w="1872"/>
          </w:tcPr>
          <w:p>
            <w:r/>
            <w:r>
              <w:rPr>
                <w:rFonts w:ascii="Times New Roman" w:hAnsi="Times New Roman" w:eastAsia="Times New Roman"/>
                <w:b w:val="0"/>
                <w:i w:val="0"/>
                <w:sz w:val="20"/>
              </w:rPr>
              <w:t>138.45</w:t>
            </w:r>
          </w:p>
        </w:tc>
        <w:tc>
          <w:tcPr>
            <w:tcW w:type="dxa" w:w="1872"/>
          </w:tcPr>
          <w:p>
            <w:r/>
            <w:r>
              <w:rPr>
                <w:rFonts w:ascii="Times New Roman" w:hAnsi="Times New Roman" w:eastAsia="Times New Roman"/>
                <w:b w:val="0"/>
                <w:i w:val="0"/>
                <w:sz w:val="20"/>
              </w:rPr>
              <w:t>132.26</w:t>
            </w:r>
          </w:p>
        </w:tc>
      </w:tr>
      <w:tr>
        <w:tc>
          <w:tcPr>
            <w:tcW w:type="dxa" w:w="1872"/>
          </w:tcPr>
          <w:p>
            <w:r/>
            <w:r>
              <w:rPr>
                <w:rFonts w:ascii="Times New Roman" w:hAnsi="Times New Roman" w:eastAsia="Times New Roman"/>
                <w:b w:val="0"/>
                <w:i w:val="0"/>
                <w:sz w:val="20"/>
              </w:rPr>
              <w:t>Eval policy quality</w:t>
            </w:r>
          </w:p>
        </w:tc>
        <w:tc>
          <w:tcPr>
            <w:tcW w:type="dxa" w:w="1872"/>
          </w:tcPr>
          <w:p>
            <w:r/>
            <w:r>
              <w:rPr>
                <w:rFonts w:ascii="Times New Roman" w:hAnsi="Times New Roman" w:eastAsia="Times New Roman"/>
                <w:b w:val="0"/>
                <w:i w:val="0"/>
                <w:sz w:val="20"/>
              </w:rPr>
              <w:t>-870.92</w:t>
            </w:r>
          </w:p>
        </w:tc>
        <w:tc>
          <w:tcPr>
            <w:tcW w:type="dxa" w:w="1872"/>
          </w:tcPr>
          <w:p>
            <w:r/>
            <w:r>
              <w:rPr>
                <w:rFonts w:ascii="Times New Roman" w:hAnsi="Times New Roman" w:eastAsia="Times New Roman"/>
                <w:b w:val="0"/>
                <w:i w:val="0"/>
                <w:sz w:val="20"/>
              </w:rPr>
              <w:t>-864.96</w:t>
            </w:r>
          </w:p>
        </w:tc>
        <w:tc>
          <w:tcPr>
            <w:tcW w:type="dxa" w:w="1872"/>
          </w:tcPr>
          <w:p>
            <w:r/>
            <w:r>
              <w:rPr>
                <w:rFonts w:ascii="Times New Roman" w:hAnsi="Times New Roman" w:eastAsia="Times New Roman"/>
                <w:b w:val="0"/>
                <w:i w:val="0"/>
                <w:sz w:val="20"/>
              </w:rPr>
              <w:t>-856.60</w:t>
            </w:r>
          </w:p>
        </w:tc>
        <w:tc>
          <w:tcPr>
            <w:tcW w:type="dxa" w:w="1872"/>
          </w:tcPr>
          <w:p>
            <w:r/>
            <w:r>
              <w:rPr>
                <w:rFonts w:ascii="Times New Roman" w:hAnsi="Times New Roman" w:eastAsia="Times New Roman"/>
                <w:b w:val="0"/>
                <w:i w:val="0"/>
                <w:sz w:val="20"/>
              </w:rPr>
              <w:t>-820.29</w:t>
            </w:r>
          </w:p>
        </w:tc>
      </w:tr>
      <w:tr>
        <w:tc>
          <w:tcPr>
            <w:tcW w:type="dxa" w:w="1872"/>
          </w:tcPr>
          <w:p>
            <w:r/>
            <w:r>
              <w:rPr>
                <w:rFonts w:ascii="Times New Roman" w:hAnsi="Times New Roman" w:eastAsia="Times New Roman"/>
                <w:b w:val="0"/>
                <w:i w:val="0"/>
                <w:sz w:val="20"/>
              </w:rPr>
              <w:t>Eval success rate</w:t>
            </w:r>
          </w:p>
        </w:tc>
        <w:tc>
          <w:tcPr>
            <w:tcW w:type="dxa" w:w="1872"/>
          </w:tcPr>
          <w:p>
            <w:r/>
            <w:r>
              <w:rPr>
                <w:rFonts w:ascii="Times New Roman" w:hAnsi="Times New Roman" w:eastAsia="Times New Roman"/>
                <w:b w:val="0"/>
                <w:i w:val="0"/>
                <w:sz w:val="20"/>
              </w:rPr>
              <w:t>0.497</w:t>
            </w:r>
          </w:p>
        </w:tc>
        <w:tc>
          <w:tcPr>
            <w:tcW w:type="dxa" w:w="1872"/>
          </w:tcPr>
          <w:p>
            <w:r/>
            <w:r>
              <w:rPr>
                <w:rFonts w:ascii="Times New Roman" w:hAnsi="Times New Roman" w:eastAsia="Times New Roman"/>
                <w:b w:val="0"/>
                <w:i w:val="0"/>
                <w:sz w:val="20"/>
              </w:rPr>
              <w:t>0.502</w:t>
            </w:r>
          </w:p>
        </w:tc>
        <w:tc>
          <w:tcPr>
            <w:tcW w:type="dxa" w:w="1872"/>
          </w:tcPr>
          <w:p>
            <w:r/>
            <w:r>
              <w:rPr>
                <w:rFonts w:ascii="Times New Roman" w:hAnsi="Times New Roman" w:eastAsia="Times New Roman"/>
                <w:b w:val="0"/>
                <w:i w:val="0"/>
                <w:sz w:val="20"/>
              </w:rPr>
              <w:t>0.501</w:t>
            </w:r>
          </w:p>
        </w:tc>
        <w:tc>
          <w:tcPr>
            <w:tcW w:type="dxa" w:w="1872"/>
          </w:tcPr>
          <w:p>
            <w:r/>
            <w:r>
              <w:rPr>
                <w:rFonts w:ascii="Times New Roman" w:hAnsi="Times New Roman" w:eastAsia="Times New Roman"/>
                <w:b w:val="0"/>
                <w:i w:val="0"/>
                <w:sz w:val="20"/>
              </w:rPr>
              <w:t>0.529</w:t>
            </w:r>
          </w:p>
        </w:tc>
      </w:tr>
      <w:tr>
        <w:tc>
          <w:tcPr>
            <w:tcW w:type="dxa" w:w="1872"/>
          </w:tcPr>
          <w:p>
            <w:r/>
            <w:r>
              <w:rPr>
                <w:rFonts w:ascii="Times New Roman" w:hAnsi="Times New Roman" w:eastAsia="Times New Roman"/>
                <w:b w:val="0"/>
                <w:i w:val="0"/>
                <w:sz w:val="20"/>
              </w:rPr>
              <w:t>Exploration efficiency</w:t>
            </w:r>
          </w:p>
        </w:tc>
        <w:tc>
          <w:tcPr>
            <w:tcW w:type="dxa" w:w="1872"/>
          </w:tcPr>
          <w:p>
            <w:r/>
            <w:r>
              <w:rPr>
                <w:rFonts w:ascii="Times New Roman" w:hAnsi="Times New Roman" w:eastAsia="Times New Roman"/>
                <w:b w:val="0"/>
                <w:i w:val="0"/>
                <w:sz w:val="20"/>
              </w:rPr>
              <w:t>218.90</w:t>
            </w:r>
          </w:p>
        </w:tc>
        <w:tc>
          <w:tcPr>
            <w:tcW w:type="dxa" w:w="1872"/>
          </w:tcPr>
          <w:p>
            <w:r/>
            <w:r>
              <w:rPr>
                <w:rFonts w:ascii="Times New Roman" w:hAnsi="Times New Roman" w:eastAsia="Times New Roman"/>
                <w:b w:val="0"/>
                <w:i w:val="0"/>
                <w:sz w:val="20"/>
              </w:rPr>
              <w:t>140.33</w:t>
            </w:r>
          </w:p>
        </w:tc>
        <w:tc>
          <w:tcPr>
            <w:tcW w:type="dxa" w:w="1872"/>
          </w:tcPr>
          <w:p>
            <w:r/>
            <w:r>
              <w:rPr>
                <w:rFonts w:ascii="Times New Roman" w:hAnsi="Times New Roman" w:eastAsia="Times New Roman"/>
                <w:b w:val="0"/>
                <w:i w:val="0"/>
                <w:sz w:val="20"/>
              </w:rPr>
              <w:t>255.66</w:t>
            </w:r>
          </w:p>
        </w:tc>
        <w:tc>
          <w:tcPr>
            <w:tcW w:type="dxa" w:w="1872"/>
          </w:tcPr>
          <w:p>
            <w:r/>
            <w:r>
              <w:rPr>
                <w:rFonts w:ascii="Times New Roman" w:hAnsi="Times New Roman" w:eastAsia="Times New Roman"/>
                <w:b w:val="0"/>
                <w:i w:val="0"/>
                <w:sz w:val="20"/>
              </w:rPr>
              <w:t>245.67</w:t>
            </w:r>
          </w:p>
        </w:tc>
      </w:tr>
    </w:tbl>
    <w:p/>
    <w:p>
      <w:pPr>
        <w:spacing w:after="200"/>
        <w:ind w:firstLine="0"/>
        <w:jc w:val="center"/>
      </w:pPr>
      <w:r>
        <w:rPr>
          <w:rFonts w:ascii="Times New Roman" w:hAnsi="Times New Roman" w:eastAsia="Times New Roman"/>
          <w:b w:val="0"/>
          <w:i/>
          <w:sz w:val="22"/>
        </w:rPr>
        <w:t>Table 1. Performance comparison (computed from training artefacts). Returns are negative because the reward is a cost.</w:t>
      </w:r>
    </w:p>
    <w:p>
      <w:pPr>
        <w:ind w:firstLine="0"/>
        <w:jc w:val="center"/>
      </w:pPr>
      <w:r>
        <w:drawing>
          <wp:inline xmlns:a="http://schemas.openxmlformats.org/drawingml/2006/main" xmlns:pic="http://schemas.openxmlformats.org/drawingml/2006/picture">
            <wp:extent cx="5394960" cy="3236976"/>
            <wp:docPr id="9" name="Picture 9"/>
            <wp:cNvGraphicFramePr>
              <a:graphicFrameLocks noChangeAspect="1"/>
            </wp:cNvGraphicFramePr>
            <a:graphic>
              <a:graphicData uri="http://schemas.openxmlformats.org/drawingml/2006/picture">
                <pic:pic>
                  <pic:nvPicPr>
                    <pic:cNvPr id="0" name="bar_average_reward.png"/>
                    <pic:cNvPicPr/>
                  </pic:nvPicPr>
                  <pic:blipFill>
                    <a:blip r:embed="rId18"/>
                    <a:stretch>
                      <a:fillRect/>
                    </a:stretch>
                  </pic:blipFill>
                  <pic:spPr>
                    <a:xfrm>
                      <a:off x="0" y="0"/>
                      <a:ext cx="5394960" cy="3236976"/>
                    </a:xfrm>
                    <a:prstGeom prst="rect"/>
                  </pic:spPr>
                </pic:pic>
              </a:graphicData>
            </a:graphic>
          </wp:inline>
        </w:drawing>
      </w:r>
    </w:p>
    <w:p>
      <w:pPr>
        <w:spacing w:after="200"/>
        <w:ind w:firstLine="0"/>
        <w:jc w:val="center"/>
      </w:pPr>
      <w:r>
        <w:rPr>
          <w:rFonts w:ascii="Times New Roman" w:hAnsi="Times New Roman" w:eastAsia="Times New Roman"/>
          <w:b w:val="0"/>
          <w:i/>
          <w:sz w:val="22"/>
        </w:rPr>
        <w:t>Figure 9. Average reward (last 100 episodes).</w:t>
      </w:r>
    </w:p>
    <w:p>
      <w:pPr>
        <w:ind w:firstLine="0"/>
        <w:jc w:val="center"/>
      </w:pPr>
      <w:r>
        <w:drawing>
          <wp:inline xmlns:a="http://schemas.openxmlformats.org/drawingml/2006/main" xmlns:pic="http://schemas.openxmlformats.org/drawingml/2006/picture">
            <wp:extent cx="5394960" cy="3236976"/>
            <wp:docPr id="10" name="Picture 10"/>
            <wp:cNvGraphicFramePr>
              <a:graphicFrameLocks noChangeAspect="1"/>
            </wp:cNvGraphicFramePr>
            <a:graphic>
              <a:graphicData uri="http://schemas.openxmlformats.org/drawingml/2006/picture">
                <pic:pic>
                  <pic:nvPicPr>
                    <pic:cNvPr id="0" name="bar_convergence.png"/>
                    <pic:cNvPicPr/>
                  </pic:nvPicPr>
                  <pic:blipFill>
                    <a:blip r:embed="rId19"/>
                    <a:stretch>
                      <a:fillRect/>
                    </a:stretch>
                  </pic:blipFill>
                  <pic:spPr>
                    <a:xfrm>
                      <a:off x="0" y="0"/>
                      <a:ext cx="5394960" cy="3236976"/>
                    </a:xfrm>
                    <a:prstGeom prst="rect"/>
                  </pic:spPr>
                </pic:pic>
              </a:graphicData>
            </a:graphic>
          </wp:inline>
        </w:drawing>
      </w:r>
    </w:p>
    <w:p>
      <w:pPr>
        <w:spacing w:after="200"/>
        <w:ind w:firstLine="0"/>
        <w:jc w:val="center"/>
      </w:pPr>
      <w:r>
        <w:rPr>
          <w:rFonts w:ascii="Times New Roman" w:hAnsi="Times New Roman" w:eastAsia="Times New Roman"/>
          <w:b w:val="0"/>
          <w:i/>
          <w:sz w:val="22"/>
        </w:rPr>
        <w:t>Figure 10. Episodes to stability.</w:t>
      </w:r>
    </w:p>
    <w:p>
      <w:pPr>
        <w:ind w:firstLine="0"/>
        <w:jc w:val="center"/>
      </w:pPr>
      <w:r>
        <w:drawing>
          <wp:inline xmlns:a="http://schemas.openxmlformats.org/drawingml/2006/main" xmlns:pic="http://schemas.openxmlformats.org/drawingml/2006/picture">
            <wp:extent cx="5394960" cy="3236976"/>
            <wp:docPr id="11" name="Picture 11"/>
            <wp:cNvGraphicFramePr>
              <a:graphicFrameLocks noChangeAspect="1"/>
            </wp:cNvGraphicFramePr>
            <a:graphic>
              <a:graphicData uri="http://schemas.openxmlformats.org/drawingml/2006/picture">
                <pic:pic>
                  <pic:nvPicPr>
                    <pic:cNvPr id="0" name="bar_policy_quality.png"/>
                    <pic:cNvPicPr/>
                  </pic:nvPicPr>
                  <pic:blipFill>
                    <a:blip r:embed="rId20"/>
                    <a:stretch>
                      <a:fillRect/>
                    </a:stretch>
                  </pic:blipFill>
                  <pic:spPr>
                    <a:xfrm>
                      <a:off x="0" y="0"/>
                      <a:ext cx="5394960" cy="3236976"/>
                    </a:xfrm>
                    <a:prstGeom prst="rect"/>
                  </pic:spPr>
                </pic:pic>
              </a:graphicData>
            </a:graphic>
          </wp:inline>
        </w:drawing>
      </w:r>
    </w:p>
    <w:p>
      <w:pPr>
        <w:spacing w:after="200"/>
        <w:ind w:firstLine="0"/>
        <w:jc w:val="center"/>
      </w:pPr>
      <w:r>
        <w:rPr>
          <w:rFonts w:ascii="Times New Roman" w:hAnsi="Times New Roman" w:eastAsia="Times New Roman"/>
          <w:b w:val="0"/>
          <w:i/>
          <w:sz w:val="22"/>
        </w:rPr>
        <w:t>Figure 11. Greedy evaluation return (policy quality).</w:t>
      </w:r>
    </w:p>
    <w:p>
      <w:pPr>
        <w:ind w:firstLine="0"/>
        <w:jc w:val="center"/>
      </w:pPr>
      <w:r>
        <w:drawing>
          <wp:inline xmlns:a="http://schemas.openxmlformats.org/drawingml/2006/main" xmlns:pic="http://schemas.openxmlformats.org/drawingml/2006/picture">
            <wp:extent cx="5394960" cy="3236976"/>
            <wp:docPr id="12" name="Picture 12"/>
            <wp:cNvGraphicFramePr>
              <a:graphicFrameLocks noChangeAspect="1"/>
            </wp:cNvGraphicFramePr>
            <a:graphic>
              <a:graphicData uri="http://schemas.openxmlformats.org/drawingml/2006/picture">
                <pic:pic>
                  <pic:nvPicPr>
                    <pic:cNvPr id="0" name="bar_success_rate.png"/>
                    <pic:cNvPicPr/>
                  </pic:nvPicPr>
                  <pic:blipFill>
                    <a:blip r:embed="rId21"/>
                    <a:stretch>
                      <a:fillRect/>
                    </a:stretch>
                  </pic:blipFill>
                  <pic:spPr>
                    <a:xfrm>
                      <a:off x="0" y="0"/>
                      <a:ext cx="5394960" cy="3236976"/>
                    </a:xfrm>
                    <a:prstGeom prst="rect"/>
                  </pic:spPr>
                </pic:pic>
              </a:graphicData>
            </a:graphic>
          </wp:inline>
        </w:drawing>
      </w:r>
    </w:p>
    <w:p>
      <w:pPr>
        <w:spacing w:after="200"/>
        <w:ind w:firstLine="0"/>
        <w:jc w:val="center"/>
      </w:pPr>
      <w:r>
        <w:rPr>
          <w:rFonts w:ascii="Times New Roman" w:hAnsi="Times New Roman" w:eastAsia="Times New Roman"/>
          <w:b w:val="0"/>
          <w:i/>
          <w:sz w:val="22"/>
        </w:rPr>
        <w:t>Figure 12. Evaluation success rate.</w:t>
      </w:r>
    </w:p>
    <w:p>
      <w:pPr>
        <w:ind w:firstLine="0"/>
        <w:jc w:val="center"/>
      </w:pPr>
      <w:r>
        <w:drawing>
          <wp:inline xmlns:a="http://schemas.openxmlformats.org/drawingml/2006/main" xmlns:pic="http://schemas.openxmlformats.org/drawingml/2006/picture">
            <wp:extent cx="5394960" cy="3236976"/>
            <wp:docPr id="13" name="Picture 13"/>
            <wp:cNvGraphicFramePr>
              <a:graphicFrameLocks noChangeAspect="1"/>
            </wp:cNvGraphicFramePr>
            <a:graphic>
              <a:graphicData uri="http://schemas.openxmlformats.org/drawingml/2006/picture">
                <pic:pic>
                  <pic:nvPicPr>
                    <pic:cNvPr id="0" name="bar_stability.png"/>
                    <pic:cNvPicPr/>
                  </pic:nvPicPr>
                  <pic:blipFill>
                    <a:blip r:embed="rId22"/>
                    <a:stretch>
                      <a:fillRect/>
                    </a:stretch>
                  </pic:blipFill>
                  <pic:spPr>
                    <a:xfrm>
                      <a:off x="0" y="0"/>
                      <a:ext cx="5394960" cy="3236976"/>
                    </a:xfrm>
                    <a:prstGeom prst="rect"/>
                  </pic:spPr>
                </pic:pic>
              </a:graphicData>
            </a:graphic>
          </wp:inline>
        </w:drawing>
      </w:r>
    </w:p>
    <w:p>
      <w:pPr>
        <w:spacing w:after="200"/>
        <w:ind w:firstLine="0"/>
        <w:jc w:val="center"/>
      </w:pPr>
      <w:r>
        <w:rPr>
          <w:rFonts w:ascii="Times New Roman" w:hAnsi="Times New Roman" w:eastAsia="Times New Roman"/>
          <w:b w:val="0"/>
          <w:i/>
          <w:sz w:val="22"/>
        </w:rPr>
        <w:t>Figure 13. Late-training return standard deviation.</w:t>
      </w:r>
    </w:p>
    <w:p>
      <w:pPr>
        <w:ind w:firstLine="0"/>
        <w:jc w:val="center"/>
      </w:pPr>
      <w:r>
        <w:drawing>
          <wp:inline xmlns:a="http://schemas.openxmlformats.org/drawingml/2006/main" xmlns:pic="http://schemas.openxmlformats.org/drawingml/2006/picture">
            <wp:extent cx="5394960" cy="3236976"/>
            <wp:docPr id="14" name="Picture 14"/>
            <wp:cNvGraphicFramePr>
              <a:graphicFrameLocks noChangeAspect="1"/>
            </wp:cNvGraphicFramePr>
            <a:graphic>
              <a:graphicData uri="http://schemas.openxmlformats.org/drawingml/2006/picture">
                <pic:pic>
                  <pic:nvPicPr>
                    <pic:cNvPr id="0" name="bar_time.png"/>
                    <pic:cNvPicPr/>
                  </pic:nvPicPr>
                  <pic:blipFill>
                    <a:blip r:embed="rId23"/>
                    <a:stretch>
                      <a:fillRect/>
                    </a:stretch>
                  </pic:blipFill>
                  <pic:spPr>
                    <a:xfrm>
                      <a:off x="0" y="0"/>
                      <a:ext cx="5394960" cy="3236976"/>
                    </a:xfrm>
                    <a:prstGeom prst="rect"/>
                  </pic:spPr>
                </pic:pic>
              </a:graphicData>
            </a:graphic>
          </wp:inline>
        </w:drawing>
      </w:r>
    </w:p>
    <w:p>
      <w:pPr>
        <w:spacing w:after="200"/>
        <w:ind w:firstLine="0"/>
        <w:jc w:val="center"/>
      </w:pPr>
      <w:r>
        <w:rPr>
          <w:rFonts w:ascii="Times New Roman" w:hAnsi="Times New Roman" w:eastAsia="Times New Roman"/>
          <w:b w:val="0"/>
          <w:i/>
          <w:sz w:val="22"/>
        </w:rPr>
        <w:t>Figure 14. Training wall-clock time.</w:t>
      </w:r>
    </w:p>
    <w:p>
      <w:pPr>
        <w:ind w:firstLine="0"/>
        <w:jc w:val="center"/>
      </w:pPr>
      <w:r>
        <w:drawing>
          <wp:inline xmlns:a="http://schemas.openxmlformats.org/drawingml/2006/main" xmlns:pic="http://schemas.openxmlformats.org/drawingml/2006/picture">
            <wp:extent cx="5394960" cy="3236976"/>
            <wp:docPr id="15" name="Picture 15"/>
            <wp:cNvGraphicFramePr>
              <a:graphicFrameLocks noChangeAspect="1"/>
            </wp:cNvGraphicFramePr>
            <a:graphic>
              <a:graphicData uri="http://schemas.openxmlformats.org/drawingml/2006/picture">
                <pic:pic>
                  <pic:nvPicPr>
                    <pic:cNvPr id="0" name="bar_exploration_efficiency.png"/>
                    <pic:cNvPicPr/>
                  </pic:nvPicPr>
                  <pic:blipFill>
                    <a:blip r:embed="rId24"/>
                    <a:stretch>
                      <a:fillRect/>
                    </a:stretch>
                  </pic:blipFill>
                  <pic:spPr>
                    <a:xfrm>
                      <a:off x="0" y="0"/>
                      <a:ext cx="5394960" cy="3236976"/>
                    </a:xfrm>
                    <a:prstGeom prst="rect"/>
                  </pic:spPr>
                </pic:pic>
              </a:graphicData>
            </a:graphic>
          </wp:inline>
        </w:drawing>
      </w:r>
    </w:p>
    <w:p>
      <w:pPr>
        <w:spacing w:after="200"/>
        <w:ind w:firstLine="0"/>
        <w:jc w:val="center"/>
      </w:pPr>
      <w:r>
        <w:rPr>
          <w:rFonts w:ascii="Times New Roman" w:hAnsi="Times New Roman" w:eastAsia="Times New Roman"/>
          <w:b w:val="0"/>
          <w:i/>
          <w:sz w:val="22"/>
        </w:rPr>
        <w:t>Figure 15. Exploration efficiency.</w:t>
      </w:r>
    </w:p>
    <w:p>
      <w:pPr>
        <w:ind w:firstLine="0"/>
        <w:jc w:val="center"/>
      </w:pPr>
      <w:r>
        <w:drawing>
          <wp:inline xmlns:a="http://schemas.openxmlformats.org/drawingml/2006/main" xmlns:pic="http://schemas.openxmlformats.org/drawingml/2006/picture">
            <wp:extent cx="5394960" cy="3371850"/>
            <wp:docPr id="16" name="Picture 16"/>
            <wp:cNvGraphicFramePr>
              <a:graphicFrameLocks noChangeAspect="1"/>
            </wp:cNvGraphicFramePr>
            <a:graphic>
              <a:graphicData uri="http://schemas.openxmlformats.org/drawingml/2006/picture">
                <pic:pic>
                  <pic:nvPicPr>
                    <pic:cNvPr id="0" name="box_last200_returns.png"/>
                    <pic:cNvPicPr/>
                  </pic:nvPicPr>
                  <pic:blipFill>
                    <a:blip r:embed="rId25"/>
                    <a:stretch>
                      <a:fillRect/>
                    </a:stretch>
                  </pic:blipFill>
                  <pic:spPr>
                    <a:xfrm>
                      <a:off x="0" y="0"/>
                      <a:ext cx="5394960" cy="3371850"/>
                    </a:xfrm>
                    <a:prstGeom prst="rect"/>
                  </pic:spPr>
                </pic:pic>
              </a:graphicData>
            </a:graphic>
          </wp:inline>
        </w:drawing>
      </w:r>
    </w:p>
    <w:p>
      <w:pPr>
        <w:spacing w:after="200"/>
        <w:ind w:firstLine="0"/>
        <w:jc w:val="center"/>
      </w:pPr>
      <w:r>
        <w:rPr>
          <w:rFonts w:ascii="Times New Roman" w:hAnsi="Times New Roman" w:eastAsia="Times New Roman"/>
          <w:b w:val="0"/>
          <w:i/>
          <w:sz w:val="22"/>
        </w:rPr>
        <w:t>Figure 16. Box plot of the last 200 training returns.</w:t>
      </w:r>
    </w:p>
    <w:p>
      <w:pPr>
        <w:ind w:firstLine="0"/>
        <w:jc w:val="center"/>
      </w:pPr>
      <w:r>
        <w:drawing>
          <wp:inline xmlns:a="http://schemas.openxmlformats.org/drawingml/2006/main" xmlns:pic="http://schemas.openxmlformats.org/drawingml/2006/picture">
            <wp:extent cx="5394960" cy="4315968"/>
            <wp:docPr id="17" name="Picture 17"/>
            <wp:cNvGraphicFramePr>
              <a:graphicFrameLocks noChangeAspect="1"/>
            </wp:cNvGraphicFramePr>
            <a:graphic>
              <a:graphicData uri="http://schemas.openxmlformats.org/drawingml/2006/picture">
                <pic:pic>
                  <pic:nvPicPr>
                    <pic:cNvPr id="0" name="policy_heatmaps.png"/>
                    <pic:cNvPicPr/>
                  </pic:nvPicPr>
                  <pic:blipFill>
                    <a:blip r:embed="rId26"/>
                    <a:stretch>
                      <a:fillRect/>
                    </a:stretch>
                  </pic:blipFill>
                  <pic:spPr>
                    <a:xfrm>
                      <a:off x="0" y="0"/>
                      <a:ext cx="5394960" cy="4315968"/>
                    </a:xfrm>
                    <a:prstGeom prst="rect"/>
                  </pic:spPr>
                </pic:pic>
              </a:graphicData>
            </a:graphic>
          </wp:inline>
        </w:drawing>
      </w:r>
    </w:p>
    <w:p>
      <w:pPr>
        <w:spacing w:after="200"/>
        <w:ind w:firstLine="0"/>
        <w:jc w:val="center"/>
      </w:pPr>
      <w:r>
        <w:rPr>
          <w:rFonts w:ascii="Times New Roman" w:hAnsi="Times New Roman" w:eastAsia="Times New Roman"/>
          <w:b w:val="0"/>
          <w:i/>
          <w:sz w:val="22"/>
        </w:rPr>
        <w:t>Figure 17. Policy heatmaps: empirical P(switch) versus max NS and max EW occupancy.</w:t>
      </w:r>
    </w:p>
    <w:p>
      <w:pPr>
        <w:spacing w:line="360" w:lineRule="auto" w:after="160"/>
        <w:ind w:firstLine="432"/>
        <w:jc w:val="both"/>
      </w:pPr>
      <w:r>
        <w:rPr>
          <w:rFonts w:ascii="Times New Roman" w:hAnsi="Times New Roman" w:eastAsia="Times New Roman"/>
          <w:b w:val="0"/>
          <w:i w:val="0"/>
          <w:sz w:val="24"/>
        </w:rPr>
        <w:t>Observations. (1) All four agents improve from first-50-episode means near −930 to −970 toward last-100 means near −810 to −860, so learning is real, not a flat random policy. (2) Residual variance remains large (std ≈ 132–141) because Poisson demand and the mid-episode directional flip make some episodes intrinsically harder. (3) Success rates hover near 0.50–0.53: the occupancy cap and arrival rates were chosen to keep the MDP non-trivial; a saturated but still improving controller is expected. (4) Heatmaps show switch probability rising when the unserved direction is more loaded than the served one, which is qualitatively correct phase logic. (5) Dyna-Q’s cumulative-return curve lies above the others for most of training, indicating that planning helps during exploration, not only at the end.</w:t>
      </w:r>
    </w:p>
    <w:p>
      <w:pPr>
        <w:spacing w:before="240" w:after="120" w:line="360" w:lineRule="auto"/>
        <w:ind w:firstLine="0"/>
        <w:jc w:val="left"/>
      </w:pPr>
      <w:r>
        <w:rPr>
          <w:rFonts w:ascii="Times New Roman" w:hAnsi="Times New Roman" w:eastAsia="Times New Roman"/>
          <w:b/>
          <w:i w:val="0"/>
          <w:color w:val="1F4E79"/>
          <w:sz w:val="32"/>
        </w:rPr>
        <w:t>9. Comparative Analysis</w:t>
      </w:r>
    </w:p>
    <w:p>
      <w:pPr>
        <w:spacing w:line="360" w:lineRule="auto" w:after="160"/>
        <w:ind w:firstLine="432"/>
        <w:jc w:val="both"/>
      </w:pPr>
      <w:r>
        <w:rPr>
          <w:rFonts w:ascii="Times New Roman" w:hAnsi="Times New Roman" w:eastAsia="Times New Roman"/>
          <w:b w:val="0"/>
          <w:i w:val="0"/>
          <w:sz w:val="24"/>
        </w:rPr>
        <w:t>We compare on eight metrics (more than the required four): average reward, episodes to stability, cumulative reward, computational time, stability/variance, policy quality, success rate, and exploration efficiency.</w:t>
      </w:r>
    </w:p>
    <w:p>
      <w:pPr>
        <w:spacing w:line="360" w:lineRule="auto" w:after="160"/>
        <w:ind w:firstLine="432"/>
        <w:jc w:val="both"/>
      </w:pPr>
      <w:r>
        <w:rPr>
          <w:rFonts w:ascii="Times New Roman" w:hAnsi="Times New Roman" w:eastAsia="Times New Roman"/>
          <w:b w:val="0"/>
          <w:i w:val="0"/>
          <w:sz w:val="24"/>
        </w:rPr>
        <w:t>Average reward and policy quality. Ranking by last-100 mean and by greedy eval is identical: Dyna-Q &gt; Expected SARSA &gt; SARSA &gt; Q-learning. The off-policy max operator did not yield the best greedy policy here. A plausible reason is overestimation plus a time-varying kernel: early-episode backups that assume the current greedy action is optimal under a later arrival regime inject bias that planning and expected targets dilute differently.</w:t>
      </w:r>
    </w:p>
    <w:p>
      <w:pPr>
        <w:spacing w:line="360" w:lineRule="auto" w:after="160"/>
        <w:ind w:firstLine="432"/>
        <w:jc w:val="both"/>
      </w:pPr>
      <w:r>
        <w:rPr>
          <w:rFonts w:ascii="Times New Roman" w:hAnsi="Times New Roman" w:eastAsia="Times New Roman"/>
          <w:b w:val="0"/>
          <w:i w:val="0"/>
          <w:sz w:val="24"/>
        </w:rPr>
        <w:t>Convergence speed. Q-learning looks “fastest” on the stability statistic because it settles early onto a mediocre plateau. That is not the same as being the best learner. Dyna-Q and SARSA keep improving longer, so they cross the 8% band later. The metric must therefore be read together with asymptotic return, not in isolation.</w:t>
      </w:r>
    </w:p>
    <w:p>
      <w:pPr>
        <w:spacing w:line="360" w:lineRule="auto" w:after="160"/>
        <w:ind w:firstLine="432"/>
        <w:jc w:val="both"/>
      </w:pPr>
      <w:r>
        <w:rPr>
          <w:rFonts w:ascii="Times New Roman" w:hAnsi="Times New Roman" w:eastAsia="Times New Roman"/>
          <w:b w:val="0"/>
          <w:i w:val="0"/>
          <w:sz w:val="24"/>
        </w:rPr>
        <w:t>Cumulative reward. Dyna-Q’s sum is the least negative, so its advantage is not only a last-window artefact. Expected SARSA beats SARSA slightly, consistent with lower-variance updates wasting fewer episodes on unlucky A′ samples.</w:t>
      </w:r>
    </w:p>
    <w:p>
      <w:pPr>
        <w:spacing w:line="360" w:lineRule="auto" w:after="160"/>
        <w:ind w:firstLine="432"/>
        <w:jc w:val="both"/>
      </w:pPr>
      <w:r>
        <w:rPr>
          <w:rFonts w:ascii="Times New Roman" w:hAnsi="Times New Roman" w:eastAsia="Times New Roman"/>
          <w:b w:val="0"/>
          <w:i w:val="0"/>
          <w:sz w:val="24"/>
        </w:rPr>
        <w:t>Computational time. SARSA and Q-learning are ~2.2–2.4 s; Expected SARSA ~5.7 s (extra inner product over actions, still |A|=2 so the gap is mostly Python overhead in the expected_q helper); Dyna-Q ~14.1 s because of eight planning updates and dictionary model sampling. For this |S|, all times are negligible; the ranking would matter more at larger n_planning or with function approximation.</w:t>
      </w:r>
    </w:p>
    <w:p>
      <w:pPr>
        <w:spacing w:line="360" w:lineRule="auto" w:after="160"/>
        <w:ind w:firstLine="432"/>
        <w:jc w:val="both"/>
      </w:pPr>
      <w:r>
        <w:rPr>
          <w:rFonts w:ascii="Times New Roman" w:hAnsi="Times New Roman" w:eastAsia="Times New Roman"/>
          <w:b w:val="0"/>
          <w:i w:val="0"/>
          <w:sz w:val="24"/>
        </w:rPr>
        <w:t>Stability, success, exploration efficiency. Dyna-Q is slightly more stable and more often “under control” at evaluation. Expected SARSA extracts the most late-training improvement per unit of exploration. Q-learning’s exploration efficiency is weakest, matching its smaller gap between overall mean and last-100 mean.</w:t>
      </w:r>
    </w:p>
    <w:p>
      <w:pPr>
        <w:spacing w:line="360" w:lineRule="auto" w:after="160"/>
        <w:ind w:firstLine="432"/>
        <w:jc w:val="both"/>
      </w:pPr>
      <w:r>
        <w:rPr>
          <w:rFonts w:ascii="Times New Roman" w:hAnsi="Times New Roman" w:eastAsia="Times New Roman"/>
          <w:b w:val="0"/>
          <w:i w:val="0"/>
          <w:sz w:val="24"/>
        </w:rPr>
        <w:t>Strengths and weaknesses. SARSA: simple, on-policy, but noisy targets. Q-learning: simple off-policy, early plateau, weaker asymptote here. Expected SARSA: best variance-adjusted on-policy learner in this set; slightly slower per step. Dyna-Q: best returns; heaviest compute; model ignores explicit time index. Best-performing algorithm overall: Dyna-Q, because it wins the metrics that describe deployed quality (eval return, late training return, success rate, cumulative return) with only a modest runtime penalty on this tabular problem.</w:t>
      </w:r>
    </w:p>
    <w:p>
      <w:pPr>
        <w:spacing w:before="240" w:after="120" w:line="360" w:lineRule="auto"/>
        <w:ind w:firstLine="0"/>
        <w:jc w:val="left"/>
      </w:pPr>
      <w:r>
        <w:rPr>
          <w:rFonts w:ascii="Times New Roman" w:hAnsi="Times New Roman" w:eastAsia="Times New Roman"/>
          <w:b/>
          <w:i w:val="0"/>
          <w:color w:val="1F4E79"/>
          <w:sz w:val="32"/>
        </w:rPr>
        <w:t>10. Discussion</w:t>
      </w:r>
    </w:p>
    <w:p>
      <w:pPr>
        <w:spacing w:line="360" w:lineRule="auto" w:after="160"/>
        <w:ind w:firstLine="432"/>
        <w:jc w:val="both"/>
      </w:pPr>
      <w:r>
        <w:rPr>
          <w:rFonts w:ascii="Times New Roman" w:hAnsi="Times New Roman" w:eastAsia="Times New Roman"/>
          <w:b w:val="0"/>
          <w:i w:val="0"/>
          <w:sz w:val="24"/>
        </w:rPr>
        <w:t>Why Dyna-Q and Expected SARSA performed better. The environment reuses similar (queue, phase, timer) tuples many times. Planning spreads a newly observed spillback cost to other previously visited pairs without waiting to re-encounter them. Expected SARSA avoids the extra noise of sampling A′ when ε is still large. Q-learning’s max backup is optimistic when both actions look similar under sparse visits, which is common early in a 6,480-state space.</w:t>
      </w:r>
    </w:p>
    <w:p>
      <w:pPr>
        <w:spacing w:line="360" w:lineRule="auto" w:after="160"/>
        <w:ind w:firstLine="432"/>
        <w:jc w:val="both"/>
      </w:pPr>
      <w:r>
        <w:rPr>
          <w:rFonts w:ascii="Times New Roman" w:hAnsi="Times New Roman" w:eastAsia="Times New Roman"/>
          <w:b w:val="0"/>
          <w:i w:val="0"/>
          <w:sz w:val="24"/>
        </w:rPr>
        <w:t>Effect of environment characteristics. Stochasticity inflates return variance for every method; no algorithm can drive std to zero while arrivals are Poisson. Dynamic (time-varying) demand hurts any time-aggregated model: Dyna-Q’s planning distribution mixes early-NS-peak and late-EW-peak transitions. That misspecification did not erase its advantage, but it cautions against inflating n_planning blindly. Partial observability is not present in the simulator; adding detector noise would likely shrink the gap between methods and motivate memory or a POMDP filter. The min-green constraint makes many switch actions ineffective; including t_green in the state is therefore essential, otherwise TD methods would average good and bad switch outcomes into one confused Q(s, switch).</w:t>
      </w:r>
    </w:p>
    <w:p>
      <w:pPr>
        <w:spacing w:line="360" w:lineRule="auto" w:after="160"/>
        <w:ind w:firstLine="432"/>
        <w:jc w:val="both"/>
      </w:pPr>
      <w:r>
        <w:rPr>
          <w:rFonts w:ascii="Times New Roman" w:hAnsi="Times New Roman" w:eastAsia="Times New Roman"/>
          <w:b w:val="0"/>
          <w:i w:val="0"/>
          <w:sz w:val="24"/>
        </w:rPr>
        <w:t>Limitations of the experiment. Single random seed per algorithm (four seeds total), not a 30-seed statistical test; constant α; no hyperparameter sweep; no SUMO validation; occupancy cap clips physics; two phases only; wall-clock times are machine-specific. The success-rate threshold (total queue ≤ 6) is a chosen operating definition, not a municipal SLA. These limitations are acceptable for a transparent coursework comparison but not for a deployment claim.</w:t>
      </w:r>
    </w:p>
    <w:p>
      <w:pPr>
        <w:spacing w:before="240" w:after="120" w:line="360" w:lineRule="auto"/>
        <w:ind w:firstLine="0"/>
        <w:jc w:val="left"/>
      </w:pPr>
      <w:r>
        <w:rPr>
          <w:rFonts w:ascii="Times New Roman" w:hAnsi="Times New Roman" w:eastAsia="Times New Roman"/>
          <w:b/>
          <w:i w:val="0"/>
          <w:color w:val="1F4E79"/>
          <w:sz w:val="32"/>
        </w:rPr>
        <w:t>11. Innovation Component</w:t>
      </w:r>
    </w:p>
    <w:p>
      <w:pPr>
        <w:spacing w:line="360" w:lineRule="auto" w:after="160"/>
        <w:ind w:firstLine="432"/>
        <w:jc w:val="both"/>
      </w:pPr>
      <w:r>
        <w:rPr>
          <w:rFonts w:ascii="Times New Roman" w:hAnsi="Times New Roman" w:eastAsia="Times New Roman"/>
          <w:b w:val="0"/>
          <w:i w:val="0"/>
          <w:sz w:val="24"/>
        </w:rPr>
        <w:t>As in Component 1, the innovation is Safe Reinforcement Learning with a hard action shield plus, optionally, a constrained-MDP cost for maximum wait. Technical depth: define A_safe(s) ⊆ {keep, switch} from predicates min_green(s), max_red(s), spillback_veto(s), and pedestrian_lock(s). The behaviour policy samples only from A_safe(s); if that set is a singleton, exploration is automatically suppressed. Q-learning then becomes ordinary Q-learning on the shielded MDP. For long-run constraints, store a cost critic Q_C and update a Lagrange multiplier λ ← [λ + η (Ĉ − d)]_+, training on reward R − λ C. The shield handles instantaneous illegal actions; the multiplier handles average-wait SLAs that cannot be judged from one tick. This is a better fit than Multi-Agent RL for a first extension because the present environment is a single junction; multi-agent corridor control would multiply |S| and is listed as future work.</w:t>
      </w:r>
    </w:p>
    <w:p>
      <w:pPr>
        <w:spacing w:line="360" w:lineRule="auto" w:after="160"/>
        <w:ind w:firstLine="432"/>
        <w:jc w:val="both"/>
      </w:pPr>
      <w:r>
        <w:rPr>
          <w:rFonts w:ascii="Times New Roman" w:hAnsi="Times New Roman" w:eastAsia="Times New Roman"/>
          <w:b w:val="0"/>
          <w:i w:val="0"/>
          <w:sz w:val="24"/>
        </w:rPr>
        <w:t>Digital-twin compatibility. The same shield can wrap a SUMO controller: the learning agent proposes a phase, the twin’s traffic-signal program rejects illegal commands, and the TD update uses the executed (possibly projected) action—exactly SARSA’s on-policy semantics. That is another reason to keep SARSA in the algorithm set even though Dyna-Q won the unconstrained ranking.</w:t>
      </w:r>
    </w:p>
    <w:p>
      <w:pPr>
        <w:spacing w:before="240" w:after="120" w:line="360" w:lineRule="auto"/>
        <w:ind w:firstLine="0"/>
        <w:jc w:val="left"/>
      </w:pPr>
      <w:r>
        <w:rPr>
          <w:rFonts w:ascii="Times New Roman" w:hAnsi="Times New Roman" w:eastAsia="Times New Roman"/>
          <w:b/>
          <w:i w:val="0"/>
          <w:color w:val="1F4E79"/>
          <w:sz w:val="32"/>
        </w:rPr>
        <w:t>12. Conclusion</w:t>
      </w:r>
    </w:p>
    <w:p>
      <w:pPr>
        <w:spacing w:line="360" w:lineRule="auto" w:after="160"/>
        <w:ind w:firstLine="432"/>
        <w:jc w:val="both"/>
      </w:pPr>
      <w:r>
        <w:rPr>
          <w:rFonts w:ascii="Times New Roman" w:hAnsi="Times New Roman" w:eastAsia="Times New Roman"/>
          <w:b w:val="0"/>
          <w:i w:val="0"/>
          <w:sz w:val="24"/>
        </w:rPr>
        <w:t>Learnings. A compact occupancy MDP is sufficient to expose differences among TD control algorithms. Smoothed learning curves, greedy evaluation, and a stability statistic tell different stories and must be read together. Implementing the four updates from scratch clarifies that Expected SARSA and Dyna-Q are small, principled modifications of the same loop rather than unrelated libraries.</w:t>
      </w:r>
    </w:p>
    <w:p>
      <w:pPr>
        <w:spacing w:line="360" w:lineRule="auto" w:after="160"/>
        <w:ind w:firstLine="432"/>
        <w:jc w:val="both"/>
      </w:pPr>
      <w:r>
        <w:rPr>
          <w:rFonts w:ascii="Times New Roman" w:hAnsi="Times New Roman" w:eastAsia="Times New Roman"/>
          <w:b w:val="0"/>
          <w:i w:val="0"/>
          <w:sz w:val="24"/>
        </w:rPr>
        <w:t>Most suitable approach. Dyna-Q is the most suitable tabular method for this simulator under the stated hyperparameters, with Expected SARSA as a strong model-free runner-up when planning cost or model bias is a concern.</w:t>
      </w:r>
    </w:p>
    <w:p>
      <w:pPr>
        <w:spacing w:line="360" w:lineRule="auto" w:after="160"/>
        <w:ind w:firstLine="432"/>
        <w:jc w:val="both"/>
      </w:pPr>
      <w:r>
        <w:rPr>
          <w:rFonts w:ascii="Times New Roman" w:hAnsi="Times New Roman" w:eastAsia="Times New Roman"/>
          <w:b w:val="0"/>
          <w:i w:val="0"/>
          <w:sz w:val="24"/>
        </w:rPr>
        <w:t>Future scope. (i) Safe-RL shield and Lagrangian costs; (ii) time-indexed or tile-coded state to capture demand drift; (iii) Double Q-learning to test the overestimation hypothesis; (iv) SUMO digital twin with detector noise; (v) multi-agent control of an arterial. None of these require abandoning the MDP written for CIA-3; they extend it.</w:t>
      </w:r>
    </w:p>
    <w:p>
      <w:pPr>
        <w:spacing w:line="360" w:lineRule="auto" w:after="160"/>
        <w:ind w:firstLine="432"/>
        <w:jc w:val="both"/>
      </w:pPr>
      <w:r>
        <w:rPr>
          <w:rFonts w:ascii="Times New Roman" w:hAnsi="Times New Roman" w:eastAsia="Times New Roman"/>
          <w:b w:val="0"/>
          <w:i w:val="0"/>
          <w:sz w:val="24"/>
        </w:rPr>
        <w:t>Reproducibility. Every number in Table 1 is regenerated by python run_all.py. Q-tables, episode returns, greedy traces, and PNG figures are stored beside the code. Random seeds are documented. A different machine will change wall-clock times but should reproduce the algorithm ranking within ordinary Poisson noise.</w:t>
      </w:r>
    </w:p>
    <w:p>
      <w:pPr>
        <w:spacing w:line="360" w:lineRule="auto" w:after="160"/>
        <w:ind w:firstLine="432"/>
        <w:jc w:val="both"/>
      </w:pPr>
      <w:r>
        <w:rPr>
          <w:rFonts w:ascii="Times New Roman" w:hAnsi="Times New Roman" w:eastAsia="Times New Roman"/>
          <w:b w:val="0"/>
          <w:i w:val="0"/>
          <w:sz w:val="24"/>
        </w:rPr>
        <w:t>Pedagogical outcome. Implementing Expected SARSA made the on-policy distribution explicit; implementing Dyna-Q made the difference between a real interaction and a model sample explicit. Those two distinctions are the intellectual core of Units 4 and 5 and are easy to miss if one only calls a library fit method. The traffic story is the motivation; the nested TD updates are the actual coursework object.</w:t>
      </w:r>
    </w:p>
    <w:p>
      <w:pPr>
        <w:spacing w:before="240" w:after="120" w:line="360" w:lineRule="auto"/>
        <w:ind w:firstLine="0"/>
        <w:jc w:val="left"/>
      </w:pPr>
      <w:r>
        <w:rPr>
          <w:rFonts w:ascii="Times New Roman" w:hAnsi="Times New Roman" w:eastAsia="Times New Roman"/>
          <w:b/>
          <w:i w:val="0"/>
          <w:color w:val="1F4E79"/>
          <w:sz w:val="32"/>
        </w:rPr>
        <w:t>13. References</w:t>
      </w:r>
    </w:p>
    <w:p>
      <w:pPr>
        <w:ind w:hanging="504" w:left="504"/>
      </w:pPr>
      <w:r>
        <w:rPr>
          <w:rFonts w:ascii="Times New Roman" w:hAnsi="Times New Roman" w:eastAsia="Times New Roman"/>
          <w:b w:val="0"/>
          <w:i w:val="0"/>
          <w:sz w:val="22"/>
        </w:rPr>
        <w:t>[1] R. S. Sutton and A. G. Barto, Reinforcement Learning: An Introduction, 2nd ed. Cambridge, MA, USA: MIT Press, 2018.</w:t>
      </w:r>
    </w:p>
    <w:p>
      <w:pPr>
        <w:ind w:hanging="504" w:left="504"/>
      </w:pPr>
      <w:r>
        <w:rPr>
          <w:rFonts w:ascii="Times New Roman" w:hAnsi="Times New Roman" w:eastAsia="Times New Roman"/>
          <w:b w:val="0"/>
          <w:i w:val="0"/>
          <w:sz w:val="22"/>
        </w:rPr>
        <w:t>[2] F. V. Webster, “Traffic signal settings,” Road Research Technical Paper No. 39, HMSO, London, U.K., 1958.</w:t>
      </w:r>
    </w:p>
    <w:p>
      <w:pPr>
        <w:ind w:hanging="504" w:left="504"/>
      </w:pPr>
      <w:r>
        <w:rPr>
          <w:rFonts w:ascii="Times New Roman" w:hAnsi="Times New Roman" w:eastAsia="Times New Roman"/>
          <w:b w:val="0"/>
          <w:i w:val="0"/>
          <w:sz w:val="22"/>
        </w:rPr>
        <w:t>[3] M. Wiering, “Multi-agent reinforcement learning for traffic light control,” in Proc. 17th Int. Conf. Machine Learning (ICML), 2000, pp. 1151–1158.</w:t>
      </w:r>
    </w:p>
    <w:p>
      <w:pPr>
        <w:ind w:hanging="504" w:left="504"/>
      </w:pPr>
      <w:r>
        <w:rPr>
          <w:rFonts w:ascii="Times New Roman" w:hAnsi="Times New Roman" w:eastAsia="Times New Roman"/>
          <w:b w:val="0"/>
          <w:i w:val="0"/>
          <w:sz w:val="22"/>
        </w:rPr>
        <w:t>[4] L. A. Prashanth and S. Bhatnagar, “Reinforcement learning with function approximation for traffic signal control,” IEEE Trans. Intell. Transp. Syst., vol. 12, no. 2, pp. 412–421, Jun. 2011.</w:t>
      </w:r>
    </w:p>
    <w:p>
      <w:pPr>
        <w:ind w:hanging="504" w:left="504"/>
      </w:pPr>
      <w:r>
        <w:rPr>
          <w:rFonts w:ascii="Times New Roman" w:hAnsi="Times New Roman" w:eastAsia="Times New Roman"/>
          <w:b w:val="0"/>
          <w:i w:val="0"/>
          <w:sz w:val="22"/>
        </w:rPr>
        <w:t>[5] E. van der Pol and F. A. Oliehoek, “Coordinated deep reinforcement learners for traffic light control,” in Proc. NIPS Workshop on Learning, Inference and Control of Multi-Agent Systems, 2016.</w:t>
      </w:r>
    </w:p>
    <w:p>
      <w:pPr>
        <w:ind w:hanging="504" w:left="504"/>
      </w:pPr>
      <w:r>
        <w:rPr>
          <w:rFonts w:ascii="Times New Roman" w:hAnsi="Times New Roman" w:eastAsia="Times New Roman"/>
          <w:b w:val="0"/>
          <w:i w:val="0"/>
          <w:sz w:val="22"/>
        </w:rPr>
        <w:t>[6] H. Wei, G. Zheng, H. Yao, and Z. Li, “IntelliLight: A reinforcement learning approach for intelligent traffic light control,” in Proc. 24th ACM SIGKDD Conf. Knowledge Discovery and Data Mining (KDD), 2018, pp. 2496–2505.</w:t>
      </w:r>
    </w:p>
    <w:p>
      <w:pPr>
        <w:ind w:hanging="504" w:left="504"/>
      </w:pPr>
      <w:r>
        <w:rPr>
          <w:rFonts w:ascii="Times New Roman" w:hAnsi="Times New Roman" w:eastAsia="Times New Roman"/>
          <w:b w:val="0"/>
          <w:i w:val="0"/>
          <w:sz w:val="22"/>
        </w:rPr>
        <w:t>[7] C. Chen et al., “Toward a thousand lights: Decentralized deep reinforcement learning for large-scale traffic signal control,” in Proc. AAAI Conf. Artificial Intelligence, 2020, pp. 3412–3419.</w:t>
      </w:r>
    </w:p>
    <w:p>
      <w:pPr>
        <w:ind w:hanging="504" w:left="504"/>
      </w:pPr>
      <w:r>
        <w:rPr>
          <w:rFonts w:ascii="Times New Roman" w:hAnsi="Times New Roman" w:eastAsia="Times New Roman"/>
          <w:b w:val="0"/>
          <w:i w:val="0"/>
          <w:sz w:val="22"/>
        </w:rPr>
        <w:t>[8] J. García and F. Fernández, “A comprehensive survey on safe reinforcement learning,” J. Mach. Learn. Res., vol. 16, no. 42, pp. 1437–1480, 2015.</w:t>
      </w:r>
    </w:p>
    <w:p>
      <w:pPr>
        <w:ind w:hanging="504" w:left="504"/>
      </w:pPr>
      <w:r>
        <w:rPr>
          <w:rFonts w:ascii="Times New Roman" w:hAnsi="Times New Roman" w:eastAsia="Times New Roman"/>
          <w:b w:val="0"/>
          <w:i w:val="0"/>
          <w:sz w:val="22"/>
        </w:rPr>
        <w:t>[9] A. Haydari and Y. Yılmaz, “Deep reinforcement learning for intelligent transportation systems: A survey,” IEEE Trans. Intell. Transp. Syst., vol. 23, no. 1, pp. 11–32, Jan. 2022.</w:t>
      </w:r>
    </w:p>
    <w:p>
      <w:pPr>
        <w:ind w:hanging="504" w:left="504"/>
      </w:pPr>
      <w:r>
        <w:rPr>
          <w:rFonts w:ascii="Times New Roman" w:hAnsi="Times New Roman" w:eastAsia="Times New Roman"/>
          <w:b w:val="0"/>
          <w:i w:val="0"/>
          <w:sz w:val="22"/>
        </w:rPr>
        <w:t>[10] N. H. Gartner, “OPAC: A demand-responsive strategy for traffic signal control,” Transp. Res. Rec., no. 906, pp. 75–81, 1983.</w:t>
      </w:r>
    </w:p>
    <w:p>
      <w:pPr>
        <w:ind w:hanging="504" w:left="504"/>
      </w:pPr>
      <w:r>
        <w:rPr>
          <w:rFonts w:ascii="Times New Roman" w:hAnsi="Times New Roman" w:eastAsia="Times New Roman"/>
          <w:b w:val="0"/>
          <w:i w:val="0"/>
          <w:sz w:val="22"/>
        </w:rPr>
        <w:t>[11] C. J. C. H. Watkins and P. Dayan, “Q-learning,” Mach. Learn., vol. 8, pp. 279–292, 1992.</w:t>
      </w:r>
    </w:p>
    <w:p>
      <w:pPr>
        <w:ind w:hanging="504" w:left="504"/>
      </w:pPr>
      <w:r>
        <w:rPr>
          <w:rFonts w:ascii="Times New Roman" w:hAnsi="Times New Roman" w:eastAsia="Times New Roman"/>
          <w:b w:val="0"/>
          <w:i w:val="0"/>
          <w:sz w:val="22"/>
        </w:rPr>
        <w:t>[12] G. A. Rummery and M. Niranjan, “On-line Q-learning using connectionist systems,” Tech. Rep. CUED/F-INFENG/TR 166, Univ. Cambridge, 1994.</w:t>
      </w:r>
    </w:p>
    <w:p>
      <w:pPr>
        <w:ind w:hanging="504" w:left="504"/>
      </w:pPr>
      <w:r>
        <w:rPr>
          <w:rFonts w:ascii="Times New Roman" w:hAnsi="Times New Roman" w:eastAsia="Times New Roman"/>
          <w:b w:val="0"/>
          <w:i w:val="0"/>
          <w:sz w:val="22"/>
        </w:rPr>
        <w:t>[13] R. S. Sutton, “Dyna, an integrated architecture for learning, planning, and reacting,” ACM SIGART Bulletin, vol. 2, no. 4, pp. 160–163, 1991.</w:t>
      </w:r>
    </w:p>
    <w:p>
      <w:pPr>
        <w:ind w:hanging="504" w:left="504"/>
      </w:pPr>
      <w:r>
        <w:rPr>
          <w:rFonts w:ascii="Times New Roman" w:hAnsi="Times New Roman" w:eastAsia="Times New Roman"/>
          <w:b w:val="0"/>
          <w:i w:val="0"/>
          <w:sz w:val="22"/>
        </w:rPr>
        <w:t>[14] H. van Seijen, H. van Hasselt, S. Whiteson, and M. Wiering, “A theoretical and empirical analysis of Expected Sarsa,” in Proc. IEEE Symp. Adaptive Dynamic Programming and Reinforcement Learning, 2009, pp. 177–184.</w:t>
      </w:r>
    </w:p>
    <w:p>
      <w:pPr>
        <w:ind w:hanging="504" w:left="504"/>
      </w:pPr>
      <w:r>
        <w:rPr>
          <w:rFonts w:ascii="Times New Roman" w:hAnsi="Times New Roman" w:eastAsia="Times New Roman"/>
          <w:b w:val="0"/>
          <w:i w:val="0"/>
          <w:sz w:val="22"/>
        </w:rPr>
        <w:t>[15] P. Hunt, D. Robertson, R. Bretherton, and R. Winton, “SCOOT—a traffic responsive method of coordinating signals,” TRRL Laboratory Report 1014, Crowthorne, U.K., 1981.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CIA-3 Reinforcement Learning  |  Page </w:t>
    </w:r>
    <w:r>
      <w:rPr>
        <w:rFonts w:ascii="Times New Roman" w:hAnsi="Times New Roman" w:eastAsia="Times New Roman"/>
        <w:b w:val="0"/>
        <w:i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