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sz w:val="60"/>
        </w:rPr>
        <w:t>TicketGuard</w:t>
      </w:r>
    </w:p>
    <w:p>
      <w:pPr>
        <w:spacing w:after="480"/>
        <w:jc w:val="center"/>
      </w:pPr>
      <w:r>
        <w:rPr>
          <w:b w:val="0"/>
          <w:i w:val="0"/>
          <w:sz w:val="32"/>
        </w:rPr>
        <w:t>Fraud Detection via Graph and Column-Store Databases</w:t>
      </w:r>
    </w:p>
    <w:p>
      <w:pPr>
        <w:spacing w:after="480"/>
        <w:jc w:val="center"/>
      </w:pPr>
      <w:r>
        <w:rPr>
          <w:b/>
          <w:i w:val="0"/>
          <w:sz w:val="28"/>
        </w:rPr>
        <w:t>Review 2: Database Implementation &amp; Prototype</w:t>
      </w:r>
    </w:p>
    <w:p>
      <w:pPr>
        <w:spacing w:after="40"/>
        <w:jc w:val="center"/>
      </w:pPr>
      <w:r>
        <w:rPr>
          <w:b w:val="0"/>
          <w:i w:val="0"/>
        </w:rPr>
        <w:t>BCSE406L - NoSQL Databases</w:t>
      </w:r>
    </w:p>
    <w:p>
      <w:pPr>
        <w:spacing w:after="40"/>
        <w:jc w:val="center"/>
      </w:pPr>
      <w:r>
        <w:rPr>
          <w:b w:val="0"/>
          <w:i w:val="0"/>
        </w:rPr>
        <w:t>Fall Semester 2026-2027</w:t>
      </w:r>
    </w:p>
    <w:p>
      <w:pPr>
        <w:spacing w:after="480"/>
        <w:jc w:val="center"/>
      </w:pPr>
      <w:r>
        <w:rPr>
          <w:b w:val="0"/>
          <w:i w:val="0"/>
        </w:rPr>
        <w:t>Faculty: Lydia Jane G</w:t>
      </w:r>
    </w:p>
    <w:p>
      <w:pPr>
        <w:spacing w:after="40"/>
        <w:jc w:val="center"/>
      </w:pPr>
      <w:r>
        <w:rPr>
          <w:b/>
          <w:i w:val="0"/>
        </w:rPr>
        <w:t>Niharika Lathish (23BCE2162)</w:t>
      </w:r>
    </w:p>
    <w:p>
      <w:pPr>
        <w:spacing w:after="480"/>
        <w:jc w:val="center"/>
      </w:pPr>
      <w:r>
        <w:rPr>
          <w:b/>
          <w:i w:val="0"/>
        </w:rPr>
        <w:t>Sivaraj Swetha Srri (23BCE2180)</w:t>
      </w:r>
    </w:p>
    <w:p>
      <w:pPr>
        <w:spacing w:after="120"/>
        <w:jc w:val="center"/>
      </w:pPr>
      <w:r>
        <w:rPr>
          <w:b w:val="0"/>
          <w:i/>
        </w:rPr>
        <w:t>Source code: https://github.com/NiharikaLathish/TicketGuard</w:t>
      </w:r>
    </w:p>
    <w:p>
      <w:r>
        <w:br w:type="page"/>
      </w:r>
    </w:p>
    <w:p>
      <w:pPr>
        <w:pStyle w:val="Heading1"/>
      </w:pPr>
      <w:r>
        <w:t>1. Summary of Progress</w:t>
      </w:r>
    </w:p>
    <w:p>
      <w:pPr>
        <w:spacing w:after="120"/>
      </w:pPr>
      <w:r>
        <w:rPr>
          <w:b w:val="0"/>
          <w:i w:val="0"/>
        </w:rPr>
        <w:t>Review 1 finalised the problem, requirements, database choice, architecture and initial schema. Review 2 delivers the working prototype: both databases are implemented, populated with a 50,000-transaction synthetic dataset, synchronised, and exposed through a REST API. All four planned fraud detectors run on the Neo4j graph, and every finding carries a plain-language reason. The prototype is checked by 10 automated tests, all passing.</w:t>
      </w:r>
    </w:p>
    <w:tbl>
      <w:tblPr>
        <w:tblStyle w:val="TableGrid"/>
        <w:tblW w:type="auto" w:w="0"/>
        <w:jc w:val="center"/>
        <w:tblLook w:firstColumn="1" w:firstRow="1" w:lastColumn="0" w:lastRow="0" w:noHBand="0" w:noVBand="1" w:val="04A0"/>
      </w:tblPr>
      <w:tblGrid>
        <w:gridCol w:w="3137"/>
        <w:gridCol w:w="3137"/>
        <w:gridCol w:w="3137"/>
      </w:tblGrid>
      <w:tr>
        <w:tc>
          <w:tcPr>
            <w:tcW w:type="dxa" w:w="3685"/>
            <w:shd w:val="clear" w:color="auto" w:fill="DCE4F5"/>
          </w:tcPr>
          <w:p>
            <w:r/>
            <w:r>
              <w:rPr>
                <w:b/>
                <w:sz w:val="20"/>
              </w:rPr>
              <w:t>Plan phase (Review 1)</w:t>
            </w:r>
          </w:p>
        </w:tc>
        <w:tc>
          <w:tcPr>
            <w:tcW w:type="dxa" w:w="1701"/>
            <w:shd w:val="clear" w:color="auto" w:fill="DCE4F5"/>
          </w:tcPr>
          <w:p>
            <w:r/>
            <w:r>
              <w:rPr>
                <w:b/>
                <w:sz w:val="20"/>
              </w:rPr>
              <w:t>Status</w:t>
            </w:r>
          </w:p>
        </w:tc>
        <w:tc>
          <w:tcPr>
            <w:tcW w:type="dxa" w:w="3912"/>
            <w:shd w:val="clear" w:color="auto" w:fill="DCE4F5"/>
          </w:tcPr>
          <w:p>
            <w:r/>
            <w:r>
              <w:rPr>
                <w:b/>
                <w:sz w:val="20"/>
              </w:rPr>
              <w:t>Evidence</w:t>
            </w:r>
          </w:p>
        </w:tc>
      </w:tr>
      <w:tr>
        <w:tc>
          <w:tcPr>
            <w:tcW w:type="dxa" w:w="3685"/>
          </w:tcPr>
          <w:p>
            <w:r/>
            <w:r>
              <w:rPr>
                <w:sz w:val="20"/>
              </w:rPr>
              <w:t>5. Synthetic data generation</w:t>
            </w:r>
          </w:p>
        </w:tc>
        <w:tc>
          <w:tcPr>
            <w:tcW w:type="dxa" w:w="1701"/>
          </w:tcPr>
          <w:p>
            <w:r/>
            <w:r>
              <w:rPr>
                <w:sz w:val="20"/>
              </w:rPr>
              <w:t>Done</w:t>
            </w:r>
          </w:p>
        </w:tc>
        <w:tc>
          <w:tcPr>
            <w:tcW w:type="dxa" w:w="3912"/>
          </w:tcPr>
          <w:p>
            <w:r/>
            <w:r>
              <w:rPr>
                <w:sz w:val="20"/>
              </w:rPr>
              <w:t>generator/generate.py; dumps/sample_dataset.csv</w:t>
            </w:r>
          </w:p>
        </w:tc>
      </w:tr>
      <w:tr>
        <w:tc>
          <w:tcPr>
            <w:tcW w:type="dxa" w:w="3685"/>
          </w:tcPr>
          <w:p>
            <w:r/>
            <w:r>
              <w:rPr>
                <w:sz w:val="20"/>
              </w:rPr>
              <w:t>6. Cassandra implementation + CRUD</w:t>
            </w:r>
          </w:p>
        </w:tc>
        <w:tc>
          <w:tcPr>
            <w:tcW w:type="dxa" w:w="1701"/>
          </w:tcPr>
          <w:p>
            <w:r/>
            <w:r>
              <w:rPr>
                <w:sz w:val="20"/>
              </w:rPr>
              <w:t>Done</w:t>
            </w:r>
          </w:p>
        </w:tc>
        <w:tc>
          <w:tcPr>
            <w:tcW w:type="dxa" w:w="3912"/>
          </w:tcPr>
          <w:p>
            <w:r/>
            <w:r>
              <w:rPr>
                <w:sz w:val="20"/>
              </w:rPr>
              <w:t>app/db/cassandra_db.py; 4 query tables</w:t>
            </w:r>
          </w:p>
        </w:tc>
      </w:tr>
      <w:tr>
        <w:tc>
          <w:tcPr>
            <w:tcW w:type="dxa" w:w="3685"/>
          </w:tcPr>
          <w:p>
            <w:r/>
            <w:r>
              <w:rPr>
                <w:sz w:val="20"/>
              </w:rPr>
              <w:t>7. Neo4j implementation + Cypher</w:t>
            </w:r>
          </w:p>
        </w:tc>
        <w:tc>
          <w:tcPr>
            <w:tcW w:type="dxa" w:w="1701"/>
          </w:tcPr>
          <w:p>
            <w:r/>
            <w:r>
              <w:rPr>
                <w:sz w:val="20"/>
              </w:rPr>
              <w:t>Done</w:t>
            </w:r>
          </w:p>
        </w:tc>
        <w:tc>
          <w:tcPr>
            <w:tcW w:type="dxa" w:w="3912"/>
          </w:tcPr>
          <w:p>
            <w:r/>
            <w:r>
              <w:rPr>
                <w:sz w:val="20"/>
              </w:rPr>
              <w:t>app/db/neo4j_db.py; constraints, indexes</w:t>
            </w:r>
          </w:p>
        </w:tc>
      </w:tr>
      <w:tr>
        <w:tc>
          <w:tcPr>
            <w:tcW w:type="dxa" w:w="3685"/>
          </w:tcPr>
          <w:p>
            <w:r/>
            <w:r>
              <w:rPr>
                <w:sz w:val="20"/>
              </w:rPr>
              <w:t>8. Database synchronisation</w:t>
            </w:r>
          </w:p>
        </w:tc>
        <w:tc>
          <w:tcPr>
            <w:tcW w:type="dxa" w:w="1701"/>
          </w:tcPr>
          <w:p>
            <w:r/>
            <w:r>
              <w:rPr>
                <w:sz w:val="20"/>
              </w:rPr>
              <w:t>Done</w:t>
            </w:r>
          </w:p>
        </w:tc>
        <w:tc>
          <w:tcPr>
            <w:tcW w:type="dxa" w:w="3912"/>
          </w:tcPr>
          <w:p>
            <w:r/>
            <w:r>
              <w:rPr>
                <w:sz w:val="20"/>
              </w:rPr>
              <w:t>app/sync.py; incremental, idempotent</w:t>
            </w:r>
          </w:p>
        </w:tc>
      </w:tr>
      <w:tr>
        <w:tc>
          <w:tcPr>
            <w:tcW w:type="dxa" w:w="3685"/>
          </w:tcPr>
          <w:p>
            <w:r/>
            <w:r>
              <w:rPr>
                <w:sz w:val="20"/>
              </w:rPr>
              <w:t>9. Fraud detection (cycle, community, centrality)</w:t>
            </w:r>
          </w:p>
        </w:tc>
        <w:tc>
          <w:tcPr>
            <w:tcW w:type="dxa" w:w="1701"/>
          </w:tcPr>
          <w:p>
            <w:r/>
            <w:r>
              <w:rPr>
                <w:sz w:val="20"/>
              </w:rPr>
              <w:t>Done</w:t>
            </w:r>
          </w:p>
        </w:tc>
        <w:tc>
          <w:tcPr>
            <w:tcW w:type="dxa" w:w="3912"/>
          </w:tcPr>
          <w:p>
            <w:r/>
            <w:r>
              <w:rPr>
                <w:sz w:val="20"/>
              </w:rPr>
              <w:t>app/detection.py; evaluation below</w:t>
            </w:r>
          </w:p>
        </w:tc>
      </w:tr>
      <w:tr>
        <w:tc>
          <w:tcPr>
            <w:tcW w:type="dxa" w:w="3685"/>
          </w:tcPr>
          <w:p>
            <w:r/>
            <w:r>
              <w:rPr>
                <w:sz w:val="20"/>
              </w:rPr>
              <w:t>10. Visualisation</w:t>
            </w:r>
          </w:p>
        </w:tc>
        <w:tc>
          <w:tcPr>
            <w:tcW w:type="dxa" w:w="1701"/>
          </w:tcPr>
          <w:p>
            <w:r/>
            <w:r>
              <w:rPr>
                <w:sz w:val="20"/>
              </w:rPr>
              <w:t>Done (prototype)</w:t>
            </w:r>
          </w:p>
        </w:tc>
        <w:tc>
          <w:tcPr>
            <w:tcW w:type="dxa" w:w="3912"/>
          </w:tcPr>
          <w:p>
            <w:r/>
            <w:r>
              <w:rPr>
                <w:sz w:val="20"/>
              </w:rPr>
              <w:t>static/index.html fraud console</w:t>
            </w:r>
          </w:p>
        </w:tc>
      </w:tr>
      <w:tr>
        <w:tc>
          <w:tcPr>
            <w:tcW w:type="dxa" w:w="3685"/>
          </w:tcPr>
          <w:p>
            <w:r/>
            <w:r>
              <w:rPr>
                <w:sz w:val="20"/>
              </w:rPr>
              <w:t>11. Testing &amp; performance</w:t>
            </w:r>
          </w:p>
        </w:tc>
        <w:tc>
          <w:tcPr>
            <w:tcW w:type="dxa" w:w="1701"/>
          </w:tcPr>
          <w:p>
            <w:r/>
            <w:r>
              <w:rPr>
                <w:sz w:val="20"/>
              </w:rPr>
              <w:t>Started</w:t>
            </w:r>
          </w:p>
        </w:tc>
        <w:tc>
          <w:tcPr>
            <w:tcW w:type="dxa" w:w="3912"/>
          </w:tcPr>
          <w:p>
            <w:r/>
            <w:r>
              <w:rPr>
                <w:sz w:val="20"/>
              </w:rPr>
              <w:t>10 pytest tests; timings in section 7</w:t>
            </w:r>
          </w:p>
        </w:tc>
      </w:tr>
      <w:tr>
        <w:tc>
          <w:tcPr>
            <w:tcW w:type="dxa" w:w="3685"/>
          </w:tcPr>
          <w:p>
            <w:r/>
            <w:r>
              <w:rPr>
                <w:sz w:val="20"/>
              </w:rPr>
              <w:t>12. Final integration &amp; demonstration</w:t>
            </w:r>
          </w:p>
        </w:tc>
        <w:tc>
          <w:tcPr>
            <w:tcW w:type="dxa" w:w="1701"/>
          </w:tcPr>
          <w:p>
            <w:r/>
            <w:r>
              <w:rPr>
                <w:sz w:val="20"/>
              </w:rPr>
              <w:t>Review 3</w:t>
            </w:r>
          </w:p>
        </w:tc>
        <w:tc>
          <w:tcPr>
            <w:tcW w:type="dxa" w:w="3912"/>
          </w:tcPr>
          <w:p>
            <w:r/>
            <w:r>
              <w:rPr>
                <w:sz w:val="20"/>
              </w:rPr>
              <w:t>-</w:t>
            </w:r>
          </w:p>
        </w:tc>
      </w:tr>
    </w:tbl>
    <w:p>
      <w:pPr>
        <w:spacing w:after="80"/>
      </w:pPr>
    </w:p>
    <w:p>
      <w:pPr>
        <w:pStyle w:val="Heading1"/>
      </w:pPr>
      <w:r>
        <w:t>2. Architecture as Implemented</w:t>
      </w:r>
    </w:p>
    <w:p>
      <w:pPr>
        <w:spacing w:after="120"/>
        <w:jc w:val="center"/>
      </w:pPr>
      <w:r>
        <w:rPr>
          <w:b/>
          <w:i w:val="0"/>
        </w:rPr>
        <w:t>Synthetic generator  -&gt;  Cassandra  -&gt;  Sync module  -&gt;  Neo4j  -&gt;  Graph algorithms  -&gt;  Fraud findings  -&gt;  Visualisation</w:t>
      </w:r>
    </w:p>
    <w:p>
      <w:pPr>
        <w:pStyle w:val="ListBullet"/>
        <w:spacing w:after="40"/>
      </w:pPr>
      <w:r>
        <w:t>Both databases run in Docker (Cassandra 4.1, Neo4j 5.26 Community with the Graph Data Science plugin).</w:t>
      </w:r>
    </w:p>
    <w:p>
      <w:pPr>
        <w:pStyle w:val="ListBullet"/>
        <w:spacing w:after="40"/>
      </w:pPr>
      <w:r>
        <w:t>A FastAPI service (Python 3.11) is the single backend: transaction CRUD goes to Cassandra, account and ticket CRUD goes to Neo4j, and detection endpoints query Neo4j.</w:t>
      </w:r>
    </w:p>
    <w:p>
      <w:pPr>
        <w:pStyle w:val="ListBullet"/>
        <w:spacing w:after="40"/>
      </w:pPr>
      <w:r>
        <w:t>Cassandra is the system of record for transactions. Neo4j is a derived, relationship-oriented view built by the sync module.</w:t>
      </w:r>
    </w:p>
    <w:p>
      <w:pPr>
        <w:pStyle w:val="Heading1"/>
      </w:pPr>
      <w:r>
        <w:t>3. Data Modelling</w:t>
      </w:r>
    </w:p>
    <w:p>
      <w:pPr>
        <w:pStyle w:val="Heading2"/>
      </w:pPr>
      <w:r>
        <w:t>3.1 Cassandra: one table per query</w:t>
      </w:r>
    </w:p>
    <w:p>
      <w:pPr>
        <w:spacing w:after="120"/>
      </w:pPr>
      <w:r>
        <w:rPr>
          <w:b w:val="0"/>
          <w:i w:val="0"/>
        </w:rPr>
        <w:t>Review 1 proposed a single transactions table. Cassandra tables should be designed around the queries they serve, so this was refined into four tables with identical columns and different keys:</w:t>
      </w:r>
    </w:p>
    <w:tbl>
      <w:tblPr>
        <w:tblStyle w:val="TableGrid"/>
        <w:tblW w:type="auto" w:w="0"/>
        <w:jc w:val="center"/>
        <w:tblLook w:firstColumn="1" w:firstRow="1" w:lastColumn="0" w:lastRow="0" w:noHBand="0" w:noVBand="1" w:val="04A0"/>
      </w:tblPr>
      <w:tblGrid>
        <w:gridCol w:w="3137"/>
        <w:gridCol w:w="3137"/>
        <w:gridCol w:w="3137"/>
      </w:tblGrid>
      <w:tr>
        <w:tc>
          <w:tcPr>
            <w:tcW w:type="dxa" w:w="2608"/>
            <w:shd w:val="clear" w:color="auto" w:fill="DCE4F5"/>
          </w:tcPr>
          <w:p>
            <w:r/>
            <w:r>
              <w:rPr>
                <w:b/>
                <w:sz w:val="20"/>
              </w:rPr>
              <w:t>Table</w:t>
            </w:r>
          </w:p>
        </w:tc>
        <w:tc>
          <w:tcPr>
            <w:tcW w:type="dxa" w:w="3402"/>
            <w:shd w:val="clear" w:color="auto" w:fill="DCE4F5"/>
          </w:tcPr>
          <w:p>
            <w:r/>
            <w:r>
              <w:rPr>
                <w:b/>
                <w:sz w:val="20"/>
              </w:rPr>
              <w:t>Primary key</w:t>
            </w:r>
          </w:p>
        </w:tc>
        <w:tc>
          <w:tcPr>
            <w:tcW w:type="dxa" w:w="3288"/>
            <w:shd w:val="clear" w:color="auto" w:fill="DCE4F5"/>
          </w:tcPr>
          <w:p>
            <w:r/>
            <w:r>
              <w:rPr>
                <w:b/>
                <w:sz w:val="20"/>
              </w:rPr>
              <w:t>Query served</w:t>
            </w:r>
          </w:p>
        </w:tc>
      </w:tr>
      <w:tr>
        <w:tc>
          <w:tcPr>
            <w:tcW w:type="dxa" w:w="2608"/>
          </w:tcPr>
          <w:p>
            <w:r/>
            <w:r>
              <w:rPr>
                <w:sz w:val="20"/>
              </w:rPr>
              <w:t>transactions_by_id</w:t>
            </w:r>
          </w:p>
        </w:tc>
        <w:tc>
          <w:tcPr>
            <w:tcW w:type="dxa" w:w="3402"/>
          </w:tcPr>
          <w:p>
            <w:r/>
            <w:r>
              <w:rPr>
                <w:sz w:val="20"/>
              </w:rPr>
              <w:t>(transaction_id)</w:t>
            </w:r>
          </w:p>
        </w:tc>
        <w:tc>
          <w:tcPr>
            <w:tcW w:type="dxa" w:w="3288"/>
          </w:tcPr>
          <w:p>
            <w:r/>
            <w:r>
              <w:rPr>
                <w:sz w:val="20"/>
              </w:rPr>
              <w:t>Point lookup, update, delete</w:t>
            </w:r>
          </w:p>
        </w:tc>
      </w:tr>
      <w:tr>
        <w:tc>
          <w:tcPr>
            <w:tcW w:type="dxa" w:w="2608"/>
          </w:tcPr>
          <w:p>
            <w:r/>
            <w:r>
              <w:rPr>
                <w:sz w:val="20"/>
              </w:rPr>
              <w:t>transactions_by_buyer</w:t>
            </w:r>
          </w:p>
        </w:tc>
        <w:tc>
          <w:tcPr>
            <w:tcW w:type="dxa" w:w="3402"/>
          </w:tcPr>
          <w:p>
            <w:r/>
            <w:r>
              <w:rPr>
                <w:sz w:val="20"/>
              </w:rPr>
              <w:t>((buyer_id), ts DESC, transaction_id)</w:t>
            </w:r>
          </w:p>
        </w:tc>
        <w:tc>
          <w:tcPr>
            <w:tcW w:type="dxa" w:w="3288"/>
          </w:tcPr>
          <w:p>
            <w:r/>
            <w:r>
              <w:rPr>
                <w:sz w:val="20"/>
              </w:rPr>
              <w:t>An account's purchase history, newest first</w:t>
            </w:r>
          </w:p>
        </w:tc>
      </w:tr>
      <w:tr>
        <w:tc>
          <w:tcPr>
            <w:tcW w:type="dxa" w:w="2608"/>
          </w:tcPr>
          <w:p>
            <w:r/>
            <w:r>
              <w:rPr>
                <w:sz w:val="20"/>
              </w:rPr>
              <w:t>transactions_by_ticket</w:t>
            </w:r>
          </w:p>
        </w:tc>
        <w:tc>
          <w:tcPr>
            <w:tcW w:type="dxa" w:w="3402"/>
          </w:tcPr>
          <w:p>
            <w:r/>
            <w:r>
              <w:rPr>
                <w:sz w:val="20"/>
              </w:rPr>
              <w:t>((ticket_id), ts DESC, transaction_id)</w:t>
            </w:r>
          </w:p>
        </w:tc>
        <w:tc>
          <w:tcPr>
            <w:tcW w:type="dxa" w:w="3288"/>
          </w:tcPr>
          <w:p>
            <w:r/>
            <w:r>
              <w:rPr>
                <w:sz w:val="20"/>
              </w:rPr>
              <w:t>A ticket's ownership chain</w:t>
            </w:r>
          </w:p>
        </w:tc>
      </w:tr>
      <w:tr>
        <w:tc>
          <w:tcPr>
            <w:tcW w:type="dxa" w:w="2608"/>
          </w:tcPr>
          <w:p>
            <w:r/>
            <w:r>
              <w:rPr>
                <w:sz w:val="20"/>
              </w:rPr>
              <w:t>transactions_by_day</w:t>
            </w:r>
          </w:p>
        </w:tc>
        <w:tc>
          <w:tcPr>
            <w:tcW w:type="dxa" w:w="3402"/>
          </w:tcPr>
          <w:p>
            <w:r/>
            <w:r>
              <w:rPr>
                <w:sz w:val="20"/>
              </w:rPr>
              <w:t>((day), ts, transaction_id)</w:t>
            </w:r>
          </w:p>
        </w:tc>
        <w:tc>
          <w:tcPr>
            <w:tcW w:type="dxa" w:w="3288"/>
          </w:tcPr>
          <w:p>
            <w:r/>
            <w:r>
              <w:rPr>
                <w:sz w:val="20"/>
              </w:rPr>
              <w:t>Time-window scans; used by the sync module</w:t>
            </w:r>
          </w:p>
        </w:tc>
      </w:tr>
    </w:tbl>
    <w:p>
      <w:pPr>
        <w:spacing w:after="80"/>
      </w:pPr>
    </w:p>
    <w:p>
      <w:pPr>
        <w:pStyle w:val="ListBullet"/>
        <w:spacing w:after="40"/>
      </w:pPr>
      <w:r>
        <w:t>Partitioning: the day bucket keeps time-series partitions bounded, and buyer/ticket partitions are naturally small.</w:t>
      </w:r>
    </w:p>
    <w:p>
      <w:pPr>
        <w:pStyle w:val="ListBullet"/>
        <w:spacing w:after="40"/>
      </w:pPr>
      <w:r>
        <w:t>Clustering by timestamp gives ordered, range-friendly reads without sorting at query time.</w:t>
      </w:r>
    </w:p>
    <w:p>
      <w:pPr>
        <w:pStyle w:val="ListBullet"/>
        <w:spacing w:after="40"/>
      </w:pPr>
      <w:r>
        <w:t>Writes: single writes use a logged batch across the four tables for atomicity. The bulk loader uses concurrent asynchronous writes; each write is idempotent by primary key.</w:t>
      </w:r>
    </w:p>
    <w:p>
      <w:pPr>
        <w:pStyle w:val="Heading2"/>
      </w:pPr>
      <w:r>
        <w:t>3.2 Neo4j graph model</w:t>
      </w:r>
    </w:p>
    <w:tbl>
      <w:tblPr>
        <w:tblStyle w:val="TableGrid"/>
        <w:tblW w:type="auto" w:w="0"/>
        <w:jc w:val="center"/>
        <w:tblLook w:firstColumn="1" w:firstRow="1" w:lastColumn="0" w:lastRow="0" w:noHBand="0" w:noVBand="1" w:val="04A0"/>
      </w:tblPr>
      <w:tblGrid>
        <w:gridCol w:w="4706"/>
        <w:gridCol w:w="4706"/>
      </w:tblGrid>
      <w:tr>
        <w:tc>
          <w:tcPr>
            <w:tcW w:type="dxa" w:w="1928"/>
            <w:shd w:val="clear" w:color="auto" w:fill="DCE4F5"/>
          </w:tcPr>
          <w:p>
            <w:r/>
            <w:r>
              <w:rPr>
                <w:b/>
                <w:sz w:val="20"/>
              </w:rPr>
              <w:t>Element</w:t>
            </w:r>
          </w:p>
        </w:tc>
        <w:tc>
          <w:tcPr>
            <w:tcW w:type="dxa" w:w="7370"/>
            <w:shd w:val="clear" w:color="auto" w:fill="DCE4F5"/>
          </w:tcPr>
          <w:p>
            <w:r/>
            <w:r>
              <w:rPr>
                <w:b/>
                <w:sz w:val="20"/>
              </w:rPr>
              <w:t>Definition</w:t>
            </w:r>
          </w:p>
        </w:tc>
      </w:tr>
      <w:tr>
        <w:tc>
          <w:tcPr>
            <w:tcW w:type="dxa" w:w="1928"/>
          </w:tcPr>
          <w:p>
            <w:r/>
            <w:r>
              <w:rPr>
                <w:sz w:val="20"/>
              </w:rPr>
              <w:t>Nodes</w:t>
            </w:r>
          </w:p>
        </w:tc>
        <w:tc>
          <w:tcPr>
            <w:tcW w:type="dxa" w:w="7370"/>
          </w:tcPr>
          <w:p>
            <w:r/>
            <w:r>
              <w:rPr>
                <w:sz w:val="20"/>
              </w:rPr>
              <w:t>Account, Ticket, Event, Transaction (SyncState holds the sync watermark)</w:t>
            </w:r>
          </w:p>
        </w:tc>
      </w:tr>
      <w:tr>
        <w:tc>
          <w:tcPr>
            <w:tcW w:type="dxa" w:w="1928"/>
          </w:tcPr>
          <w:p>
            <w:r/>
            <w:r>
              <w:rPr>
                <w:sz w:val="20"/>
              </w:rPr>
              <w:t>Relationships</w:t>
            </w:r>
          </w:p>
        </w:tc>
        <w:tc>
          <w:tcPr>
            <w:tcW w:type="dxa" w:w="7370"/>
          </w:tcPr>
          <w:p>
            <w:r/>
            <w:r>
              <w:rPr>
                <w:sz w:val="20"/>
              </w:rPr>
              <w:t>PURCHASED, SOLD, TRANSFERRED_TO {ticket_id, tx_id, ts, price}, INVOLVES, MADE_BY, BELONGS_TO</w:t>
            </w:r>
          </w:p>
        </w:tc>
      </w:tr>
      <w:tr>
        <w:tc>
          <w:tcPr>
            <w:tcW w:type="dxa" w:w="1928"/>
          </w:tcPr>
          <w:p>
            <w:r/>
            <w:r>
              <w:rPr>
                <w:sz w:val="20"/>
              </w:rPr>
              <w:t>Constraints</w:t>
            </w:r>
          </w:p>
        </w:tc>
        <w:tc>
          <w:tcPr>
            <w:tcW w:type="dxa" w:w="7370"/>
          </w:tcPr>
          <w:p>
            <w:r/>
            <w:r>
              <w:rPr>
                <w:sz w:val="20"/>
              </w:rPr>
              <w:t>Unique account_id, ticket_id, event_id, transaction_id</w:t>
            </w:r>
          </w:p>
        </w:tc>
      </w:tr>
      <w:tr>
        <w:tc>
          <w:tcPr>
            <w:tcW w:type="dxa" w:w="1928"/>
          </w:tcPr>
          <w:p>
            <w:r/>
            <w:r>
              <w:rPr>
                <w:sz w:val="20"/>
              </w:rPr>
              <w:t>Indexes</w:t>
            </w:r>
          </w:p>
        </w:tc>
        <w:tc>
          <w:tcPr>
            <w:tcW w:type="dxa" w:w="7370"/>
          </w:tcPr>
          <w:p>
            <w:r/>
            <w:r>
              <w:rPr>
                <w:sz w:val="20"/>
              </w:rPr>
              <w:t>Transaction.ts, Transaction.fraud_pattern, TRANSFERRED_TO.ticket_id</w:t>
            </w:r>
          </w:p>
        </w:tc>
      </w:tr>
    </w:tbl>
    <w:p>
      <w:pPr>
        <w:spacing w:after="80"/>
      </w:pPr>
    </w:p>
    <w:p>
      <w:pPr>
        <w:spacing w:after="120"/>
      </w:pPr>
      <w:r>
        <w:rPr>
          <w:b w:val="0"/>
          <w:i w:val="0"/>
        </w:rPr>
        <w:t>TRANSFERRED_TO carries the ticket id so that a ticket's movement between accounts can be followed directly, which is what makes the circular-resale query cheap.</w:t>
      </w:r>
    </w:p>
    <w:p>
      <w:pPr>
        <w:pStyle w:val="Heading1"/>
      </w:pPr>
      <w:r>
        <w:t>4. Implementation</w:t>
      </w:r>
    </w:p>
    <w:p>
      <w:pPr>
        <w:pStyle w:val="Heading2"/>
      </w:pPr>
      <w:r>
        <w:t>4.1 Synthetic dataset</w:t>
      </w:r>
    </w:p>
    <w:p>
      <w:pPr>
        <w:spacing w:after="120"/>
      </w:pPr>
      <w:r>
        <w:rPr>
          <w:b w:val="0"/>
          <w:i w:val="0"/>
        </w:rPr>
        <w:t>The generator produces 50,000 transactions over 30 days: 47,538 normal (primary purchases, honest resales close to face value, gifts) and 2,462 fraudulent, labelled with a fraud_pattern column. A ground-truth file records the injected entities for evaluation.</w:t>
      </w:r>
    </w:p>
    <w:tbl>
      <w:tblPr>
        <w:tblStyle w:val="TableGrid"/>
        <w:tblW w:type="auto" w:w="0"/>
        <w:jc w:val="center"/>
        <w:tblLook w:firstColumn="1" w:firstRow="1" w:lastColumn="0" w:lastRow="0" w:noHBand="0" w:noVBand="1" w:val="04A0"/>
      </w:tblPr>
      <w:tblGrid>
        <w:gridCol w:w="3137"/>
        <w:gridCol w:w="3137"/>
        <w:gridCol w:w="3137"/>
      </w:tblGrid>
      <w:tr>
        <w:tc>
          <w:tcPr>
            <w:tcW w:type="dxa" w:w="2154"/>
            <w:shd w:val="clear" w:color="auto" w:fill="DCE4F5"/>
          </w:tcPr>
          <w:p>
            <w:r/>
            <w:r>
              <w:rPr>
                <w:b/>
                <w:sz w:val="20"/>
              </w:rPr>
              <w:t>Injected pattern</w:t>
            </w:r>
          </w:p>
        </w:tc>
        <w:tc>
          <w:tcPr>
            <w:tcW w:type="dxa" w:w="5556"/>
            <w:shd w:val="clear" w:color="auto" w:fill="DCE4F5"/>
          </w:tcPr>
          <w:p>
            <w:r/>
            <w:r>
              <w:rPr>
                <w:b/>
                <w:sz w:val="20"/>
              </w:rPr>
              <w:t>Description</w:t>
            </w:r>
          </w:p>
        </w:tc>
        <w:tc>
          <w:tcPr>
            <w:tcW w:type="dxa" w:w="1587"/>
            <w:shd w:val="clear" w:color="auto" w:fill="DCE4F5"/>
          </w:tcPr>
          <w:p>
            <w:r/>
            <w:r>
              <w:rPr>
                <w:b/>
                <w:sz w:val="20"/>
              </w:rPr>
              <w:t>Count</w:t>
            </w:r>
          </w:p>
        </w:tc>
      </w:tr>
      <w:tr>
        <w:tc>
          <w:tcPr>
            <w:tcW w:type="dxa" w:w="2154"/>
          </w:tcPr>
          <w:p>
            <w:r/>
            <w:r>
              <w:rPr>
                <w:sz w:val="20"/>
              </w:rPr>
              <w:t>circular_resale</w:t>
            </w:r>
          </w:p>
        </w:tc>
        <w:tc>
          <w:tcPr>
            <w:tcW w:type="dxa" w:w="5556"/>
          </w:tcPr>
          <w:p>
            <w:r/>
            <w:r>
              <w:rPr>
                <w:sz w:val="20"/>
              </w:rPr>
              <w:t>Ticket passed around a ring of 3-5 accounts and back to the start</w:t>
            </w:r>
          </w:p>
        </w:tc>
        <w:tc>
          <w:tcPr>
            <w:tcW w:type="dxa" w:w="1587"/>
          </w:tcPr>
          <w:p>
            <w:r/>
            <w:r>
              <w:rPr>
                <w:sz w:val="20"/>
              </w:rPr>
              <w:t>25 rings</w:t>
            </w:r>
          </w:p>
        </w:tc>
      </w:tr>
      <w:tr>
        <w:tc>
          <w:tcPr>
            <w:tcW w:type="dxa" w:w="2154"/>
          </w:tcPr>
          <w:p>
            <w:r/>
            <w:r>
              <w:rPr>
                <w:sz w:val="20"/>
              </w:rPr>
              <w:t>bot_ring</w:t>
            </w:r>
          </w:p>
        </w:tc>
        <w:tc>
          <w:tcPr>
            <w:tcW w:type="dxa" w:w="5556"/>
          </w:tcPr>
          <w:p>
            <w:r/>
            <w:r>
              <w:rPr>
                <w:sz w:val="20"/>
              </w:rPr>
              <w:t>10 bot accounts buy one event within two minutes, funnel tickets to a collector</w:t>
            </w:r>
          </w:p>
        </w:tc>
        <w:tc>
          <w:tcPr>
            <w:tcW w:type="dxa" w:w="1587"/>
          </w:tcPr>
          <w:p>
            <w:r/>
            <w:r>
              <w:rPr>
                <w:sz w:val="20"/>
              </w:rPr>
              <w:t>6 rings</w:t>
            </w:r>
          </w:p>
        </w:tc>
      </w:tr>
      <w:tr>
        <w:tc>
          <w:tcPr>
            <w:tcW w:type="dxa" w:w="2154"/>
          </w:tcPr>
          <w:p>
            <w:r/>
            <w:r>
              <w:rPr>
                <w:sz w:val="20"/>
              </w:rPr>
              <w:t>hub_account</w:t>
            </w:r>
          </w:p>
        </w:tc>
        <w:tc>
          <w:tcPr>
            <w:tcW w:type="dxa" w:w="5556"/>
          </w:tcPr>
          <w:p>
            <w:r/>
            <w:r>
              <w:rPr>
                <w:sz w:val="20"/>
              </w:rPr>
              <w:t>Account trading with 40-80 distinct counterparties</w:t>
            </w:r>
          </w:p>
        </w:tc>
        <w:tc>
          <w:tcPr>
            <w:tcW w:type="dxa" w:w="1587"/>
          </w:tcPr>
          <w:p>
            <w:r/>
            <w:r>
              <w:rPr>
                <w:sz w:val="20"/>
              </w:rPr>
              <w:t>5 accounts</w:t>
            </w:r>
          </w:p>
        </w:tc>
      </w:tr>
      <w:tr>
        <w:tc>
          <w:tcPr>
            <w:tcW w:type="dxa" w:w="2154"/>
          </w:tcPr>
          <w:p>
            <w:r/>
            <w:r>
              <w:rPr>
                <w:sz w:val="20"/>
              </w:rPr>
              <w:t>price_manipulation</w:t>
            </w:r>
          </w:p>
        </w:tc>
        <w:tc>
          <w:tcPr>
            <w:tcW w:type="dxa" w:w="5556"/>
          </w:tcPr>
          <w:p>
            <w:r/>
            <w:r>
              <w:rPr>
                <w:sz w:val="20"/>
              </w:rPr>
              <w:t>Resale at 3-8x face price</w:t>
            </w:r>
          </w:p>
        </w:tc>
        <w:tc>
          <w:tcPr>
            <w:tcW w:type="dxa" w:w="1587"/>
          </w:tcPr>
          <w:p>
            <w:r/>
            <w:r>
              <w:rPr>
                <w:sz w:val="20"/>
              </w:rPr>
              <w:t>150 tickets</w:t>
            </w:r>
          </w:p>
        </w:tc>
      </w:tr>
    </w:tbl>
    <w:p>
      <w:pPr>
        <w:spacing w:after="80"/>
      </w:pPr>
    </w:p>
    <w:p>
      <w:pPr>
        <w:pStyle w:val="Heading2"/>
      </w:pPr>
      <w:r>
        <w:t>4.2 CRUD operations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041"/>
            <w:shd w:val="clear" w:color="auto" w:fill="DCE4F5"/>
          </w:tcPr>
          <w:p>
            <w:r/>
            <w:r>
              <w:rPr>
                <w:b/>
                <w:sz w:val="20"/>
              </w:rPr>
              <w:t>Entity (store)</w:t>
            </w:r>
          </w:p>
        </w:tc>
        <w:tc>
          <w:tcPr>
            <w:tcW w:type="dxa" w:w="1587"/>
            <w:shd w:val="clear" w:color="auto" w:fill="DCE4F5"/>
          </w:tcPr>
          <w:p>
            <w:r/>
            <w:r>
              <w:rPr>
                <w:b/>
                <w:sz w:val="20"/>
              </w:rPr>
              <w:t>Create</w:t>
            </w:r>
          </w:p>
        </w:tc>
        <w:tc>
          <w:tcPr>
            <w:tcW w:type="dxa" w:w="2494"/>
            <w:shd w:val="clear" w:color="auto" w:fill="DCE4F5"/>
          </w:tcPr>
          <w:p>
            <w:r/>
            <w:r>
              <w:rPr>
                <w:b/>
                <w:sz w:val="20"/>
              </w:rPr>
              <w:t>Retrieve</w:t>
            </w:r>
          </w:p>
        </w:tc>
        <w:tc>
          <w:tcPr>
            <w:tcW w:type="dxa" w:w="1587"/>
            <w:shd w:val="clear" w:color="auto" w:fill="DCE4F5"/>
          </w:tcPr>
          <w:p>
            <w:r/>
            <w:r>
              <w:rPr>
                <w:b/>
                <w:sz w:val="20"/>
              </w:rPr>
              <w:t>Update</w:t>
            </w:r>
          </w:p>
        </w:tc>
        <w:tc>
          <w:tcPr>
            <w:tcW w:type="dxa" w:w="1587"/>
            <w:shd w:val="clear" w:color="auto" w:fill="DCE4F5"/>
          </w:tcPr>
          <w:p>
            <w:r/>
            <w:r>
              <w:rPr>
                <w:b/>
                <w:sz w:val="20"/>
              </w:rPr>
              <w:t>Delete</w:t>
            </w:r>
          </w:p>
        </w:tc>
      </w:tr>
      <w:tr>
        <w:tc>
          <w:tcPr>
            <w:tcW w:type="dxa" w:w="2041"/>
          </w:tcPr>
          <w:p>
            <w:r/>
            <w:r>
              <w:rPr>
                <w:sz w:val="20"/>
              </w:rPr>
              <w:t>Transaction (Cassandra)</w:t>
            </w:r>
          </w:p>
        </w:tc>
        <w:tc>
          <w:tcPr>
            <w:tcW w:type="dxa" w:w="1587"/>
          </w:tcPr>
          <w:p>
            <w:r/>
            <w:r>
              <w:rPr>
                <w:sz w:val="20"/>
              </w:rPr>
              <w:t>POST /transactions</w:t>
            </w:r>
          </w:p>
        </w:tc>
        <w:tc>
          <w:tcPr>
            <w:tcW w:type="dxa" w:w="2494"/>
          </w:tcPr>
          <w:p>
            <w:r/>
            <w:r>
              <w:rPr>
                <w:sz w:val="20"/>
              </w:rPr>
              <w:t>GET /transactions/{id}; by buyer, ticket or day</w:t>
            </w:r>
          </w:p>
        </w:tc>
        <w:tc>
          <w:tcPr>
            <w:tcW w:type="dxa" w:w="1587"/>
          </w:tcPr>
          <w:p>
            <w:r/>
            <w:r>
              <w:rPr>
                <w:sz w:val="20"/>
              </w:rPr>
              <w:t>PUT /transactions/{id}</w:t>
            </w:r>
          </w:p>
        </w:tc>
        <w:tc>
          <w:tcPr>
            <w:tcW w:type="dxa" w:w="1587"/>
          </w:tcPr>
          <w:p>
            <w:r/>
            <w:r>
              <w:rPr>
                <w:sz w:val="20"/>
              </w:rPr>
              <w:t>DELETE /transactions/{id}</w:t>
            </w:r>
          </w:p>
        </w:tc>
      </w:tr>
      <w:tr>
        <w:tc>
          <w:tcPr>
            <w:tcW w:type="dxa" w:w="2041"/>
          </w:tcPr>
          <w:p>
            <w:r/>
            <w:r>
              <w:rPr>
                <w:sz w:val="20"/>
              </w:rPr>
              <w:t>Account (Neo4j)</w:t>
            </w:r>
          </w:p>
        </w:tc>
        <w:tc>
          <w:tcPr>
            <w:tcW w:type="dxa" w:w="1587"/>
          </w:tcPr>
          <w:p>
            <w:r/>
            <w:r>
              <w:rPr>
                <w:sz w:val="20"/>
              </w:rPr>
              <w:t>POST /accounts</w:t>
            </w:r>
          </w:p>
        </w:tc>
        <w:tc>
          <w:tcPr>
            <w:tcW w:type="dxa" w:w="2494"/>
          </w:tcPr>
          <w:p>
            <w:r/>
            <w:r>
              <w:rPr>
                <w:sz w:val="20"/>
              </w:rPr>
              <w:t>GET /accounts, /accounts/{id}</w:t>
            </w:r>
          </w:p>
        </w:tc>
        <w:tc>
          <w:tcPr>
            <w:tcW w:type="dxa" w:w="1587"/>
          </w:tcPr>
          <w:p>
            <w:r/>
            <w:r>
              <w:rPr>
                <w:sz w:val="20"/>
              </w:rPr>
              <w:t>PUT /accounts/{id}</w:t>
            </w:r>
          </w:p>
        </w:tc>
        <w:tc>
          <w:tcPr>
            <w:tcW w:type="dxa" w:w="1587"/>
          </w:tcPr>
          <w:p>
            <w:r/>
            <w:r>
              <w:rPr>
                <w:sz w:val="20"/>
              </w:rPr>
              <w:t>DELETE /accounts/{id}</w:t>
            </w:r>
          </w:p>
        </w:tc>
      </w:tr>
      <w:tr>
        <w:tc>
          <w:tcPr>
            <w:tcW w:type="dxa" w:w="2041"/>
          </w:tcPr>
          <w:p>
            <w:r/>
            <w:r>
              <w:rPr>
                <w:sz w:val="20"/>
              </w:rPr>
              <w:t>Ticket (Neo4j)</w:t>
            </w:r>
          </w:p>
        </w:tc>
        <w:tc>
          <w:tcPr>
            <w:tcW w:type="dxa" w:w="1587"/>
          </w:tcPr>
          <w:p>
            <w:r/>
            <w:r>
              <w:rPr>
                <w:sz w:val="20"/>
              </w:rPr>
              <w:t>via sync</w:t>
            </w:r>
          </w:p>
        </w:tc>
        <w:tc>
          <w:tcPr>
            <w:tcW w:type="dxa" w:w="2494"/>
          </w:tcPr>
          <w:p>
            <w:r/>
            <w:r>
              <w:rPr>
                <w:sz w:val="20"/>
              </w:rPr>
              <w:t>GET /tickets/{id}/history</w:t>
            </w:r>
          </w:p>
        </w:tc>
        <w:tc>
          <w:tcPr>
            <w:tcW w:type="dxa" w:w="1587"/>
          </w:tcPr>
          <w:p>
            <w:r/>
            <w:r>
              <w:rPr>
                <w:sz w:val="20"/>
              </w:rPr>
              <w:t>via sync</w:t>
            </w:r>
          </w:p>
        </w:tc>
        <w:tc>
          <w:tcPr>
            <w:tcW w:type="dxa" w:w="1587"/>
          </w:tcPr>
          <w:p>
            <w:r/>
            <w:r>
              <w:rPr>
                <w:sz w:val="20"/>
              </w:rPr>
              <w:t>via transaction delete</w:t>
            </w:r>
          </w:p>
        </w:tc>
      </w:tr>
    </w:tbl>
    <w:p>
      <w:pPr>
        <w:spacing w:after="80"/>
      </w:pPr>
    </w:p>
    <w:p>
      <w:pPr>
        <w:spacing w:after="120"/>
      </w:pPr>
      <w:r>
        <w:rPr>
          <w:b w:val="0"/>
          <w:i w:val="0"/>
        </w:rPr>
        <w:t>Updating or deleting a transaction updates all four Cassandra tables and the graph, so the two databases stay consistent. Request bodies are validated (transaction type, non-negative prices).</w:t>
      </w:r>
    </w:p>
    <w:p>
      <w:pPr>
        <w:pStyle w:val="Heading2"/>
      </w:pPr>
      <w:r>
        <w:t>4.3 Synchronisation</w:t>
      </w:r>
    </w:p>
    <w:p>
      <w:pPr>
        <w:spacing w:after="120"/>
      </w:pPr>
      <w:r>
        <w:rPr>
          <w:b w:val="0"/>
          <w:i w:val="0"/>
        </w:rPr>
        <w:t>The sync module reads Cassandra day partitions from the stored watermark onwards and upserts them into Neo4j with MERGE, in batches of 2,000. It is idempotent: a second run reports zero new records. A full re-sync is available with full=true.</w:t>
      </w:r>
    </w:p>
    <w:p>
      <w:pPr>
        <w:pStyle w:val="Heading2"/>
      </w:pPr>
      <w:r>
        <w:t>4.4 Fraud detection</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DCE4F5"/>
          </w:tcPr>
          <w:p>
            <w:r/>
            <w:r>
              <w:rPr>
                <w:b/>
                <w:sz w:val="20"/>
              </w:rPr>
              <w:t>Pattern</w:t>
            </w:r>
          </w:p>
        </w:tc>
        <w:tc>
          <w:tcPr>
            <w:tcW w:type="dxa" w:w="4082"/>
            <w:shd w:val="clear" w:color="auto" w:fill="DCE4F5"/>
          </w:tcPr>
          <w:p>
            <w:r/>
            <w:r>
              <w:rPr>
                <w:b/>
                <w:sz w:val="20"/>
              </w:rPr>
              <w:t>Method</w:t>
            </w:r>
          </w:p>
        </w:tc>
        <w:tc>
          <w:tcPr>
            <w:tcW w:type="dxa" w:w="3402"/>
            <w:shd w:val="clear" w:color="auto" w:fill="DCE4F5"/>
          </w:tcPr>
          <w:p>
            <w:r/>
            <w:r>
              <w:rPr>
                <w:b/>
                <w:sz w:val="20"/>
              </w:rPr>
              <w:t>Explanation produced</w:t>
            </w:r>
          </w:p>
        </w:tc>
      </w:tr>
      <w:tr>
        <w:tc>
          <w:tcPr>
            <w:tcW w:type="dxa" w:w="1814"/>
          </w:tcPr>
          <w:p>
            <w:r/>
            <w:r>
              <w:rPr>
                <w:sz w:val="20"/>
              </w:rPr>
              <w:t>Circular resale</w:t>
            </w:r>
          </w:p>
        </w:tc>
        <w:tc>
          <w:tcPr>
            <w:tcW w:type="dxa" w:w="4082"/>
          </w:tcPr>
          <w:p>
            <w:r/>
            <w:r>
              <w:rPr>
                <w:sz w:val="20"/>
              </w:rPr>
              <w:t>Cypher variable-length path over TRANSFERRED_TO restricted to one ticket, returning to the start</w:t>
            </w:r>
          </w:p>
        </w:tc>
        <w:tc>
          <w:tcPr>
            <w:tcW w:type="dxa" w:w="3402"/>
          </w:tcPr>
          <w:p>
            <w:r/>
            <w:r>
              <w:rPr>
                <w:sz w:val="20"/>
              </w:rPr>
              <w:t>Ticket looped through N accounts and returned to its origin</w:t>
            </w:r>
          </w:p>
        </w:tc>
      </w:tr>
      <w:tr>
        <w:tc>
          <w:tcPr>
            <w:tcW w:type="dxa" w:w="1814"/>
          </w:tcPr>
          <w:p>
            <w:r/>
            <w:r>
              <w:rPr>
                <w:sz w:val="20"/>
              </w:rPr>
              <w:t>Bot ring</w:t>
            </w:r>
          </w:p>
        </w:tc>
        <w:tc>
          <w:tcPr>
            <w:tcW w:type="dxa" w:w="4082"/>
          </w:tcPr>
          <w:p>
            <w:r/>
            <w:r>
              <w:rPr>
                <w:sz w:val="20"/>
              </w:rPr>
              <w:t>Louvain community detection (Neo4j GDS) + internal density + rapid-purchase evidence</w:t>
            </w:r>
          </w:p>
        </w:tc>
        <w:tc>
          <w:tcPr>
            <w:tcW w:type="dxa" w:w="3402"/>
          </w:tcPr>
          <w:p>
            <w:r/>
            <w:r>
              <w:rPr>
                <w:sz w:val="20"/>
              </w:rPr>
              <w:t>Group size, links per member, number of rapid buyers</w:t>
            </w:r>
          </w:p>
        </w:tc>
      </w:tr>
      <w:tr>
        <w:tc>
          <w:tcPr>
            <w:tcW w:type="dxa" w:w="1814"/>
          </w:tcPr>
          <w:p>
            <w:r/>
            <w:r>
              <w:rPr>
                <w:sz w:val="20"/>
              </w:rPr>
              <w:t>Hub account</w:t>
            </w:r>
          </w:p>
        </w:tc>
        <w:tc>
          <w:tcPr>
            <w:tcW w:type="dxa" w:w="4082"/>
          </w:tcPr>
          <w:p>
            <w:r/>
            <w:r>
              <w:rPr>
                <w:sz w:val="20"/>
              </w:rPr>
              <w:t>Distinct-counterparty degree z-score, plus PageRank</w:t>
            </w:r>
          </w:p>
        </w:tc>
        <w:tc>
          <w:tcPr>
            <w:tcW w:type="dxa" w:w="3402"/>
          </w:tcPr>
          <w:p>
            <w:r/>
            <w:r>
              <w:rPr>
                <w:sz w:val="20"/>
              </w:rPr>
              <w:t>Degree versus network mean and z-score</w:t>
            </w:r>
          </w:p>
        </w:tc>
      </w:tr>
      <w:tr>
        <w:tc>
          <w:tcPr>
            <w:tcW w:type="dxa" w:w="1814"/>
          </w:tcPr>
          <w:p>
            <w:r/>
            <w:r>
              <w:rPr>
                <w:sz w:val="20"/>
              </w:rPr>
              <w:t>Price manipulation</w:t>
            </w:r>
          </w:p>
        </w:tc>
        <w:tc>
          <w:tcPr>
            <w:tcW w:type="dxa" w:w="4082"/>
          </w:tcPr>
          <w:p>
            <w:r/>
            <w:r>
              <w:rPr>
                <w:sz w:val="20"/>
              </w:rPr>
              <w:t>Resale price &gt;= 2x face price</w:t>
            </w:r>
          </w:p>
        </w:tc>
        <w:tc>
          <w:tcPr>
            <w:tcW w:type="dxa" w:w="3402"/>
          </w:tcPr>
          <w:p>
            <w:r/>
            <w:r>
              <w:rPr>
                <w:sz w:val="20"/>
              </w:rPr>
              <w:t>Ratio and prices</w:t>
            </w:r>
          </w:p>
        </w:tc>
      </w:tr>
    </w:tbl>
    <w:p>
      <w:pPr>
        <w:spacing w:after="80"/>
      </w:pPr>
    </w:p>
    <w:p>
      <w:pPr>
        <w:pStyle w:val="Heading2"/>
      </w:pPr>
      <w:r>
        <w:t>4.5 Backend API and visualisation</w:t>
      </w:r>
    </w:p>
    <w:p>
      <w:pPr>
        <w:spacing w:after="120"/>
      </w:pPr>
      <w:r>
        <w:rPr>
          <w:b w:val="0"/>
          <w:i w:val="0"/>
        </w:rPr>
        <w:t>The FastAPI service exposes 20 endpoints with automatic Swagger documentation at /docs (full list in the API documentation). A browser console at / shows summary counts, a colour-coded graph of detected rings, and a table of reasons.</w:t>
      </w:r>
    </w:p>
    <w:p>
      <w:pPr>
        <w:spacing w:after="120"/>
        <w:jc w:val="center"/>
      </w:pPr>
      <w:r>
        <w:rPr>
          <w:b w:val="0"/>
          <w:i/>
        </w:rPr>
        <w:t>[Insert screenshot of the fraud console here]</w:t>
      </w:r>
    </w:p>
    <w:p>
      <w:pPr>
        <w:pStyle w:val="Heading1"/>
      </w:pPr>
      <w:r>
        <w:t>5. Results</w:t>
      </w:r>
    </w:p>
    <w:p>
      <w:pPr>
        <w:pStyle w:val="Heading2"/>
      </w:pPr>
      <w:r>
        <w:t>5.1 Data volumes</w:t>
      </w:r>
    </w:p>
    <w:tbl>
      <w:tblPr>
        <w:tblStyle w:val="TableGrid"/>
        <w:tblW w:type="auto" w:w="0"/>
        <w:jc w:val="center"/>
        <w:tblLook w:firstColumn="1" w:firstRow="1" w:lastColumn="0" w:lastRow="0" w:noHBand="0" w:noVBand="1" w:val="04A0"/>
      </w:tblPr>
      <w:tblGrid>
        <w:gridCol w:w="4706"/>
        <w:gridCol w:w="4706"/>
      </w:tblGrid>
      <w:tr>
        <w:tc>
          <w:tcPr>
            <w:tcW w:type="dxa" w:w="1928"/>
            <w:shd w:val="clear" w:color="auto" w:fill="DCE4F5"/>
          </w:tcPr>
          <w:p>
            <w:r/>
            <w:r>
              <w:rPr>
                <w:b/>
                <w:sz w:val="20"/>
              </w:rPr>
              <w:t>Store</w:t>
            </w:r>
          </w:p>
        </w:tc>
        <w:tc>
          <w:tcPr>
            <w:tcW w:type="dxa" w:w="7370"/>
            <w:shd w:val="clear" w:color="auto" w:fill="DCE4F5"/>
          </w:tcPr>
          <w:p>
            <w:r/>
            <w:r>
              <w:rPr>
                <w:b/>
                <w:sz w:val="20"/>
              </w:rPr>
              <w:t>Contents</w:t>
            </w:r>
          </w:p>
        </w:tc>
      </w:tr>
      <w:tr>
        <w:tc>
          <w:tcPr>
            <w:tcW w:type="dxa" w:w="1928"/>
          </w:tcPr>
          <w:p>
            <w:r/>
            <w:r>
              <w:rPr>
                <w:sz w:val="20"/>
              </w:rPr>
              <w:t>Cassandra</w:t>
            </w:r>
          </w:p>
        </w:tc>
        <w:tc>
          <w:tcPr>
            <w:tcW w:type="dxa" w:w="7370"/>
          </w:tcPr>
          <w:p>
            <w:r/>
            <w:r>
              <w:rPr>
                <w:sz w:val="20"/>
              </w:rPr>
              <w:t>50,000 transactions in each of 4 tables (200,000 rows)</w:t>
            </w:r>
          </w:p>
        </w:tc>
      </w:tr>
      <w:tr>
        <w:tc>
          <w:tcPr>
            <w:tcW w:type="dxa" w:w="1928"/>
          </w:tcPr>
          <w:p>
            <w:r/>
            <w:r>
              <w:rPr>
                <w:sz w:val="20"/>
              </w:rPr>
              <w:t>Neo4j</w:t>
            </w:r>
          </w:p>
        </w:tc>
        <w:tc>
          <w:tcPr>
            <w:tcW w:type="dxa" w:w="7370"/>
          </w:tcPr>
          <w:p>
            <w:r/>
            <w:r>
              <w:rPr>
                <w:sz w:val="20"/>
              </w:rPr>
              <w:t>8,484 accounts, 46,132 tickets, 62 events, 50,000 transactions, 249,937 relationships (3,870 TRANSFERRED_TO)</w:t>
            </w:r>
          </w:p>
        </w:tc>
      </w:tr>
    </w:tbl>
    <w:p>
      <w:pPr>
        <w:spacing w:after="80"/>
      </w:pPr>
    </w:p>
    <w:p>
      <w:pPr>
        <w:pStyle w:val="Heading2"/>
      </w:pPr>
      <w:r>
        <w:t>5.2 Detection accuracy against ground truth</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3061"/>
            <w:shd w:val="clear" w:color="auto" w:fill="DCE4F5"/>
          </w:tcPr>
          <w:p>
            <w:r/>
            <w:r>
              <w:rPr>
                <w:b/>
                <w:sz w:val="20"/>
              </w:rPr>
              <w:t>Pattern</w:t>
            </w:r>
          </w:p>
        </w:tc>
        <w:tc>
          <w:tcPr>
            <w:tcW w:type="dxa" w:w="1134"/>
            <w:shd w:val="clear" w:color="auto" w:fill="DCE4F5"/>
          </w:tcPr>
          <w:p>
            <w:r/>
            <w:r>
              <w:rPr>
                <w:b/>
                <w:sz w:val="20"/>
              </w:rPr>
              <w:t>Injected</w:t>
            </w:r>
          </w:p>
        </w:tc>
        <w:tc>
          <w:tcPr>
            <w:tcW w:type="dxa" w:w="1020"/>
            <w:shd w:val="clear" w:color="auto" w:fill="DCE4F5"/>
          </w:tcPr>
          <w:p>
            <w:r/>
            <w:r>
              <w:rPr>
                <w:b/>
                <w:sz w:val="20"/>
              </w:rPr>
              <w:t>Found</w:t>
            </w:r>
          </w:p>
        </w:tc>
        <w:tc>
          <w:tcPr>
            <w:tcW w:type="dxa" w:w="1304"/>
            <w:shd w:val="clear" w:color="auto" w:fill="DCE4F5"/>
          </w:tcPr>
          <w:p>
            <w:r/>
            <w:r>
              <w:rPr>
                <w:b/>
                <w:sz w:val="20"/>
              </w:rPr>
              <w:t>Precision</w:t>
            </w:r>
          </w:p>
        </w:tc>
        <w:tc>
          <w:tcPr>
            <w:tcW w:type="dxa" w:w="1134"/>
            <w:shd w:val="clear" w:color="auto" w:fill="DCE4F5"/>
          </w:tcPr>
          <w:p>
            <w:r/>
            <w:r>
              <w:rPr>
                <w:b/>
                <w:sz w:val="20"/>
              </w:rPr>
              <w:t>Recall</w:t>
            </w:r>
          </w:p>
        </w:tc>
        <w:tc>
          <w:tcPr>
            <w:tcW w:type="dxa" w:w="1644"/>
            <w:shd w:val="clear" w:color="auto" w:fill="DCE4F5"/>
          </w:tcPr>
          <w:p>
            <w:r/>
            <w:r>
              <w:rPr>
                <w:b/>
                <w:sz w:val="20"/>
              </w:rPr>
              <w:t>Query time</w:t>
            </w:r>
          </w:p>
        </w:tc>
      </w:tr>
      <w:tr>
        <w:tc>
          <w:tcPr>
            <w:tcW w:type="dxa" w:w="3061"/>
          </w:tcPr>
          <w:p>
            <w:r/>
            <w:r>
              <w:rPr>
                <w:sz w:val="20"/>
              </w:rPr>
              <w:t>Circular resale (accounts)</w:t>
            </w:r>
          </w:p>
        </w:tc>
        <w:tc>
          <w:tcPr>
            <w:tcW w:type="dxa" w:w="1134"/>
          </w:tcPr>
          <w:p>
            <w:r/>
            <w:r>
              <w:rPr>
                <w:sz w:val="20"/>
              </w:rPr>
              <w:t>98</w:t>
            </w:r>
          </w:p>
        </w:tc>
        <w:tc>
          <w:tcPr>
            <w:tcW w:type="dxa" w:w="1020"/>
          </w:tcPr>
          <w:p>
            <w:r/>
            <w:r>
              <w:rPr>
                <w:sz w:val="20"/>
              </w:rPr>
              <w:t>98</w:t>
            </w:r>
          </w:p>
        </w:tc>
        <w:tc>
          <w:tcPr>
            <w:tcW w:type="dxa" w:w="1304"/>
          </w:tcPr>
          <w:p>
            <w:r/>
            <w:r>
              <w:rPr>
                <w:sz w:val="20"/>
              </w:rPr>
              <w:t>1.0</w:t>
            </w:r>
          </w:p>
        </w:tc>
        <w:tc>
          <w:tcPr>
            <w:tcW w:type="dxa" w:w="1134"/>
          </w:tcPr>
          <w:p>
            <w:r/>
            <w:r>
              <w:rPr>
                <w:sz w:val="20"/>
              </w:rPr>
              <w:t>1.0</w:t>
            </w:r>
          </w:p>
        </w:tc>
        <w:tc>
          <w:tcPr>
            <w:tcW w:type="dxa" w:w="1644"/>
          </w:tcPr>
          <w:p>
            <w:r/>
            <w:r>
              <w:rPr>
                <w:sz w:val="20"/>
              </w:rPr>
              <w:t>0.09s</w:t>
            </w:r>
          </w:p>
        </w:tc>
      </w:tr>
      <w:tr>
        <w:tc>
          <w:tcPr>
            <w:tcW w:type="dxa" w:w="3061"/>
          </w:tcPr>
          <w:p>
            <w:r/>
            <w:r>
              <w:rPr>
                <w:sz w:val="20"/>
              </w:rPr>
              <w:t>Bot ring (accounts)</w:t>
            </w:r>
          </w:p>
        </w:tc>
        <w:tc>
          <w:tcPr>
            <w:tcW w:type="dxa" w:w="1134"/>
          </w:tcPr>
          <w:p>
            <w:r/>
            <w:r>
              <w:rPr>
                <w:sz w:val="20"/>
              </w:rPr>
              <w:t>66</w:t>
            </w:r>
          </w:p>
        </w:tc>
        <w:tc>
          <w:tcPr>
            <w:tcW w:type="dxa" w:w="1020"/>
          </w:tcPr>
          <w:p>
            <w:r/>
            <w:r>
              <w:rPr>
                <w:sz w:val="20"/>
              </w:rPr>
              <w:t>66</w:t>
            </w:r>
          </w:p>
        </w:tc>
        <w:tc>
          <w:tcPr>
            <w:tcW w:type="dxa" w:w="1304"/>
          </w:tcPr>
          <w:p>
            <w:r/>
            <w:r>
              <w:rPr>
                <w:sz w:val="20"/>
              </w:rPr>
              <w:t>1.0</w:t>
            </w:r>
          </w:p>
        </w:tc>
        <w:tc>
          <w:tcPr>
            <w:tcW w:type="dxa" w:w="1134"/>
          </w:tcPr>
          <w:p>
            <w:r/>
            <w:r>
              <w:rPr>
                <w:sz w:val="20"/>
              </w:rPr>
              <w:t>1.0</w:t>
            </w:r>
          </w:p>
        </w:tc>
        <w:tc>
          <w:tcPr>
            <w:tcW w:type="dxa" w:w="1644"/>
          </w:tcPr>
          <w:p>
            <w:r/>
            <w:r>
              <w:rPr>
                <w:sz w:val="20"/>
              </w:rPr>
              <w:t>1.53s</w:t>
            </w:r>
          </w:p>
        </w:tc>
      </w:tr>
      <w:tr>
        <w:tc>
          <w:tcPr>
            <w:tcW w:type="dxa" w:w="3061"/>
          </w:tcPr>
          <w:p>
            <w:r/>
            <w:r>
              <w:rPr>
                <w:sz w:val="20"/>
              </w:rPr>
              <w:t>Hub account (accounts)</w:t>
            </w:r>
          </w:p>
        </w:tc>
        <w:tc>
          <w:tcPr>
            <w:tcW w:type="dxa" w:w="1134"/>
          </w:tcPr>
          <w:p>
            <w:r/>
            <w:r>
              <w:rPr>
                <w:sz w:val="20"/>
              </w:rPr>
              <w:t>5</w:t>
            </w:r>
          </w:p>
        </w:tc>
        <w:tc>
          <w:tcPr>
            <w:tcW w:type="dxa" w:w="1020"/>
          </w:tcPr>
          <w:p>
            <w:r/>
            <w:r>
              <w:rPr>
                <w:sz w:val="20"/>
              </w:rPr>
              <w:t>5</w:t>
            </w:r>
          </w:p>
        </w:tc>
        <w:tc>
          <w:tcPr>
            <w:tcW w:type="dxa" w:w="1304"/>
          </w:tcPr>
          <w:p>
            <w:r/>
            <w:r>
              <w:rPr>
                <w:sz w:val="20"/>
              </w:rPr>
              <w:t>1.0</w:t>
            </w:r>
          </w:p>
        </w:tc>
        <w:tc>
          <w:tcPr>
            <w:tcW w:type="dxa" w:w="1134"/>
          </w:tcPr>
          <w:p>
            <w:r/>
            <w:r>
              <w:rPr>
                <w:sz w:val="20"/>
              </w:rPr>
              <w:t>1.0</w:t>
            </w:r>
          </w:p>
        </w:tc>
        <w:tc>
          <w:tcPr>
            <w:tcW w:type="dxa" w:w="1644"/>
          </w:tcPr>
          <w:p>
            <w:r/>
            <w:r>
              <w:rPr>
                <w:sz w:val="20"/>
              </w:rPr>
              <w:t>0.28s</w:t>
            </w:r>
          </w:p>
        </w:tc>
      </w:tr>
      <w:tr>
        <w:tc>
          <w:tcPr>
            <w:tcW w:type="dxa" w:w="3061"/>
          </w:tcPr>
          <w:p>
            <w:r/>
            <w:r>
              <w:rPr>
                <w:sz w:val="20"/>
              </w:rPr>
              <w:t>Price manipulation (tickets)</w:t>
            </w:r>
          </w:p>
        </w:tc>
        <w:tc>
          <w:tcPr>
            <w:tcW w:type="dxa" w:w="1134"/>
          </w:tcPr>
          <w:p>
            <w:r/>
            <w:r>
              <w:rPr>
                <w:sz w:val="20"/>
              </w:rPr>
              <w:t>150</w:t>
            </w:r>
          </w:p>
        </w:tc>
        <w:tc>
          <w:tcPr>
            <w:tcW w:type="dxa" w:w="1020"/>
          </w:tcPr>
          <w:p>
            <w:r/>
            <w:r>
              <w:rPr>
                <w:sz w:val="20"/>
              </w:rPr>
              <w:t>150</w:t>
            </w:r>
          </w:p>
        </w:tc>
        <w:tc>
          <w:tcPr>
            <w:tcW w:type="dxa" w:w="1304"/>
          </w:tcPr>
          <w:p>
            <w:r/>
            <w:r>
              <w:rPr>
                <w:sz w:val="20"/>
              </w:rPr>
              <w:t>1.0</w:t>
            </w:r>
          </w:p>
        </w:tc>
        <w:tc>
          <w:tcPr>
            <w:tcW w:type="dxa" w:w="1134"/>
          </w:tcPr>
          <w:p>
            <w:r/>
            <w:r>
              <w:rPr>
                <w:sz w:val="20"/>
              </w:rPr>
              <w:t>1.0</w:t>
            </w:r>
          </w:p>
        </w:tc>
        <w:tc>
          <w:tcPr>
            <w:tcW w:type="dxa" w:w="1644"/>
          </w:tcPr>
          <w:p>
            <w:r/>
            <w:r>
              <w:rPr>
                <w:sz w:val="20"/>
              </w:rPr>
              <w:t>0.03s</w:t>
            </w:r>
          </w:p>
        </w:tc>
      </w:tr>
    </w:tbl>
    <w:p>
      <w:pPr>
        <w:spacing w:after="80"/>
      </w:pPr>
    </w:p>
    <w:p>
      <w:pPr>
        <w:spacing w:after="120"/>
      </w:pPr>
      <w:r>
        <w:rPr>
          <w:b w:val="0"/>
          <w:i/>
        </w:rPr>
        <w:t>Note: the data is synthetic and the fraud patterns are cleanly separated from normal traffic, so perfect scores are expected and do not predict performance on real data. Their purpose is to show that each detector finds what was planted and does not flag normal accounts. Review 3 will add noisier scenarios (near-threshold prices, overlapping patterns) to test the thresholds.</w:t>
      </w:r>
    </w:p>
    <w:p>
      <w:pPr>
        <w:pStyle w:val="Heading2"/>
      </w:pPr>
      <w:r>
        <w:t>5.3 Performance</w:t>
      </w:r>
    </w:p>
    <w:tbl>
      <w:tblPr>
        <w:tblStyle w:val="TableGrid"/>
        <w:tblW w:type="auto" w:w="0"/>
        <w:jc w:val="center"/>
        <w:tblLook w:firstColumn="1" w:firstRow="1" w:lastColumn="0" w:lastRow="0" w:noHBand="0" w:noVBand="1" w:val="04A0"/>
      </w:tblPr>
      <w:tblGrid>
        <w:gridCol w:w="4706"/>
        <w:gridCol w:w="4706"/>
      </w:tblGrid>
      <w:tr>
        <w:tc>
          <w:tcPr>
            <w:tcW w:type="dxa" w:w="3628"/>
            <w:shd w:val="clear" w:color="auto" w:fill="DCE4F5"/>
          </w:tcPr>
          <w:p>
            <w:r/>
            <w:r>
              <w:rPr>
                <w:b/>
                <w:sz w:val="20"/>
              </w:rPr>
              <w:t>Operation</w:t>
            </w:r>
          </w:p>
        </w:tc>
        <w:tc>
          <w:tcPr>
            <w:tcW w:type="dxa" w:w="5669"/>
            <w:shd w:val="clear" w:color="auto" w:fill="DCE4F5"/>
          </w:tcPr>
          <w:p>
            <w:r/>
            <w:r>
              <w:rPr>
                <w:b/>
                <w:sz w:val="20"/>
              </w:rPr>
              <w:t>Result</w:t>
            </w:r>
          </w:p>
        </w:tc>
      </w:tr>
      <w:tr>
        <w:tc>
          <w:tcPr>
            <w:tcW w:type="dxa" w:w="3628"/>
          </w:tcPr>
          <w:p>
            <w:r/>
            <w:r>
              <w:rPr>
                <w:sz w:val="20"/>
              </w:rPr>
              <w:t>Bulk load into Cassandra (4 tables)</w:t>
            </w:r>
          </w:p>
        </w:tc>
        <w:tc>
          <w:tcPr>
            <w:tcW w:type="dxa" w:w="5669"/>
          </w:tcPr>
          <w:p>
            <w:r/>
            <w:r>
              <w:rPr>
                <w:sz w:val="20"/>
              </w:rPr>
              <w:t>50,000 transactions in about 97 s (about 200,000 row writes)</w:t>
            </w:r>
          </w:p>
        </w:tc>
      </w:tr>
      <w:tr>
        <w:tc>
          <w:tcPr>
            <w:tcW w:type="dxa" w:w="3628"/>
          </w:tcPr>
          <w:p>
            <w:r/>
            <w:r>
              <w:rPr>
                <w:sz w:val="20"/>
              </w:rPr>
              <w:t>Cassandra to Neo4j sync</w:t>
            </w:r>
          </w:p>
        </w:tc>
        <w:tc>
          <w:tcPr>
            <w:tcW w:type="dxa" w:w="5669"/>
          </w:tcPr>
          <w:p>
            <w:r/>
            <w:r>
              <w:rPr>
                <w:sz w:val="20"/>
              </w:rPr>
              <w:t>50,000 transactions in about 22 s</w:t>
            </w:r>
          </w:p>
        </w:tc>
      </w:tr>
      <w:tr>
        <w:tc>
          <w:tcPr>
            <w:tcW w:type="dxa" w:w="3628"/>
          </w:tcPr>
          <w:p>
            <w:r/>
            <w:r>
              <w:rPr>
                <w:sz w:val="20"/>
              </w:rPr>
              <w:t>Detection queries</w:t>
            </w:r>
          </w:p>
        </w:tc>
        <w:tc>
          <w:tcPr>
            <w:tcW w:type="dxa" w:w="5669"/>
          </w:tcPr>
          <w:p>
            <w:r/>
            <w:r>
              <w:rPr>
                <w:sz w:val="20"/>
              </w:rPr>
              <w:t>0.03 s to 1.5 s each on the full graph</w:t>
            </w:r>
          </w:p>
        </w:tc>
      </w:tr>
    </w:tbl>
    <w:p>
      <w:pPr>
        <w:spacing w:after="80"/>
      </w:pPr>
    </w:p>
    <w:p>
      <w:pPr>
        <w:spacing w:after="120"/>
      </w:pPr>
      <w:r>
        <w:rPr>
          <w:b w:val="0"/>
          <w:i/>
        </w:rPr>
        <w:t>Measured on a single laptop with one Cassandra node, so throughput figures illustrate correct operation, not Cassandra's cluster-scale capacity.</w:t>
      </w:r>
    </w:p>
    <w:p>
      <w:pPr>
        <w:pStyle w:val="Heading1"/>
      </w:pPr>
      <w:r>
        <w:t>6. Testing</w:t>
      </w:r>
    </w:p>
    <w:p>
      <w:pPr>
        <w:spacing w:after="120"/>
      </w:pPr>
      <w:r>
        <w:rPr>
          <w:b w:val="0"/>
          <w:i w:val="0"/>
        </w:rPr>
        <w:t>Ten automated integration tests (pytest) run against the live databases and pass:</w:t>
      </w:r>
    </w:p>
    <w:p>
      <w:pPr>
        <w:pStyle w:val="ListBullet"/>
        <w:spacing w:after="40"/>
      </w:pPr>
      <w:r>
        <w:t>Health check of both databases.</w:t>
      </w:r>
    </w:p>
    <w:p>
      <w:pPr>
        <w:pStyle w:val="ListBullet"/>
        <w:spacing w:after="40"/>
      </w:pPr>
      <w:r>
        <w:t>Transaction CRUD lifecycle, including that every query table returns the row and that update and delete propagate.</w:t>
      </w:r>
    </w:p>
    <w:p>
      <w:pPr>
        <w:pStyle w:val="ListBullet"/>
        <w:spacing w:after="40"/>
      </w:pPr>
      <w:r>
        <w:t>Input validation and error codes (422, 400, 404).</w:t>
      </w:r>
    </w:p>
    <w:p>
      <w:pPr>
        <w:pStyle w:val="ListBullet"/>
        <w:spacing w:after="40"/>
      </w:pPr>
      <w:r>
        <w:t>Account CRUD lifecycle in Neo4j.</w:t>
      </w:r>
    </w:p>
    <w:p>
      <w:pPr>
        <w:pStyle w:val="ListBullet"/>
        <w:spacing w:after="40"/>
      </w:pPr>
      <w:r>
        <w:t>Sync: a new transaction reaches the graph, a second sync is a no-op, deleting the transaction removes it from the graph.</w:t>
      </w:r>
    </w:p>
    <w:p>
      <w:pPr>
        <w:pStyle w:val="ListBullet"/>
        <w:spacing w:after="40"/>
      </w:pPr>
      <w:r>
        <w:t>Four detection tests asserting recall and precision thresholds against the ground truth, and that every finding has an explanation.</w:t>
      </w:r>
    </w:p>
    <w:p>
      <w:pPr>
        <w:pStyle w:val="Heading1"/>
      </w:pPr>
      <w:r>
        <w:t>7. Issues Found and Resolved</w:t>
      </w:r>
    </w:p>
    <w:tbl>
      <w:tblPr>
        <w:tblStyle w:val="TableGrid"/>
        <w:tblW w:type="auto" w:w="0"/>
        <w:jc w:val="center"/>
        <w:tblLook w:firstColumn="1" w:firstRow="1" w:lastColumn="0" w:lastRow="0" w:noHBand="0" w:noVBand="1" w:val="04A0"/>
      </w:tblPr>
      <w:tblGrid>
        <w:gridCol w:w="4706"/>
        <w:gridCol w:w="4706"/>
      </w:tblGrid>
      <w:tr>
        <w:tc>
          <w:tcPr>
            <w:tcW w:type="dxa" w:w="4762"/>
            <w:shd w:val="clear" w:color="auto" w:fill="DCE4F5"/>
          </w:tcPr>
          <w:p>
            <w:r/>
            <w:r>
              <w:rPr>
                <w:b/>
                <w:sz w:val="20"/>
              </w:rPr>
              <w:t>Issue</w:t>
            </w:r>
          </w:p>
        </w:tc>
        <w:tc>
          <w:tcPr>
            <w:tcW w:type="dxa" w:w="4535"/>
            <w:shd w:val="clear" w:color="auto" w:fill="DCE4F5"/>
          </w:tcPr>
          <w:p>
            <w:r/>
            <w:r>
              <w:rPr>
                <w:b/>
                <w:sz w:val="20"/>
              </w:rPr>
              <w:t>Resolution</w:t>
            </w:r>
          </w:p>
        </w:tc>
      </w:tr>
      <w:tr>
        <w:tc>
          <w:tcPr>
            <w:tcW w:type="dxa" w:w="4762"/>
          </w:tcPr>
          <w:p>
            <w:r/>
            <w:r>
              <w:rPr>
                <w:sz w:val="20"/>
              </w:rPr>
              <w:t>Single transactions table from Review 1 does not suit Cassandra's query-first modelling</w:t>
            </w:r>
          </w:p>
        </w:tc>
        <w:tc>
          <w:tcPr>
            <w:tcW w:type="dxa" w:w="4535"/>
          </w:tcPr>
          <w:p>
            <w:r/>
            <w:r>
              <w:rPr>
                <w:sz w:val="20"/>
              </w:rPr>
              <w:t>Replaced with four query-specific tables (section 3.1).</w:t>
            </w:r>
          </w:p>
        </w:tc>
      </w:tr>
      <w:tr>
        <w:tc>
          <w:tcPr>
            <w:tcW w:type="dxa" w:w="4762"/>
          </w:tcPr>
          <w:p>
            <w:r/>
            <w:r>
              <w:rPr>
                <w:sz w:val="20"/>
              </w:rPr>
              <w:t>Generator produced timestamps up to 3 days in the future (resale delays added to recent purchases), which broke the sync watermark and day queries; found by the automated tests</w:t>
            </w:r>
          </w:p>
        </w:tc>
        <w:tc>
          <w:tcPr>
            <w:tcW w:type="dxa" w:w="4535"/>
          </w:tcPr>
          <w:p>
            <w:r/>
            <w:r>
              <w:rPr>
                <w:sz w:val="20"/>
              </w:rPr>
              <w:t>Purchases are now generated at least 4 days before the end of the window.</w:t>
            </w:r>
          </w:p>
        </w:tc>
      </w:tr>
      <w:tr>
        <w:tc>
          <w:tcPr>
            <w:tcW w:type="dxa" w:w="4762"/>
          </w:tcPr>
          <w:p>
            <w:r/>
            <w:r>
              <w:rPr>
                <w:sz w:val="20"/>
              </w:rPr>
              <w:t>cassandra-driver has no usable event loop on Python 3.12+ without extra C libraries</w:t>
            </w:r>
          </w:p>
        </w:tc>
        <w:tc>
          <w:tcPr>
            <w:tcW w:type="dxa" w:w="4535"/>
          </w:tcPr>
          <w:p>
            <w:r/>
            <w:r>
              <w:rPr>
                <w:sz w:val="20"/>
              </w:rPr>
              <w:t>Project runs on Python 3.11; documented in the README.</w:t>
            </w:r>
          </w:p>
        </w:tc>
      </w:tr>
    </w:tbl>
    <w:p>
      <w:pPr>
        <w:spacing w:after="80"/>
      </w:pPr>
    </w:p>
    <w:p>
      <w:pPr>
        <w:pStyle w:val="Heading1"/>
      </w:pPr>
      <w:r>
        <w:t>8. Version Control and Documentation</w:t>
      </w:r>
    </w:p>
    <w:p>
      <w:pPr>
        <w:spacing w:after="120"/>
      </w:pPr>
      <w:r>
        <w:rPr>
          <w:b w:val="0"/>
          <w:i w:val="0"/>
        </w:rPr>
        <w:t>Source is hosted at https://github.com/NiharikaLathish/TicketGuard with incremental commits per component (setup, Cassandra layer, Neo4j layer, sync, generator, detection, API, tests, documentation, fixes). Deliverables in the repository:</w:t>
      </w:r>
    </w:p>
    <w:p>
      <w:pPr>
        <w:pStyle w:val="ListBullet"/>
        <w:spacing w:after="40"/>
      </w:pPr>
      <w:r>
        <w:t>Working prototype and source code: app/, generator/, static/, scripts/</w:t>
      </w:r>
    </w:p>
    <w:p>
      <w:pPr>
        <w:pStyle w:val="ListBullet"/>
        <w:spacing w:after="40"/>
      </w:pPr>
      <w:r>
        <w:t>Database dump: dumps/ (Cassandra schema and transactions CSV; Neo4j schema, node and relationship CSVs; the sample dataset and ground truth)</w:t>
      </w:r>
    </w:p>
    <w:p>
      <w:pPr>
        <w:pStyle w:val="ListBullet"/>
        <w:spacing w:after="40"/>
      </w:pPr>
      <w:r>
        <w:t>API documentation: docs/API.md and the live Swagger UI at /docs</w:t>
      </w:r>
    </w:p>
    <w:p>
      <w:pPr>
        <w:pStyle w:val="ListBullet"/>
        <w:spacing w:after="40"/>
      </w:pPr>
      <w:r>
        <w:t>README with setup and run instructions</w:t>
      </w:r>
    </w:p>
    <w:p>
      <w:pPr>
        <w:pStyle w:val="Heading1"/>
      </w:pPr>
      <w:r>
        <w:t>9. Known Limitations and Plan for Review 3</w:t>
      </w:r>
    </w:p>
    <w:p>
      <w:pPr>
        <w:pStyle w:val="ListBullet"/>
        <w:spacing w:after="40"/>
      </w:pPr>
      <w:r>
        <w:t>Sync uses an event-time watermark, so a back-dated transaction inserted after newer ones is not picked up by an incremental sync; run a full sync in that case. Review 3: switch to an ingestion-time marker.</w:t>
      </w:r>
    </w:p>
    <w:p>
      <w:pPr>
        <w:pStyle w:val="ListBullet"/>
        <w:spacing w:after="40"/>
      </w:pPr>
      <w:r>
        <w:t>Detection thresholds (2x price, z-score 4, density 1.8) are tuned on synthetic data only.</w:t>
      </w:r>
    </w:p>
    <w:p>
      <w:pPr>
        <w:pStyle w:val="ListBullet"/>
        <w:spacing w:after="40"/>
      </w:pPr>
      <w:r>
        <w:t>Single-node databases; no replication or multi-node measurements yet.</w:t>
      </w:r>
    </w:p>
    <w:p>
      <w:pPr>
        <w:pStyle w:val="ListBullet"/>
        <w:spacing w:after="40"/>
      </w:pPr>
      <w:r>
        <w:t>Review 3: performance evaluation at larger volumes (200k+ transactions), noisier fraud scenarios, polished visualisation, final documentation and presentation.</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