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13621">
      <w:pPr>
        <w:spacing w:after="40"/>
        <w:jc w:val="center"/>
        <w:rPr>
          <w:color w:val="auto"/>
        </w:rPr>
      </w:pPr>
      <w:r>
        <w:rPr>
          <w:b/>
          <w:color w:val="auto"/>
          <w:sz w:val="42"/>
        </w:rPr>
        <w:t>LAXMIPRASAD TUKUNA PANDA</w:t>
      </w:r>
    </w:p>
    <w:p w14:paraId="1FF7A012">
      <w:pPr>
        <w:spacing w:after="160"/>
        <w:ind w:firstLine="1900" w:firstLineChars="950"/>
        <w:jc w:val="both"/>
        <w:rPr>
          <w:color w:val="auto"/>
        </w:rPr>
      </w:pPr>
      <w:r>
        <w:rPr>
          <w:color w:val="auto"/>
        </w:rPr>
        <w:t>Mumbai, Maharashtra  |  +91 8454818381  |  pandalucky015@gmail.com</w:t>
      </w:r>
    </w:p>
    <w:p w14:paraId="44D2AD0C">
      <w:pPr>
        <w:pBdr>
          <w:bottom w:val="single" w:color="9EADBA" w:sz="6" w:space="2"/>
        </w:pBdr>
        <w:spacing w:before="200" w:after="100"/>
        <w:rPr>
          <w:color w:val="auto"/>
        </w:rPr>
      </w:pPr>
      <w:r>
        <w:rPr>
          <w:b/>
          <w:color w:val="auto"/>
          <w:sz w:val="23"/>
        </w:rPr>
        <w:t>PROFESSIONAL SUMMARY</w:t>
      </w:r>
    </w:p>
    <w:p w14:paraId="443A2816">
      <w:pPr>
        <w:spacing w:after="120"/>
        <w:rPr>
          <w:color w:val="auto"/>
        </w:rPr>
      </w:pPr>
      <w:r>
        <w:rPr>
          <w:color w:val="auto"/>
        </w:rPr>
        <w:t>Associate Manager with 9+ years of experience in Healthcare Revenue Cycle Management (RCM), specializing in payment posting, reconciliation, eligibility and benefits verification (EVBV), patient credit balance, insurance refunds, and collections operations. Experienced in leading teams, managing daily operations, monitoring KPIs and SLAs, resolving process issues, preparing reports, and coordinating with clients and onshore teams. Strong focus on accuracy, turnaround time, workflow improvement, and team performance.</w:t>
      </w:r>
    </w:p>
    <w:p w14:paraId="1B13572A">
      <w:pPr>
        <w:pBdr>
          <w:bottom w:val="single" w:color="9EADBA" w:sz="6" w:space="2"/>
        </w:pBdr>
        <w:spacing w:before="200" w:after="100"/>
        <w:rPr>
          <w:color w:val="auto"/>
        </w:rPr>
      </w:pPr>
      <w:r>
        <w:rPr>
          <w:b/>
          <w:color w:val="auto"/>
          <w:sz w:val="23"/>
        </w:rPr>
        <w:t>CORE SKILLS</w:t>
      </w:r>
      <w:bookmarkStart w:id="0" w:name="_GoBack"/>
      <w:bookmarkEnd w:id="0"/>
    </w:p>
    <w:tbl>
      <w:tblPr>
        <w:tblStyle w:val="12"/>
        <w:tblW w:w="4999" w:type="pct"/>
        <w:jc w:val="center"/>
        <w:tblLayout w:type="autofit"/>
        <w:tblCellMar>
          <w:top w:w="0" w:type="dxa"/>
          <w:left w:w="108" w:type="dxa"/>
          <w:bottom w:w="0" w:type="dxa"/>
          <w:right w:w="108" w:type="dxa"/>
        </w:tblCellMar>
      </w:tblPr>
      <w:tblGrid>
        <w:gridCol w:w="5319"/>
        <w:gridCol w:w="4975"/>
      </w:tblGrid>
      <w:tr w14:paraId="0AC02DA6">
        <w:tblPrEx>
          <w:tblCellMar>
            <w:top w:w="0" w:type="dxa"/>
            <w:left w:w="108" w:type="dxa"/>
            <w:bottom w:w="0" w:type="dxa"/>
            <w:right w:w="108" w:type="dxa"/>
          </w:tblCellMar>
        </w:tblPrEx>
        <w:trPr>
          <w:trHeight w:val="0" w:hRule="atLeast"/>
          <w:jc w:val="center"/>
        </w:trPr>
        <w:tc>
          <w:tcPr>
            <w:tcW w:w="2583" w:type="pct"/>
          </w:tcPr>
          <w:p w14:paraId="4AE91EA5">
            <w:pPr>
              <w:snapToGrid w:val="0"/>
              <w:spacing w:after="60"/>
              <w:rPr>
                <w:color w:val="auto"/>
              </w:rPr>
            </w:pPr>
            <w:r>
              <w:rPr>
                <w:color w:val="auto"/>
              </w:rPr>
              <w:t>• Healthcare Revenue Cycle Management (RCM)</w:t>
            </w:r>
          </w:p>
        </w:tc>
        <w:tc>
          <w:tcPr>
            <w:tcW w:w="2416" w:type="pct"/>
          </w:tcPr>
          <w:p w14:paraId="754AAD00">
            <w:pPr>
              <w:snapToGrid w:val="0"/>
              <w:spacing w:after="60"/>
              <w:rPr>
                <w:color w:val="auto"/>
              </w:rPr>
            </w:pPr>
            <w:r>
              <w:rPr>
                <w:color w:val="auto"/>
              </w:rPr>
              <w:t>• Payment Posting &amp; Reconciliation</w:t>
            </w:r>
          </w:p>
        </w:tc>
      </w:tr>
      <w:tr w14:paraId="15C47313">
        <w:tblPrEx>
          <w:tblCellMar>
            <w:top w:w="0" w:type="dxa"/>
            <w:left w:w="108" w:type="dxa"/>
            <w:bottom w:w="0" w:type="dxa"/>
            <w:right w:w="108" w:type="dxa"/>
          </w:tblCellMar>
        </w:tblPrEx>
        <w:trPr>
          <w:trHeight w:val="0" w:hRule="atLeast"/>
          <w:jc w:val="center"/>
        </w:trPr>
        <w:tc>
          <w:tcPr>
            <w:tcW w:w="2583" w:type="pct"/>
          </w:tcPr>
          <w:p w14:paraId="05825F67">
            <w:pPr>
              <w:snapToGrid w:val="0"/>
              <w:spacing w:after="60"/>
              <w:rPr>
                <w:color w:val="auto"/>
              </w:rPr>
            </w:pPr>
            <w:r>
              <w:rPr>
                <w:color w:val="auto"/>
              </w:rPr>
              <w:t>• Eligibility &amp; Benefits Verification (EVBV)</w:t>
            </w:r>
          </w:p>
        </w:tc>
        <w:tc>
          <w:tcPr>
            <w:tcW w:w="2416" w:type="pct"/>
          </w:tcPr>
          <w:p w14:paraId="0855FB09">
            <w:pPr>
              <w:snapToGrid w:val="0"/>
              <w:spacing w:after="60"/>
              <w:rPr>
                <w:color w:val="auto"/>
              </w:rPr>
            </w:pPr>
            <w:r>
              <w:rPr>
                <w:color w:val="auto"/>
              </w:rPr>
              <w:t>• Patient Credit Balance &amp; Insurance Refunds</w:t>
            </w:r>
          </w:p>
        </w:tc>
      </w:tr>
      <w:tr w14:paraId="557B23F0">
        <w:tblPrEx>
          <w:tblCellMar>
            <w:top w:w="0" w:type="dxa"/>
            <w:left w:w="108" w:type="dxa"/>
            <w:bottom w:w="0" w:type="dxa"/>
            <w:right w:w="108" w:type="dxa"/>
          </w:tblCellMar>
        </w:tblPrEx>
        <w:trPr>
          <w:trHeight w:val="0" w:hRule="atLeast"/>
          <w:jc w:val="center"/>
        </w:trPr>
        <w:tc>
          <w:tcPr>
            <w:tcW w:w="2583" w:type="pct"/>
          </w:tcPr>
          <w:p w14:paraId="5F43C6B2">
            <w:pPr>
              <w:snapToGrid w:val="0"/>
              <w:spacing w:after="60"/>
              <w:rPr>
                <w:color w:val="auto"/>
              </w:rPr>
            </w:pPr>
            <w:r>
              <w:rPr>
                <w:color w:val="auto"/>
              </w:rPr>
              <w:t>• Team Leadership &amp; Training</w:t>
            </w:r>
          </w:p>
        </w:tc>
        <w:tc>
          <w:tcPr>
            <w:tcW w:w="2416" w:type="pct"/>
          </w:tcPr>
          <w:p w14:paraId="4E38418E">
            <w:pPr>
              <w:numPr>
                <w:numId w:val="0"/>
              </w:numPr>
              <w:snapToGrid w:val="0"/>
              <w:spacing w:after="60"/>
              <w:ind w:leftChars="0"/>
              <w:rPr>
                <w:color w:val="auto"/>
              </w:rPr>
            </w:pPr>
            <w:r>
              <w:rPr>
                <w:color w:val="auto"/>
              </w:rPr>
              <w:t xml:space="preserve">• Onshore </w:t>
            </w:r>
            <w:r>
              <w:rPr>
                <w:rFonts w:hint="default"/>
                <w:color w:val="auto"/>
                <w:lang w:val="en-IN"/>
              </w:rPr>
              <w:t xml:space="preserve">team </w:t>
            </w:r>
            <w:r>
              <w:rPr>
                <w:color w:val="auto"/>
              </w:rPr>
              <w:t>Coordination</w:t>
            </w:r>
          </w:p>
        </w:tc>
      </w:tr>
      <w:tr w14:paraId="66FD32A9">
        <w:tblPrEx>
          <w:tblCellMar>
            <w:top w:w="0" w:type="dxa"/>
            <w:left w:w="108" w:type="dxa"/>
            <w:bottom w:w="0" w:type="dxa"/>
            <w:right w:w="108" w:type="dxa"/>
          </w:tblCellMar>
        </w:tblPrEx>
        <w:trPr>
          <w:trHeight w:val="0" w:hRule="atLeast"/>
          <w:jc w:val="center"/>
        </w:trPr>
        <w:tc>
          <w:tcPr>
            <w:tcW w:w="2583" w:type="pct"/>
          </w:tcPr>
          <w:p w14:paraId="746ECE10">
            <w:pPr>
              <w:snapToGrid w:val="0"/>
              <w:spacing w:after="60"/>
              <w:rPr>
                <w:color w:val="auto"/>
              </w:rPr>
            </w:pPr>
            <w:r>
              <w:rPr>
                <w:color w:val="auto"/>
              </w:rPr>
              <w:t>• KPI &amp; SLA Monitoring</w:t>
            </w:r>
          </w:p>
        </w:tc>
        <w:tc>
          <w:tcPr>
            <w:tcW w:w="2416" w:type="pct"/>
          </w:tcPr>
          <w:p w14:paraId="7A0D9A6B">
            <w:pPr>
              <w:snapToGrid w:val="0"/>
              <w:spacing w:after="60"/>
              <w:rPr>
                <w:color w:val="auto"/>
              </w:rPr>
            </w:pPr>
            <w:r>
              <w:rPr>
                <w:color w:val="auto"/>
              </w:rPr>
              <w:t xml:space="preserve">• Client Communication </w:t>
            </w:r>
          </w:p>
        </w:tc>
      </w:tr>
      <w:tr w14:paraId="1879E4D4">
        <w:tblPrEx>
          <w:tblCellMar>
            <w:top w:w="0" w:type="dxa"/>
            <w:left w:w="108" w:type="dxa"/>
            <w:bottom w:w="0" w:type="dxa"/>
            <w:right w:w="108" w:type="dxa"/>
          </w:tblCellMar>
        </w:tblPrEx>
        <w:trPr>
          <w:trHeight w:val="0" w:hRule="atLeast"/>
          <w:jc w:val="center"/>
        </w:trPr>
        <w:tc>
          <w:tcPr>
            <w:tcW w:w="2583" w:type="pct"/>
          </w:tcPr>
          <w:p w14:paraId="5C76988C">
            <w:pPr>
              <w:snapToGrid w:val="0"/>
              <w:spacing w:after="60"/>
              <w:rPr>
                <w:color w:val="auto"/>
              </w:rPr>
            </w:pPr>
            <w:r>
              <w:rPr>
                <w:color w:val="auto"/>
              </w:rPr>
              <w:t>• Issue Resolution &amp; Escalation Management</w:t>
            </w:r>
          </w:p>
        </w:tc>
        <w:tc>
          <w:tcPr>
            <w:tcW w:w="2416" w:type="pct"/>
          </w:tcPr>
          <w:p w14:paraId="36FC6801">
            <w:pPr>
              <w:snapToGrid w:val="0"/>
              <w:spacing w:after="60"/>
              <w:rPr>
                <w:color w:val="auto"/>
              </w:rPr>
            </w:pPr>
            <w:r>
              <w:rPr>
                <w:color w:val="auto"/>
              </w:rPr>
              <w:t>• MS Excel &amp; Reporting</w:t>
            </w:r>
          </w:p>
        </w:tc>
      </w:tr>
    </w:tbl>
    <w:p w14:paraId="545CBEDC">
      <w:pPr>
        <w:pBdr>
          <w:bottom w:val="single" w:color="9EADBA" w:sz="6" w:space="2"/>
        </w:pBdr>
        <w:spacing w:before="200" w:after="100"/>
        <w:rPr>
          <w:color w:val="auto"/>
        </w:rPr>
      </w:pPr>
      <w:r>
        <w:rPr>
          <w:b/>
          <w:color w:val="auto"/>
          <w:sz w:val="23"/>
        </w:rPr>
        <w:t>PROFESSIONAL EXPERIENCE</w:t>
      </w:r>
    </w:p>
    <w:p w14:paraId="2F98ABB9">
      <w:pPr>
        <w:spacing w:before="140" w:after="40"/>
        <w:rPr>
          <w:rFonts w:hint="default"/>
          <w:color w:val="auto"/>
          <w:lang w:val="en-IN"/>
        </w:rPr>
      </w:pPr>
      <w:r>
        <w:rPr>
          <w:b/>
          <w:color w:val="auto"/>
          <w:sz w:val="22"/>
        </w:rPr>
        <w:t>T</w:t>
      </w:r>
      <w:r>
        <w:rPr>
          <w:rFonts w:hint="default"/>
          <w:b/>
          <w:color w:val="auto"/>
          <w:sz w:val="22"/>
          <w:lang w:val="en-IN"/>
        </w:rPr>
        <w:t>RIARQ</w:t>
      </w:r>
      <w:r>
        <w:rPr>
          <w:b/>
          <w:color w:val="auto"/>
          <w:sz w:val="22"/>
        </w:rPr>
        <w:t xml:space="preserve"> Healthcare</w:t>
      </w:r>
      <w:r>
        <w:rPr>
          <w:rFonts w:hint="default"/>
          <w:b/>
          <w:color w:val="auto"/>
          <w:sz w:val="22"/>
          <w:lang w:val="en-IN"/>
        </w:rPr>
        <w:t xml:space="preserve"> LLP</w:t>
      </w:r>
    </w:p>
    <w:p w14:paraId="446480DC">
      <w:pPr>
        <w:spacing w:after="60"/>
        <w:rPr>
          <w:b/>
          <w:bCs w:val="0"/>
          <w:color w:val="auto"/>
          <w:sz w:val="20"/>
          <w:szCs w:val="20"/>
        </w:rPr>
      </w:pPr>
      <w:r>
        <w:rPr>
          <w:b/>
          <w:bCs w:val="0"/>
          <w:color w:val="auto"/>
          <w:sz w:val="20"/>
          <w:szCs w:val="20"/>
        </w:rPr>
        <w:t xml:space="preserve">Associate Manager – Payments </w:t>
      </w:r>
      <w:r>
        <w:rPr>
          <w:rFonts w:hint="default"/>
          <w:b/>
          <w:bCs w:val="0"/>
          <w:color w:val="auto"/>
          <w:sz w:val="20"/>
          <w:szCs w:val="20"/>
          <w:lang w:val="en-IN"/>
        </w:rPr>
        <w:t>&amp; Eligibilty Verification</w:t>
      </w:r>
      <w:r>
        <w:rPr>
          <w:b/>
          <w:bCs w:val="0"/>
          <w:color w:val="auto"/>
          <w:sz w:val="20"/>
          <w:szCs w:val="20"/>
        </w:rPr>
        <w:t xml:space="preserve"> |  Aug 2026 – Present</w:t>
      </w:r>
    </w:p>
    <w:p w14:paraId="2475077B">
      <w:pPr>
        <w:pStyle w:val="23"/>
        <w:spacing w:after="70"/>
        <w:ind w:left="317" w:hanging="173"/>
        <w:rPr>
          <w:color w:val="auto"/>
        </w:rPr>
      </w:pPr>
      <w:r>
        <w:rPr>
          <w:color w:val="auto"/>
        </w:rPr>
        <w:t>Lead daily payments and collections operations, ensuring accuracy, productivity, and timely completion of work.</w:t>
      </w:r>
    </w:p>
    <w:p w14:paraId="6DC072B9">
      <w:pPr>
        <w:pStyle w:val="23"/>
        <w:spacing w:after="70"/>
        <w:ind w:left="317" w:hanging="173"/>
        <w:rPr>
          <w:color w:val="auto"/>
        </w:rPr>
      </w:pPr>
      <w:r>
        <w:rPr>
          <w:color w:val="auto"/>
        </w:rPr>
        <w:t>Manage payment reconciliation and investigate posting variances, discrepancies, and unresolved transactions.</w:t>
      </w:r>
    </w:p>
    <w:p w14:paraId="10E57324">
      <w:pPr>
        <w:pStyle w:val="23"/>
        <w:spacing w:after="70"/>
        <w:ind w:left="317" w:hanging="173"/>
        <w:rPr>
          <w:color w:val="auto"/>
        </w:rPr>
      </w:pPr>
      <w:r>
        <w:rPr>
          <w:color w:val="auto"/>
        </w:rPr>
        <w:t>Oversee patient credit balance, insurance refund, recoupment, and refund clarification activities.</w:t>
      </w:r>
    </w:p>
    <w:p w14:paraId="20E88467">
      <w:pPr>
        <w:pStyle w:val="23"/>
        <w:spacing w:after="70"/>
        <w:ind w:left="317" w:hanging="173"/>
        <w:rPr>
          <w:color w:val="auto"/>
        </w:rPr>
      </w:pPr>
      <w:r>
        <w:rPr>
          <w:color w:val="auto"/>
        </w:rPr>
        <w:t xml:space="preserve">Supervise operations for </w:t>
      </w:r>
      <w:r>
        <w:rPr>
          <w:rFonts w:hint="default"/>
          <w:color w:val="auto"/>
          <w:lang w:val="en-IN"/>
        </w:rPr>
        <w:t xml:space="preserve">55 </w:t>
      </w:r>
      <w:r>
        <w:rPr>
          <w:color w:val="auto"/>
        </w:rPr>
        <w:t>users, ensuring timely eligibility checks and adherence to appointment-related SLAs.</w:t>
      </w:r>
    </w:p>
    <w:p w14:paraId="4A14AEC2">
      <w:pPr>
        <w:pStyle w:val="23"/>
        <w:spacing w:after="70"/>
        <w:ind w:left="317" w:hanging="173"/>
        <w:rPr>
          <w:color w:val="auto"/>
        </w:rPr>
      </w:pPr>
      <w:r>
        <w:rPr>
          <w:color w:val="auto"/>
        </w:rPr>
        <w:t>Prepare daily, weekly, and monthly KPI reports covering productivity, quality, volume, and SLA performance.</w:t>
      </w:r>
    </w:p>
    <w:p w14:paraId="3C093C9C">
      <w:pPr>
        <w:pStyle w:val="23"/>
        <w:spacing w:after="70"/>
        <w:ind w:left="317" w:hanging="173"/>
        <w:rPr>
          <w:color w:val="auto"/>
        </w:rPr>
      </w:pPr>
      <w:r>
        <w:rPr>
          <w:color w:val="auto"/>
        </w:rPr>
        <w:t>Coordinate with insurance teams, clients, and onshore stakeholders through email and calls to resolve operational issues.</w:t>
      </w:r>
    </w:p>
    <w:p w14:paraId="25C67D3C">
      <w:pPr>
        <w:pStyle w:val="23"/>
        <w:spacing w:after="70"/>
        <w:ind w:left="317" w:hanging="173"/>
        <w:rPr>
          <w:color w:val="auto"/>
        </w:rPr>
      </w:pPr>
      <w:r>
        <w:rPr>
          <w:color w:val="auto"/>
        </w:rPr>
        <w:t>Allocate workloads based on business priorities and monitor team performance against productivity and SLA targets.</w:t>
      </w:r>
    </w:p>
    <w:p w14:paraId="038CBD09">
      <w:pPr>
        <w:pStyle w:val="23"/>
        <w:numPr>
          <w:numId w:val="0"/>
        </w:numPr>
        <w:spacing w:after="70"/>
        <w:ind w:left="144" w:leftChars="0"/>
        <w:rPr>
          <w:color w:val="auto"/>
        </w:rPr>
      </w:pPr>
    </w:p>
    <w:p w14:paraId="6B139894">
      <w:pPr>
        <w:spacing w:after="60"/>
        <w:rPr>
          <w:b/>
          <w:bCs w:val="0"/>
          <w:color w:val="auto"/>
          <w:sz w:val="20"/>
          <w:szCs w:val="20"/>
        </w:rPr>
      </w:pPr>
      <w:r>
        <w:rPr>
          <w:b/>
          <w:bCs w:val="0"/>
          <w:color w:val="auto"/>
          <w:sz w:val="20"/>
          <w:szCs w:val="20"/>
        </w:rPr>
        <w:t xml:space="preserve">Team Leader – Payments &amp; </w:t>
      </w:r>
      <w:r>
        <w:rPr>
          <w:rFonts w:hint="default"/>
          <w:b/>
          <w:bCs w:val="0"/>
          <w:color w:val="auto"/>
          <w:sz w:val="20"/>
          <w:szCs w:val="20"/>
          <w:lang w:val="en-IN"/>
        </w:rPr>
        <w:t>Eligibilty Verification</w:t>
      </w:r>
      <w:r>
        <w:rPr>
          <w:b/>
          <w:bCs w:val="0"/>
          <w:color w:val="auto"/>
          <w:sz w:val="20"/>
          <w:szCs w:val="20"/>
        </w:rPr>
        <w:t xml:space="preserve">  |  Aug 2024 – Jul 2026</w:t>
      </w:r>
    </w:p>
    <w:p w14:paraId="06670237">
      <w:pPr>
        <w:pStyle w:val="23"/>
        <w:spacing w:after="70"/>
        <w:ind w:left="317" w:hanging="173"/>
        <w:rPr>
          <w:color w:val="auto"/>
        </w:rPr>
      </w:pPr>
      <w:r>
        <w:rPr>
          <w:color w:val="auto"/>
        </w:rPr>
        <w:t>Managed daily team operations, work allocation, reconciliation, payment activities, and operational reporting.</w:t>
      </w:r>
    </w:p>
    <w:p w14:paraId="7F83DAA6">
      <w:pPr>
        <w:pStyle w:val="23"/>
        <w:spacing w:after="70"/>
        <w:ind w:left="317" w:hanging="173"/>
        <w:rPr>
          <w:color w:val="auto"/>
        </w:rPr>
      </w:pPr>
      <w:r>
        <w:rPr>
          <w:color w:val="auto"/>
        </w:rPr>
        <w:t>Monitored KPIs, batch status, productivity, quality, and SLA performance; followed up on exceptions.</w:t>
      </w:r>
    </w:p>
    <w:p w14:paraId="3EE23146">
      <w:pPr>
        <w:pStyle w:val="23"/>
        <w:spacing w:after="70"/>
        <w:ind w:left="317" w:hanging="173"/>
        <w:rPr>
          <w:color w:val="auto"/>
        </w:rPr>
      </w:pPr>
      <w:r>
        <w:rPr>
          <w:color w:val="auto"/>
        </w:rPr>
        <w:t>Supported patient credit balance and insurance refund processes and coordinated resolution of pending items.</w:t>
      </w:r>
    </w:p>
    <w:p w14:paraId="696D6EFB">
      <w:pPr>
        <w:pStyle w:val="23"/>
        <w:spacing w:after="70"/>
        <w:ind w:left="317" w:hanging="173"/>
        <w:rPr>
          <w:b/>
          <w:color w:val="auto"/>
          <w:sz w:val="21"/>
          <w:szCs w:val="21"/>
        </w:rPr>
      </w:pPr>
      <w:r>
        <w:rPr>
          <w:color w:val="auto"/>
        </w:rPr>
        <w:t>Maintained regular communication with clients and onshore teams to address process and account-level issues.</w:t>
      </w:r>
    </w:p>
    <w:p w14:paraId="5896F08A">
      <w:pPr>
        <w:numPr>
          <w:numId w:val="0"/>
        </w:numPr>
        <w:spacing w:after="60"/>
        <w:ind w:leftChars="0"/>
        <w:rPr>
          <w:b/>
          <w:color w:val="auto"/>
          <w:sz w:val="21"/>
          <w:szCs w:val="21"/>
        </w:rPr>
      </w:pPr>
    </w:p>
    <w:p w14:paraId="45F9AE5E">
      <w:pPr>
        <w:numPr>
          <w:numId w:val="0"/>
        </w:numPr>
        <w:spacing w:after="60"/>
        <w:ind w:leftChars="0"/>
        <w:rPr>
          <w:b/>
          <w:bCs w:val="0"/>
          <w:color w:val="auto"/>
          <w:sz w:val="20"/>
          <w:szCs w:val="20"/>
        </w:rPr>
      </w:pPr>
      <w:r>
        <w:rPr>
          <w:b/>
          <w:bCs w:val="0"/>
          <w:color w:val="auto"/>
          <w:sz w:val="20"/>
          <w:szCs w:val="20"/>
        </w:rPr>
        <w:t>Assistant Team Lead – Payment</w:t>
      </w:r>
      <w:r>
        <w:rPr>
          <w:rFonts w:hint="default"/>
          <w:b/>
          <w:bCs w:val="0"/>
          <w:color w:val="auto"/>
          <w:sz w:val="20"/>
          <w:szCs w:val="20"/>
          <w:lang w:val="en-IN"/>
        </w:rPr>
        <w:t xml:space="preserve"> Posting</w:t>
      </w:r>
      <w:r>
        <w:rPr>
          <w:b/>
          <w:bCs w:val="0"/>
          <w:color w:val="auto"/>
          <w:sz w:val="20"/>
          <w:szCs w:val="20"/>
        </w:rPr>
        <w:t xml:space="preserve"> |  Jan 2023 – Aug 2024</w:t>
      </w:r>
    </w:p>
    <w:p w14:paraId="2AD6E05E">
      <w:pPr>
        <w:pStyle w:val="23"/>
        <w:spacing w:after="70"/>
        <w:ind w:left="317" w:hanging="173"/>
        <w:rPr>
          <w:color w:val="auto"/>
        </w:rPr>
      </w:pPr>
      <w:r>
        <w:rPr>
          <w:color w:val="auto"/>
        </w:rPr>
        <w:t>Supported payment posting, reconciliation, batch monitoring, and day-to-day workflow management.</w:t>
      </w:r>
    </w:p>
    <w:p w14:paraId="03BB2B3A">
      <w:pPr>
        <w:pStyle w:val="23"/>
        <w:spacing w:after="70"/>
        <w:ind w:left="317" w:hanging="173"/>
        <w:rPr>
          <w:color w:val="auto"/>
        </w:rPr>
      </w:pPr>
      <w:r>
        <w:rPr>
          <w:color w:val="auto"/>
        </w:rPr>
        <w:t>Coordinated with onshore teams for client issues, payment exceptions, and resolution tracking.</w:t>
      </w:r>
    </w:p>
    <w:p w14:paraId="79A8E370">
      <w:pPr>
        <w:pStyle w:val="23"/>
        <w:spacing w:after="70"/>
        <w:ind w:left="317" w:hanging="173"/>
        <w:rPr>
          <w:color w:val="auto"/>
        </w:rPr>
      </w:pPr>
      <w:r>
        <w:rPr>
          <w:color w:val="auto"/>
        </w:rPr>
        <w:t>Worked on insurance refunds and payer follow-ups while supporting EVBV operations and SLA adherence.</w:t>
      </w:r>
    </w:p>
    <w:p w14:paraId="12CC1782">
      <w:pPr>
        <w:pStyle w:val="23"/>
        <w:numPr>
          <w:numId w:val="0"/>
        </w:numPr>
        <w:spacing w:after="70"/>
        <w:rPr>
          <w:color w:val="auto"/>
        </w:rPr>
      </w:pPr>
    </w:p>
    <w:p w14:paraId="23CFC687">
      <w:pPr>
        <w:spacing w:before="140" w:after="40"/>
        <w:rPr>
          <w:rFonts w:hint="default"/>
          <w:color w:val="auto"/>
          <w:lang w:val="en-IN"/>
        </w:rPr>
      </w:pPr>
      <w:r>
        <w:rPr>
          <w:b/>
          <w:color w:val="auto"/>
          <w:sz w:val="22"/>
        </w:rPr>
        <w:t>Health Prime Services (I) Pvt Ltd</w:t>
      </w:r>
    </w:p>
    <w:p w14:paraId="5BD31580">
      <w:pPr>
        <w:spacing w:after="60"/>
        <w:rPr>
          <w:b/>
          <w:bCs w:val="0"/>
          <w:color w:val="auto"/>
          <w:sz w:val="20"/>
          <w:szCs w:val="20"/>
        </w:rPr>
      </w:pPr>
      <w:r>
        <w:rPr>
          <w:b/>
          <w:bCs w:val="0"/>
          <w:color w:val="auto"/>
          <w:sz w:val="20"/>
          <w:szCs w:val="20"/>
        </w:rPr>
        <w:t>Assistant Team Lead  |  Jan 2020 – Sep 2022</w:t>
      </w:r>
    </w:p>
    <w:p w14:paraId="491418FA">
      <w:pPr>
        <w:pStyle w:val="23"/>
        <w:spacing w:after="70"/>
        <w:ind w:left="317" w:hanging="173"/>
        <w:rPr>
          <w:color w:val="auto"/>
        </w:rPr>
      </w:pPr>
      <w:r>
        <w:rPr>
          <w:color w:val="auto"/>
        </w:rPr>
        <w:t>Managed reconciliation and payment posting operations while monitoring daily workflow and accuracy.</w:t>
      </w:r>
    </w:p>
    <w:p w14:paraId="2B5AFE92">
      <w:pPr>
        <w:pStyle w:val="23"/>
        <w:spacing w:after="70"/>
        <w:ind w:left="317" w:hanging="173"/>
        <w:rPr>
          <w:color w:val="auto"/>
        </w:rPr>
      </w:pPr>
      <w:r>
        <w:rPr>
          <w:color w:val="auto"/>
        </w:rPr>
        <w:t>Trained team members on process procedures, exception handling, and issue resolution.</w:t>
      </w:r>
    </w:p>
    <w:p w14:paraId="1DFEDEEF">
      <w:pPr>
        <w:pStyle w:val="23"/>
        <w:spacing w:after="70"/>
        <w:ind w:left="317" w:hanging="173"/>
        <w:rPr>
          <w:color w:val="auto"/>
        </w:rPr>
      </w:pPr>
      <w:r>
        <w:rPr>
          <w:color w:val="auto"/>
        </w:rPr>
        <w:t>Supported new client onboarding and process transitions, including coordination across operational teams.</w:t>
      </w:r>
    </w:p>
    <w:p w14:paraId="70869E6E">
      <w:pPr>
        <w:pStyle w:val="23"/>
        <w:spacing w:after="70"/>
        <w:ind w:left="317" w:hanging="173"/>
        <w:rPr>
          <w:color w:val="auto"/>
        </w:rPr>
      </w:pPr>
      <w:r>
        <w:rPr>
          <w:color w:val="auto"/>
        </w:rPr>
        <w:t>Coordinated with AR teams and clients; supported denials, correspondence, and issue tracking.</w:t>
      </w:r>
    </w:p>
    <w:p w14:paraId="0E6DCFD8">
      <w:pPr>
        <w:pStyle w:val="23"/>
        <w:numPr>
          <w:numId w:val="0"/>
        </w:numPr>
        <w:spacing w:after="70" w:line="259" w:lineRule="auto"/>
        <w:contextualSpacing/>
        <w:rPr>
          <w:color w:val="auto"/>
        </w:rPr>
      </w:pPr>
    </w:p>
    <w:p w14:paraId="5540925D">
      <w:pPr>
        <w:spacing w:before="140" w:after="40"/>
        <w:rPr>
          <w:color w:val="auto"/>
        </w:rPr>
      </w:pPr>
      <w:r>
        <w:rPr>
          <w:b/>
          <w:color w:val="auto"/>
          <w:sz w:val="22"/>
        </w:rPr>
        <w:t>IKS Health</w:t>
      </w:r>
    </w:p>
    <w:p w14:paraId="10E3D5A5">
      <w:pPr>
        <w:spacing w:after="60"/>
        <w:rPr>
          <w:b/>
          <w:bCs w:val="0"/>
          <w:color w:val="auto"/>
          <w:sz w:val="20"/>
          <w:szCs w:val="20"/>
        </w:rPr>
      </w:pPr>
      <w:r>
        <w:rPr>
          <w:b/>
          <w:bCs w:val="0"/>
          <w:color w:val="auto"/>
          <w:sz w:val="20"/>
          <w:szCs w:val="20"/>
        </w:rPr>
        <w:t>Revenue Cycle Representative – Payment Posting  |  Apr 2017 – Dec 2018</w:t>
      </w:r>
    </w:p>
    <w:p w14:paraId="36E70957">
      <w:pPr>
        <w:pStyle w:val="23"/>
        <w:spacing w:after="70"/>
        <w:ind w:left="317" w:hanging="173"/>
        <w:rPr>
          <w:color w:val="auto"/>
        </w:rPr>
      </w:pPr>
      <w:r>
        <w:rPr>
          <w:color w:val="auto"/>
        </w:rPr>
        <w:t>Processed electronic and manual payments with focus on accurate and timely posting.</w:t>
      </w:r>
    </w:p>
    <w:p w14:paraId="0DD4D4FD">
      <w:pPr>
        <w:pStyle w:val="23"/>
        <w:spacing w:after="70"/>
        <w:ind w:left="317" w:hanging="173"/>
        <w:rPr>
          <w:color w:val="auto"/>
        </w:rPr>
      </w:pPr>
      <w:r>
        <w:rPr>
          <w:color w:val="auto"/>
        </w:rPr>
        <w:t>Performed reconciliation and prepared payment posting summaries and exception follow-ups.</w:t>
      </w:r>
    </w:p>
    <w:p w14:paraId="748DED1C">
      <w:pPr>
        <w:pStyle w:val="23"/>
        <w:spacing w:after="70"/>
        <w:ind w:left="317" w:hanging="173"/>
        <w:rPr>
          <w:color w:val="auto"/>
        </w:rPr>
      </w:pPr>
      <w:r>
        <w:rPr>
          <w:color w:val="auto"/>
        </w:rPr>
        <w:t>Handled team queries, and payment-related issue resolution.</w:t>
      </w:r>
    </w:p>
    <w:p w14:paraId="039DD82D">
      <w:pPr>
        <w:pStyle w:val="23"/>
        <w:spacing w:after="70"/>
        <w:ind w:left="317" w:hanging="173"/>
        <w:rPr>
          <w:color w:val="auto"/>
        </w:rPr>
      </w:pPr>
      <w:r>
        <w:rPr>
          <w:color w:val="auto"/>
        </w:rPr>
        <w:t>Trained new team members on payment posting processes and quality requirements.</w:t>
      </w:r>
    </w:p>
    <w:p w14:paraId="0134B24A">
      <w:pPr>
        <w:pStyle w:val="23"/>
        <w:spacing w:after="70"/>
        <w:ind w:left="317" w:hanging="173"/>
        <w:rPr>
          <w:color w:val="auto"/>
        </w:rPr>
      </w:pPr>
      <w:r>
        <w:rPr>
          <w:color w:val="auto"/>
        </w:rPr>
        <w:t>Transitioned to Client Services, supporting client communication, reconciliation, claims, and reporting.</w:t>
      </w:r>
    </w:p>
    <w:p w14:paraId="6F16F775">
      <w:pPr>
        <w:pBdr>
          <w:bottom w:val="single" w:color="9EADBA" w:sz="6" w:space="2"/>
        </w:pBdr>
        <w:spacing w:before="200" w:after="100"/>
        <w:rPr>
          <w:color w:val="auto"/>
        </w:rPr>
      </w:pPr>
      <w:r>
        <w:rPr>
          <w:b/>
          <w:color w:val="auto"/>
          <w:sz w:val="23"/>
        </w:rPr>
        <w:t>EDUCATION</w:t>
      </w:r>
    </w:p>
    <w:p w14:paraId="40937E9A">
      <w:pPr>
        <w:pStyle w:val="23"/>
        <w:spacing w:after="70"/>
        <w:ind w:left="317" w:hanging="173"/>
        <w:rPr>
          <w:color w:val="auto"/>
        </w:rPr>
      </w:pPr>
      <w:r>
        <w:rPr>
          <w:color w:val="auto"/>
        </w:rPr>
        <w:t>TYBBI, University of Mumbai – 2016</w:t>
      </w:r>
    </w:p>
    <w:p w14:paraId="7D2C17C7">
      <w:pPr>
        <w:pStyle w:val="23"/>
        <w:spacing w:after="70"/>
        <w:ind w:left="317" w:hanging="173"/>
        <w:rPr>
          <w:color w:val="auto"/>
        </w:rPr>
      </w:pPr>
      <w:r>
        <w:rPr>
          <w:color w:val="auto"/>
        </w:rPr>
        <w:t>H.S.C., Maharashtra State Board – 2013</w:t>
      </w:r>
    </w:p>
    <w:p w14:paraId="5FA0AB14">
      <w:pPr>
        <w:pStyle w:val="23"/>
        <w:spacing w:after="70"/>
        <w:ind w:left="317" w:hanging="173"/>
        <w:rPr>
          <w:color w:val="auto"/>
        </w:rPr>
      </w:pPr>
      <w:r>
        <w:rPr>
          <w:color w:val="auto"/>
        </w:rPr>
        <w:t>S.S.C., Maharashtra State Board – 2011</w:t>
      </w:r>
    </w:p>
    <w:p w14:paraId="2F7DA52F">
      <w:pPr>
        <w:pBdr>
          <w:bottom w:val="single" w:color="9EADBA" w:sz="6" w:space="2"/>
        </w:pBdr>
        <w:spacing w:before="200" w:after="100"/>
        <w:rPr>
          <w:color w:val="auto"/>
        </w:rPr>
      </w:pPr>
      <w:r>
        <w:rPr>
          <w:b/>
          <w:color w:val="auto"/>
          <w:sz w:val="23"/>
        </w:rPr>
        <w:t>SYSTEMS / SOFTWARE</w:t>
      </w:r>
    </w:p>
    <w:p w14:paraId="60B6D3EE">
      <w:pPr>
        <w:spacing w:after="120"/>
        <w:rPr>
          <w:color w:val="auto"/>
        </w:rPr>
      </w:pPr>
      <w:r>
        <w:rPr>
          <w:color w:val="auto"/>
        </w:rPr>
        <w:t>NextGen | NextTech | AdvancedMD | Rehab Toolkit | WinOMS | eCW | FIEHR | Lytech | QPM | Allscripts</w:t>
      </w:r>
    </w:p>
    <w:p w14:paraId="11B6A2C8">
      <w:pPr>
        <w:pBdr>
          <w:bottom w:val="single" w:color="9EADBA" w:sz="6" w:space="2"/>
        </w:pBdr>
        <w:spacing w:before="200" w:after="100"/>
        <w:rPr>
          <w:color w:val="auto"/>
        </w:rPr>
      </w:pPr>
      <w:r>
        <w:rPr>
          <w:b/>
          <w:color w:val="auto"/>
          <w:sz w:val="23"/>
        </w:rPr>
        <w:t>ACHIEVEMENTS &amp; LEADERSHIP</w:t>
      </w:r>
    </w:p>
    <w:p w14:paraId="058535E7">
      <w:pPr>
        <w:pStyle w:val="23"/>
        <w:spacing w:after="70"/>
        <w:ind w:left="317" w:hanging="173"/>
        <w:rPr>
          <w:color w:val="auto"/>
        </w:rPr>
      </w:pPr>
      <w:r>
        <w:rPr>
          <w:color w:val="auto"/>
        </w:rPr>
        <w:t>Recognized multiple times as Best Performer at IKS Health.</w:t>
      </w:r>
    </w:p>
    <w:p w14:paraId="3562EEB4">
      <w:pPr>
        <w:pStyle w:val="23"/>
        <w:spacing w:after="70"/>
        <w:ind w:left="317" w:hanging="173"/>
        <w:rPr>
          <w:color w:val="auto"/>
        </w:rPr>
      </w:pPr>
      <w:r>
        <w:rPr>
          <w:color w:val="auto"/>
        </w:rPr>
        <w:t>Vice President, Happ</w:t>
      </w:r>
      <w:r>
        <w:rPr>
          <w:rFonts w:hint="default"/>
          <w:color w:val="auto"/>
          <w:lang w:val="en-IN"/>
        </w:rPr>
        <w:t>ie</w:t>
      </w:r>
      <w:r>
        <w:rPr>
          <w:color w:val="auto"/>
        </w:rPr>
        <w:t xml:space="preserve"> Foundation (NGO).</w:t>
      </w:r>
    </w:p>
    <w:p w14:paraId="79BCBD79">
      <w:pPr>
        <w:pStyle w:val="23"/>
        <w:spacing w:after="70"/>
        <w:ind w:left="317" w:hanging="173"/>
        <w:rPr>
          <w:color w:val="auto"/>
        </w:rPr>
      </w:pPr>
      <w:r>
        <w:rPr>
          <w:color w:val="auto"/>
        </w:rPr>
        <w:t>Certified in Classical Singing and Martial Arts.</w:t>
      </w:r>
    </w:p>
    <w:p w14:paraId="4E75B800">
      <w:pPr>
        <w:pBdr>
          <w:bottom w:val="single" w:color="9EADBA" w:sz="6" w:space="2"/>
        </w:pBdr>
        <w:spacing w:before="200" w:after="100"/>
        <w:rPr>
          <w:color w:val="auto"/>
        </w:rPr>
      </w:pPr>
      <w:r>
        <w:rPr>
          <w:b/>
          <w:color w:val="auto"/>
          <w:sz w:val="23"/>
        </w:rPr>
        <w:t>LANGUAGES</w:t>
      </w:r>
    </w:p>
    <w:p w14:paraId="5076C95F">
      <w:pPr>
        <w:rPr>
          <w:color w:val="auto"/>
        </w:rPr>
      </w:pPr>
      <w:r>
        <w:rPr>
          <w:color w:val="auto"/>
        </w:rPr>
        <w:t>English | Hindi | Marathi | Oriya</w:t>
      </w:r>
    </w:p>
    <w:sectPr>
      <w:footerReference r:id="rId5" w:type="default"/>
      <w:pgSz w:w="12240" w:h="15840"/>
      <w:pgMar w:top="936" w:right="1080" w:bottom="936" w:left="1080"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19742">
    <w:pPr>
      <w:pStyle w:val="18"/>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04CA"/>
    <w:rsid w:val="00AA1D8D"/>
    <w:rsid w:val="00B47730"/>
    <w:rsid w:val="00CB0664"/>
    <w:rsid w:val="00FC693F"/>
    <w:rsid w:val="284867A4"/>
    <w:rsid w:val="4EE47F9B"/>
    <w:rsid w:val="5A1A79E1"/>
    <w:rsid w:val="66837437"/>
    <w:rsid w:val="74F26A6B"/>
    <w:rsid w:val="7FB57F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Aptos" w:hAnsi="Aptos"/>
      <w:sz w:val="20"/>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569</Words>
  <Characters>3684</Characters>
  <Lines>0</Lines>
  <Paragraphs>0</Paragraphs>
  <TotalTime>25</TotalTime>
  <ScaleCrop>false</ScaleCrop>
  <LinksUpToDate>false</LinksUpToDate>
  <CharactersWithSpaces>4206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Niharika Sahu</cp:lastModifiedBy>
  <dcterms:modified xsi:type="dcterms:W3CDTF">2026-09-29T14:25:24Z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eyJoZGlkIjoiNGNjMDdmNzMyNzQ0NDBlM2JhZjU3ZWJjNDZiYjMwMWEiLCJ1c2VySWQiOiI1NjcxNTE1NjA1NjUifQ==</vt:lpwstr>
  </property>
  <property fmtid="{D5CDD505-2E9C-101B-9397-08002B2CF9AE}" pid="3" name="KSOProductBuildVer">
    <vt:lpwstr>1033-12.1.0.28485</vt:lpwstr>
  </property>
  <property fmtid="{D5CDD505-2E9C-101B-9397-08002B2CF9AE}" pid="4" name="ICV">
    <vt:lpwstr>1E6745EC0ED04000BBF495627F5C999B_12</vt:lpwstr>
  </property>
</Properties>
</file>