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fonts/font22.odttf" ContentType="application/vnd.openxmlformats-officedocument.obfuscatedFont"/>
  <Override PartName="/word/fonts/font23.odttf" ContentType="application/vnd.openxmlformats-officedocument.obfuscatedFont"/>
  <Override PartName="/word/fonts/font24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lineRule="auto" w:line="259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bookmarkStart w:id="0" w:name="docs-internal-guid-6f19adc8-7fff-dc12-b5"/>
      <w:bookmarkEnd w:id="0"/>
      <w:r>
        <w:rPr>
          <w:rFonts w:eastAsia="Calibri" w:cs="Calibri" w:ascii="Arial;sans-serif" w:hAnsi="Arial;sans-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4"/>
          <w:szCs w:val="28"/>
          <w:u w:val="none"/>
          <w:effect w:val="none"/>
          <w:shd w:fill="auto" w:val="clear"/>
        </w:rPr>
        <w:t>Project Design Phase-II</w:t>
      </w:r>
    </w:p>
    <w:p>
      <w:pPr>
        <w:pStyle w:val="BodyText"/>
        <w:widowControl/>
        <w:bidi w:val="0"/>
        <w:spacing w:lineRule="auto" w:line="310" w:before="0" w:after="0"/>
        <w:ind w:hanging="0" w:left="0" w:right="0"/>
        <w:jc w:val="center"/>
        <w:rPr>
          <w:rFonts w:ascii="Arial;sans-serif" w:hAnsi="Arial;sans-serif" w:eastAsia="Calibri" w:cs="Calibri"/>
          <w:b/>
          <w:bCs/>
          <w:i w:val="false"/>
          <w:caps w:val="false"/>
          <w:smallCaps w:val="false"/>
          <w:strike w:val="false"/>
          <w:dstrike w:val="false"/>
          <w:color w:val="000000"/>
          <w:sz w:val="24"/>
          <w:szCs w:val="28"/>
          <w:u w:val="none"/>
          <w:effect w:val="none"/>
          <w:shd w:fill="auto" w:val="clear"/>
        </w:rPr>
      </w:pPr>
      <w:r>
        <w:rPr>
          <w:rFonts w:eastAsia="Calibri" w:cs="Calibri" w:ascii="Arial;sans-serif" w:hAnsi="Arial;sans-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4"/>
          <w:szCs w:val="28"/>
          <w:u w:val="none"/>
          <w:effect w:val="none"/>
          <w:shd w:fill="auto" w:val="clear"/>
        </w:rPr>
        <w:t>Technology Stack (Architecture &amp; Stack)</w:t>
      </w:r>
    </w:p>
    <w:p>
      <w:pPr>
        <w:pStyle w:val="BodyText"/>
        <w:widowControl/>
        <w:spacing w:lineRule="auto" w:line="259" w:before="0" w:after="0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eastAsia="Calibri" w:cs="Calibri" w:ascii="Calibri" w:hAnsi="Calibri"/>
          <w:b/>
          <w:bCs/>
          <w:sz w:val="28"/>
          <w:szCs w:val="28"/>
        </w:rPr>
      </w:r>
    </w:p>
    <w:tbl>
      <w:tblPr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7"/>
      </w:tblGrid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Date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20  October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Team ID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Niharika Suhane</w:t>
            </w:r>
          </w:p>
        </w:tc>
      </w:tr>
      <w:tr>
        <w:trPr>
          <w:trHeight w:val="253" w:hRule="atLeast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Project Name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b w:val="false"/>
                <w:bCs w:val="false"/>
              </w:rPr>
            </w:pPr>
            <w:r>
              <w:rPr>
                <w:rStyle w:val="Strong"/>
                <w:rFonts w:eastAsia="Calibri" w:cs="Calibri" w:ascii="Calibri" w:hAnsi="Calibri"/>
                <w:b w:val="false"/>
                <w:bCs w:val="false"/>
              </w:rPr>
              <w:t>IMovies - Movie ticket booking made simple.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Maximum Marks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4 Marks</w:t>
            </w:r>
          </w:p>
        </w:tc>
      </w:tr>
    </w:tbl>
    <w:p>
      <w:pPr>
        <w:pStyle w:val="normal1"/>
        <w:spacing w:lineRule="auto" w:line="259" w:before="0" w:after="160"/>
        <w:rPr>
          <w:rFonts w:ascii="Calibri" w:hAnsi="Calibri" w:eastAsia="Calibri" w:cs="Calibri"/>
          <w:b/>
          <w:bCs/>
          <w:sz w:val="24"/>
          <w:szCs w:val="24"/>
        </w:rPr>
      </w:pPr>
      <w:r>
        <w:rPr>
          <w:rFonts w:eastAsia="Calibri" w:cs="Calibri" w:ascii="Calibri" w:hAnsi="Calibri"/>
          <w:b/>
          <w:bCs/>
          <w:sz w:val="24"/>
          <w:szCs w:val="24"/>
        </w:rPr>
      </w:r>
    </w:p>
    <w:p>
      <w:pPr>
        <w:pStyle w:val="Heading1"/>
        <w:spacing w:lineRule="auto" w:line="259" w:before="0" w:after="160"/>
        <w:rPr>
          <w:rFonts w:ascii="Calibri" w:hAnsi="Calibri" w:eastAsia="Calibri" w:cs="Calibri"/>
          <w:b/>
          <w:bCs/>
          <w:sz w:val="24"/>
          <w:szCs w:val="24"/>
        </w:rPr>
      </w:pPr>
      <w:r>
        <w:rPr>
          <w:rFonts w:eastAsia="Calibri" w:cs="Calibri" w:ascii="Calibri" w:hAnsi="Calibri"/>
          <w:b/>
          <w:bCs/>
          <w:sz w:val="24"/>
          <w:szCs w:val="24"/>
        </w:rPr>
        <w:t>Technical Architecture: IMovies – Movie Ticket Booking Made Simple</w:t>
      </w:r>
    </w:p>
    <w:p>
      <w:pPr>
        <w:pStyle w:val="BodyText"/>
        <w:widowControl/>
        <w:spacing w:lineRule="auto" w:line="259" w:before="0" w:after="160"/>
        <w:rPr>
          <w:rFonts w:ascii="Calibri" w:hAnsi="Calibri" w:eastAsia="Calibri" w:cs="Calibri"/>
          <w:b w:val="false"/>
          <w:bCs w:val="false"/>
          <w:sz w:val="24"/>
          <w:szCs w:val="24"/>
        </w:rPr>
      </w:pPr>
      <w:r>
        <w:rPr>
          <w:rFonts w:eastAsia="Calibri" w:cs="Calibri" w:ascii="Calibri" w:hAnsi="Calibri"/>
          <w:b w:val="false"/>
          <w:bCs w:val="false"/>
          <w:sz w:val="24"/>
          <w:szCs w:val="24"/>
        </w:rPr>
        <w:t>The IMovies platform is designed using a scalable 3-tier architecture consisting of the presentation layer (frontend), application logic layer (backend), and data storage layer (database). The architecture supports movie browsing, showtime selection, real-time seat availability, secure ticket booking, payment integration, and booking notifications. It also enables integration with third-party services such as payment gateways and email/SMS APIs.</w:t>
      </w:r>
    </w:p>
    <w:p>
      <w:pPr>
        <w:pStyle w:val="BodyText"/>
        <w:widowControl/>
        <w:spacing w:lineRule="auto" w:line="259" w:before="0" w:after="160"/>
        <w:rPr>
          <w:rFonts w:ascii="Calibri" w:hAnsi="Calibri" w:eastAsia="Calibri" w:cs="Calibri"/>
          <w:b w:val="false"/>
          <w:bCs w:val="false"/>
          <w:sz w:val="24"/>
          <w:szCs w:val="24"/>
        </w:rPr>
      </w:pPr>
      <w:r>
        <w:rPr>
          <w:rFonts w:eastAsia="Calibri" w:cs="Calibri" w:ascii="Calibri" w:hAnsi="Calibri"/>
          <w:b w:val="false"/>
          <w:bCs w:val="false"/>
          <w:sz w:val="24"/>
          <w:szCs w:val="24"/>
        </w:rPr>
      </w:r>
    </w:p>
    <w:p>
      <w:pPr>
        <w:pStyle w:val="Heading2"/>
        <w:spacing w:lineRule="auto" w:line="259" w:before="0" w:after="160"/>
        <w:rPr>
          <w:rFonts w:ascii="Calibri" w:hAnsi="Calibri" w:eastAsia="Calibri" w:cs="Calibri"/>
          <w:b/>
          <w:bCs/>
          <w:sz w:val="24"/>
          <w:szCs w:val="24"/>
        </w:rPr>
      </w:pPr>
      <w:r>
        <w:rPr>
          <w:rFonts w:eastAsia="Calibri" w:cs="Calibri" w:ascii="Calibri" w:hAnsi="Calibri"/>
          <w:b/>
          <w:bCs/>
          <w:sz w:val="24"/>
          <w:szCs w:val="24"/>
        </w:rPr>
        <w:t>Table 1: Components &amp; Technologies</w:t>
      </w:r>
    </w:p>
    <w:tbl>
      <w:tblPr>
        <w:tblW w:w="902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49"/>
        <w:gridCol w:w="1552"/>
        <w:gridCol w:w="4518"/>
        <w:gridCol w:w="2307"/>
      </w:tblGrid>
      <w:tr>
        <w:trPr/>
        <w:tc>
          <w:tcPr>
            <w:tcW w:w="649" w:type="dxa"/>
            <w:tcBorders/>
            <w:vAlign w:val="center"/>
          </w:tcPr>
          <w:p>
            <w:pPr>
              <w:pStyle w:val="TableHeading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>S.No.</w:t>
            </w:r>
          </w:p>
        </w:tc>
        <w:tc>
          <w:tcPr>
            <w:tcW w:w="1552" w:type="dxa"/>
            <w:tcBorders/>
            <w:vAlign w:val="center"/>
          </w:tcPr>
          <w:p>
            <w:pPr>
              <w:pStyle w:val="TableHeading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>Component</w:t>
            </w:r>
          </w:p>
        </w:tc>
        <w:tc>
          <w:tcPr>
            <w:tcW w:w="4518" w:type="dxa"/>
            <w:tcBorders/>
            <w:vAlign w:val="center"/>
          </w:tcPr>
          <w:p>
            <w:pPr>
              <w:pStyle w:val="TableHeading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>Description</w:t>
            </w:r>
          </w:p>
        </w:tc>
        <w:tc>
          <w:tcPr>
            <w:tcW w:w="2307" w:type="dxa"/>
            <w:tcBorders/>
            <w:vAlign w:val="center"/>
          </w:tcPr>
          <w:p>
            <w:pPr>
              <w:pStyle w:val="TableHeading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>Technology</w:t>
            </w:r>
          </w:p>
        </w:tc>
      </w:tr>
      <w:tr>
        <w:trPr/>
        <w:tc>
          <w:tcPr>
            <w:tcW w:w="649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552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 w:val="false"/>
                <w:bCs w:val="false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4"/>
                <w:szCs w:val="24"/>
              </w:rPr>
              <w:t>User Interface</w:t>
            </w:r>
          </w:p>
        </w:tc>
        <w:tc>
          <w:tcPr>
            <w:tcW w:w="4518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 w:val="false"/>
                <w:bCs w:val="false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4"/>
                <w:szCs w:val="24"/>
              </w:rPr>
              <w:t>Web-based interface for browsing movies, searching shows, selecting seats, and booking tickets.</w:t>
            </w:r>
          </w:p>
        </w:tc>
        <w:tc>
          <w:tcPr>
            <w:tcW w:w="2307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 w:val="false"/>
                <w:bCs w:val="false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4"/>
                <w:szCs w:val="24"/>
              </w:rPr>
              <w:t>HTML, CSS, JavaScript, React.js, Tailwind CSS</w:t>
            </w:r>
          </w:p>
        </w:tc>
      </w:tr>
      <w:tr>
        <w:trPr/>
        <w:tc>
          <w:tcPr>
            <w:tcW w:w="649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552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 w:val="false"/>
                <w:bCs w:val="false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4"/>
                <w:szCs w:val="24"/>
              </w:rPr>
              <w:t>Application Logic – 1</w:t>
            </w:r>
          </w:p>
        </w:tc>
        <w:tc>
          <w:tcPr>
            <w:tcW w:w="4518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 w:val="false"/>
                <w:bCs w:val="false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4"/>
                <w:szCs w:val="24"/>
              </w:rPr>
              <w:t>Handles user registration, login, movie listings, showtimes, and search functionality.</w:t>
            </w:r>
          </w:p>
        </w:tc>
        <w:tc>
          <w:tcPr>
            <w:tcW w:w="2307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 w:val="false"/>
                <w:bCs w:val="false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4"/>
                <w:szCs w:val="24"/>
              </w:rPr>
              <w:t>Node.js, Express.js</w:t>
            </w:r>
          </w:p>
        </w:tc>
      </w:tr>
      <w:tr>
        <w:trPr/>
        <w:tc>
          <w:tcPr>
            <w:tcW w:w="649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552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 w:val="false"/>
                <w:bCs w:val="false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4"/>
                <w:szCs w:val="24"/>
              </w:rPr>
              <w:t>Application Logic – 2</w:t>
            </w:r>
          </w:p>
        </w:tc>
        <w:tc>
          <w:tcPr>
            <w:tcW w:w="4518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 w:val="false"/>
                <w:bCs w:val="false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4"/>
                <w:szCs w:val="24"/>
              </w:rPr>
              <w:t>Manages seat availability, ticket booking, payment processing, booking history, and notifications.</w:t>
            </w:r>
          </w:p>
        </w:tc>
        <w:tc>
          <w:tcPr>
            <w:tcW w:w="2307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 w:val="false"/>
                <w:bCs w:val="false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4"/>
                <w:szCs w:val="24"/>
              </w:rPr>
              <w:t>Node.js, Express.js, RESTful APIs</w:t>
            </w:r>
          </w:p>
        </w:tc>
      </w:tr>
      <w:tr>
        <w:trPr/>
        <w:tc>
          <w:tcPr>
            <w:tcW w:w="649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552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 w:val="false"/>
                <w:bCs w:val="false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4"/>
                <w:szCs w:val="24"/>
              </w:rPr>
              <w:t>Database</w:t>
            </w:r>
          </w:p>
        </w:tc>
        <w:tc>
          <w:tcPr>
            <w:tcW w:w="4518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 w:val="false"/>
                <w:bCs w:val="false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4"/>
                <w:szCs w:val="24"/>
              </w:rPr>
              <w:t>Stores user details, movie information, theatre details, showtimes, seat status, bookings, and payment records.</w:t>
            </w:r>
          </w:p>
        </w:tc>
        <w:tc>
          <w:tcPr>
            <w:tcW w:w="2307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 w:val="false"/>
                <w:bCs w:val="false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4"/>
                <w:szCs w:val="24"/>
              </w:rPr>
              <w:t>MongoDB</w:t>
            </w:r>
          </w:p>
        </w:tc>
      </w:tr>
      <w:tr>
        <w:trPr/>
        <w:tc>
          <w:tcPr>
            <w:tcW w:w="649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552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 w:val="false"/>
                <w:bCs w:val="false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4"/>
                <w:szCs w:val="24"/>
              </w:rPr>
              <w:t>Payment Integration</w:t>
            </w:r>
          </w:p>
        </w:tc>
        <w:tc>
          <w:tcPr>
            <w:tcW w:w="4518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 w:val="false"/>
                <w:bCs w:val="false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4"/>
                <w:szCs w:val="24"/>
              </w:rPr>
              <w:t>Processes secure online ticket payments and maintains transaction status.</w:t>
            </w:r>
          </w:p>
        </w:tc>
        <w:tc>
          <w:tcPr>
            <w:tcW w:w="2307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 w:val="false"/>
                <w:bCs w:val="false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4"/>
                <w:szCs w:val="24"/>
              </w:rPr>
              <w:t>Razorpay / Stripe API</w:t>
            </w:r>
          </w:p>
        </w:tc>
      </w:tr>
      <w:tr>
        <w:trPr/>
        <w:tc>
          <w:tcPr>
            <w:tcW w:w="649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1552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 w:val="false"/>
                <w:bCs w:val="false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4"/>
                <w:szCs w:val="24"/>
              </w:rPr>
              <w:t>Notification Service</w:t>
            </w:r>
          </w:p>
        </w:tc>
        <w:tc>
          <w:tcPr>
            <w:tcW w:w="4518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 w:val="false"/>
                <w:bCs w:val="false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4"/>
                <w:szCs w:val="24"/>
              </w:rPr>
              <w:t>Sends booking confirmations, payment updates, and digital ticket details.</w:t>
            </w:r>
          </w:p>
        </w:tc>
        <w:tc>
          <w:tcPr>
            <w:tcW w:w="2307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 w:val="false"/>
                <w:bCs w:val="false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4"/>
                <w:szCs w:val="24"/>
              </w:rPr>
              <w:t>Email/SMS APIs</w:t>
            </w:r>
          </w:p>
        </w:tc>
      </w:tr>
    </w:tbl>
    <w:p>
      <w:pPr>
        <w:pStyle w:val="Heading2"/>
        <w:spacing w:lineRule="auto" w:line="259" w:before="0" w:after="160"/>
        <w:rPr>
          <w:rFonts w:ascii="Calibri" w:hAnsi="Calibri" w:eastAsia="Calibri" w:cs="Calibri"/>
          <w:b/>
          <w:bCs/>
          <w:sz w:val="24"/>
          <w:szCs w:val="24"/>
        </w:rPr>
      </w:pPr>
      <w:r>
        <w:rPr>
          <w:rFonts w:eastAsia="Calibri" w:cs="Calibri" w:ascii="Calibri" w:hAnsi="Calibri"/>
          <w:b/>
          <w:bCs/>
          <w:sz w:val="24"/>
          <w:szCs w:val="24"/>
        </w:rPr>
      </w:r>
    </w:p>
    <w:p>
      <w:pPr>
        <w:pStyle w:val="Heading2"/>
        <w:spacing w:lineRule="auto" w:line="259" w:before="0" w:after="160"/>
        <w:rPr>
          <w:rFonts w:ascii="Calibri" w:hAnsi="Calibri" w:eastAsia="Calibri" w:cs="Calibri"/>
          <w:b/>
          <w:bCs/>
          <w:sz w:val="24"/>
          <w:szCs w:val="24"/>
        </w:rPr>
      </w:pPr>
      <w:r>
        <w:rPr>
          <w:rFonts w:eastAsia="Calibri" w:cs="Calibri" w:ascii="Calibri" w:hAnsi="Calibri"/>
          <w:b/>
          <w:bCs/>
          <w:sz w:val="24"/>
          <w:szCs w:val="24"/>
        </w:rPr>
        <w:t>Table 2: Application Characteristics</w:t>
      </w:r>
    </w:p>
    <w:tbl>
      <w:tblPr>
        <w:tblW w:w="902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49"/>
        <w:gridCol w:w="1919"/>
        <w:gridCol w:w="4185"/>
        <w:gridCol w:w="2273"/>
      </w:tblGrid>
      <w:tr>
        <w:trPr/>
        <w:tc>
          <w:tcPr>
            <w:tcW w:w="649" w:type="dxa"/>
            <w:tcBorders/>
            <w:vAlign w:val="center"/>
          </w:tcPr>
          <w:p>
            <w:pPr>
              <w:pStyle w:val="TableHeading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>S.No.</w:t>
            </w:r>
          </w:p>
        </w:tc>
        <w:tc>
          <w:tcPr>
            <w:tcW w:w="1919" w:type="dxa"/>
            <w:tcBorders/>
            <w:vAlign w:val="center"/>
          </w:tcPr>
          <w:p>
            <w:pPr>
              <w:pStyle w:val="TableHeading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>Characteristics</w:t>
            </w:r>
          </w:p>
        </w:tc>
        <w:tc>
          <w:tcPr>
            <w:tcW w:w="4185" w:type="dxa"/>
            <w:tcBorders/>
            <w:vAlign w:val="center"/>
          </w:tcPr>
          <w:p>
            <w:pPr>
              <w:pStyle w:val="TableHeading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>Description</w:t>
            </w:r>
          </w:p>
        </w:tc>
        <w:tc>
          <w:tcPr>
            <w:tcW w:w="2273" w:type="dxa"/>
            <w:tcBorders/>
            <w:vAlign w:val="center"/>
          </w:tcPr>
          <w:p>
            <w:pPr>
              <w:pStyle w:val="TableHeading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>Technology</w:t>
            </w:r>
          </w:p>
        </w:tc>
      </w:tr>
      <w:tr>
        <w:trPr/>
        <w:tc>
          <w:tcPr>
            <w:tcW w:w="649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919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 w:val="false"/>
                <w:bCs w:val="false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4"/>
                <w:szCs w:val="24"/>
              </w:rPr>
              <w:t>Open-Source Frameworks</w:t>
            </w:r>
          </w:p>
        </w:tc>
        <w:tc>
          <w:tcPr>
            <w:tcW w:w="4185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 w:val="false"/>
                <w:bCs w:val="false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4"/>
                <w:szCs w:val="24"/>
              </w:rPr>
              <w:t>Provides reusable frontend and backend frameworks for efficient development.</w:t>
            </w:r>
          </w:p>
        </w:tc>
        <w:tc>
          <w:tcPr>
            <w:tcW w:w="2273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 w:val="false"/>
                <w:bCs w:val="false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4"/>
                <w:szCs w:val="24"/>
              </w:rPr>
              <w:t>React.js, Node.js, Express.js, Tailwind CSS</w:t>
            </w:r>
          </w:p>
        </w:tc>
      </w:tr>
      <w:tr>
        <w:trPr/>
        <w:tc>
          <w:tcPr>
            <w:tcW w:w="649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919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 w:val="false"/>
                <w:bCs w:val="false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4"/>
                <w:szCs w:val="24"/>
              </w:rPr>
              <w:t>Scalable Architecture</w:t>
            </w:r>
          </w:p>
        </w:tc>
        <w:tc>
          <w:tcPr>
            <w:tcW w:w="4185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 w:val="false"/>
                <w:bCs w:val="false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4"/>
                <w:szCs w:val="24"/>
              </w:rPr>
              <w:t>Uses a 3-tier architecture to separate the user interface, application logic, and database.</w:t>
            </w:r>
          </w:p>
        </w:tc>
        <w:tc>
          <w:tcPr>
            <w:tcW w:w="2273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 w:val="false"/>
                <w:bCs w:val="false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4"/>
                <w:szCs w:val="24"/>
              </w:rPr>
              <w:t>MVC pattern, RESTful APIs</w:t>
            </w:r>
          </w:p>
        </w:tc>
      </w:tr>
      <w:tr>
        <w:trPr/>
        <w:tc>
          <w:tcPr>
            <w:tcW w:w="649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919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 w:val="false"/>
                <w:bCs w:val="false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4"/>
                <w:szCs w:val="24"/>
              </w:rPr>
              <w:t>Security</w:t>
            </w:r>
          </w:p>
        </w:tc>
        <w:tc>
          <w:tcPr>
            <w:tcW w:w="4185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 w:val="false"/>
                <w:bCs w:val="false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4"/>
                <w:szCs w:val="24"/>
              </w:rPr>
              <w:t>Protects user accounts and booking information through authentication and secure communication.</w:t>
            </w:r>
          </w:p>
        </w:tc>
        <w:tc>
          <w:tcPr>
            <w:tcW w:w="2273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 w:val="false"/>
                <w:bCs w:val="false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4"/>
                <w:szCs w:val="24"/>
              </w:rPr>
              <w:t>JWT, HTTPS, password hashing</w:t>
            </w:r>
          </w:p>
        </w:tc>
      </w:tr>
      <w:tr>
        <w:trPr/>
        <w:tc>
          <w:tcPr>
            <w:tcW w:w="649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919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 w:val="false"/>
                <w:bCs w:val="false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4"/>
                <w:szCs w:val="24"/>
              </w:rPr>
              <w:t>Real-Time Seat Availability</w:t>
            </w:r>
          </w:p>
        </w:tc>
        <w:tc>
          <w:tcPr>
            <w:tcW w:w="4185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 w:val="false"/>
                <w:bCs w:val="false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4"/>
                <w:szCs w:val="24"/>
              </w:rPr>
              <w:t>Updates seat status and helps prevent duplicate seat bookings.</w:t>
            </w:r>
          </w:p>
        </w:tc>
        <w:tc>
          <w:tcPr>
            <w:tcW w:w="2273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 w:val="false"/>
                <w:bCs w:val="false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4"/>
                <w:szCs w:val="24"/>
              </w:rPr>
              <w:t>Database transactions, seat-locking logic</w:t>
            </w:r>
          </w:p>
        </w:tc>
      </w:tr>
      <w:tr>
        <w:trPr/>
        <w:tc>
          <w:tcPr>
            <w:tcW w:w="649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919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 w:val="false"/>
                <w:bCs w:val="false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4"/>
                <w:szCs w:val="24"/>
              </w:rPr>
              <w:t>Payment Security</w:t>
            </w:r>
          </w:p>
        </w:tc>
        <w:tc>
          <w:tcPr>
            <w:tcW w:w="4185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 w:val="false"/>
                <w:bCs w:val="false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4"/>
                <w:szCs w:val="24"/>
              </w:rPr>
              <w:t>Integrates with payment gateways to process transactions securely.</w:t>
            </w:r>
          </w:p>
        </w:tc>
        <w:tc>
          <w:tcPr>
            <w:tcW w:w="2273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 w:val="false"/>
                <w:bCs w:val="false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4"/>
                <w:szCs w:val="24"/>
              </w:rPr>
              <w:t>Razorpay / Stripe API</w:t>
            </w:r>
          </w:p>
        </w:tc>
      </w:tr>
      <w:tr>
        <w:trPr/>
        <w:tc>
          <w:tcPr>
            <w:tcW w:w="649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1919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 w:val="false"/>
                <w:bCs w:val="false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4"/>
                <w:szCs w:val="24"/>
              </w:rPr>
              <w:t>Responsive Design</w:t>
            </w:r>
          </w:p>
        </w:tc>
        <w:tc>
          <w:tcPr>
            <w:tcW w:w="4185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 w:val="false"/>
                <w:bCs w:val="false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4"/>
                <w:szCs w:val="24"/>
              </w:rPr>
              <w:t>Supports access from desktops, tablets, and mobile devices.</w:t>
            </w:r>
          </w:p>
        </w:tc>
        <w:tc>
          <w:tcPr>
            <w:tcW w:w="2273" w:type="dxa"/>
            <w:tcBorders/>
            <w:vAlign w:val="center"/>
          </w:tcPr>
          <w:p>
            <w:pPr>
              <w:pStyle w:val="TableContents"/>
              <w:widowControl/>
              <w:spacing w:lineRule="auto" w:line="259" w:before="0" w:after="160"/>
              <w:rPr>
                <w:rFonts w:ascii="Calibri" w:hAnsi="Calibri" w:eastAsia="Calibri" w:cs="Calibri"/>
                <w:b w:val="false"/>
                <w:bCs w:val="false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4"/>
                <w:szCs w:val="24"/>
              </w:rPr>
              <w:t>React.js, CSS, Tailwind CSS</w:t>
            </w:r>
          </w:p>
        </w:tc>
      </w:tr>
    </w:tbl>
    <w:p>
      <w:pPr>
        <w:pStyle w:val="BodyText"/>
        <w:widowControl/>
        <w:spacing w:lineRule="auto" w:line="259" w:before="0" w:after="160"/>
        <w:rPr>
          <w:rFonts w:ascii="Calibri" w:hAnsi="Calibri" w:eastAsia="Calibri" w:cs="Calibri"/>
          <w:b/>
          <w:bCs/>
          <w:sz w:val="24"/>
          <w:szCs w:val="24"/>
        </w:rPr>
      </w:pPr>
      <w:r>
        <w:rPr>
          <w:rFonts w:eastAsia="Calibri" w:cs="Calibri" w:ascii="Calibri" w:hAnsi="Calibri"/>
          <w:b/>
          <w:bCs/>
          <w:sz w:val="24"/>
          <w:szCs w:val="24"/>
        </w:rPr>
      </w:r>
    </w:p>
    <w:p>
      <w:pPr>
        <w:pStyle w:val="BodyText"/>
        <w:widowControl/>
        <w:spacing w:lineRule="auto" w:line="259" w:before="0" w:after="160"/>
        <w:rPr>
          <w:rFonts w:ascii="Calibri" w:hAnsi="Calibri" w:eastAsia="Calibri" w:cs="Calibri"/>
          <w:b/>
          <w:bCs/>
          <w:sz w:val="24"/>
          <w:szCs w:val="24"/>
        </w:rPr>
      </w:pPr>
      <w:r>
        <w:rPr>
          <w:rFonts w:eastAsia="Calibri" w:cs="Calibri" w:ascii="Calibri" w:hAnsi="Calibri"/>
          <w:b/>
          <w:bCs/>
          <w:sz w:val="24"/>
          <w:szCs w:val="24"/>
        </w:rPr>
        <w:t xml:space="preserve">Conclusion: </w:t>
      </w:r>
      <w:r>
        <w:rPr>
          <w:rFonts w:eastAsia="Calibri" w:cs="Calibri" w:ascii="Calibri" w:hAnsi="Calibri"/>
          <w:b w:val="false"/>
          <w:bCs w:val="false"/>
          <w:sz w:val="24"/>
          <w:szCs w:val="24"/>
        </w:rPr>
        <w:t>The technical architecture of IMovies provides a secure, maintainable, and scalable foundation for online movie ticket booking. Its modular components simplify future enhancements, including additional theatres, locations, payment methods, and user features.</w:t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  <w:b/>
          <w:bCs/>
          <w:sz w:val="24"/>
          <w:szCs w:val="24"/>
        </w:rPr>
      </w:pPr>
      <w:r>
        <w:rPr>
          <w:rFonts w:eastAsia="Calibri" w:cs="Calibri" w:ascii="Calibri" w:hAnsi="Calibri"/>
          <w:b/>
          <w:bCs/>
          <w:sz w:val="24"/>
          <w:szCs w:val="24"/>
        </w:rPr>
      </w:r>
    </w:p>
    <w:p>
      <w:pPr>
        <w:pStyle w:val="BodyText"/>
        <w:spacing w:lineRule="auto" w:line="259" w:before="0" w:after="160"/>
        <w:rPr>
          <w:rFonts w:ascii="Arial;sans-serif" w:hAnsi="Arial;sans-serif" w:eastAsia="Calibri" w:cs="Calibri"/>
          <w:b/>
          <w:bCs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</w:pPr>
      <w:bookmarkStart w:id="1" w:name="docs-internal-guid-16f28602-7fff-201c-99"/>
      <w:bookmarkEnd w:id="1"/>
      <w:r>
        <w:rPr>
          <w:rFonts w:eastAsia="Calibri" w:cs="Calibri" w:ascii="Arial;sans-serif" w:hAnsi="Arial;sans-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  <w:t>References:</w:t>
      </w:r>
    </w:p>
    <w:p>
      <w:pPr>
        <w:pStyle w:val="BodyText"/>
        <w:widowControl/>
        <w:bidi w:val="0"/>
        <w:spacing w:lineRule="auto" w:line="310" w:before="0" w:after="160"/>
        <w:ind w:hanging="0" w:left="0" w:right="0"/>
        <w:rPr>
          <w:rFonts w:ascii="Calibri" w:hAnsi="Calibri" w:eastAsia="Calibri" w:cs="Calibri"/>
          <w:color w:val="2A2A2A"/>
          <w:sz w:val="24"/>
          <w:szCs w:val="24"/>
        </w:rPr>
      </w:pPr>
      <w:hyperlink r:id="rId2">
        <w:r>
          <w:rPr>
            <w:rStyle w:val="Hyperlink"/>
            <w:rFonts w:eastAsia="Calibri" w:cs="Calibri" w:ascii="Arial;sans-serif" w:hAnsi="Arial;sans-serif"/>
            <w:b/>
            <w:i w:val="false"/>
            <w:caps w:val="false"/>
            <w:smallCaps w:val="false"/>
            <w:strike w:val="false"/>
            <w:dstrike w:val="false"/>
            <w:color w:val="1155CC"/>
            <w:sz w:val="22"/>
            <w:szCs w:val="24"/>
            <w:u w:val="single"/>
            <w:effect w:val="none"/>
            <w:shd w:fill="auto" w:val="clear"/>
          </w:rPr>
          <w:t>React.js Documentation</w:t>
        </w:r>
      </w:hyperlink>
    </w:p>
    <w:p>
      <w:pPr>
        <w:pStyle w:val="BodyText"/>
        <w:widowControl/>
        <w:bidi w:val="0"/>
        <w:spacing w:lineRule="auto" w:line="310" w:before="0" w:after="160"/>
        <w:ind w:hanging="0" w:left="0" w:right="0"/>
        <w:rPr>
          <w:rFonts w:ascii="Calibri" w:hAnsi="Calibri" w:eastAsia="Calibri" w:cs="Calibri"/>
          <w:color w:val="2A2A2A"/>
          <w:sz w:val="24"/>
          <w:szCs w:val="24"/>
        </w:rPr>
      </w:pPr>
      <w:hyperlink r:id="rId3">
        <w:r>
          <w:rPr>
            <w:rStyle w:val="Hyperlink"/>
            <w:rFonts w:eastAsia="Calibri" w:cs="Calibri" w:ascii="Arial;sans-serif" w:hAnsi="Arial;sans-serif"/>
            <w:b/>
            <w:i w:val="false"/>
            <w:caps w:val="false"/>
            <w:smallCaps w:val="false"/>
            <w:strike w:val="false"/>
            <w:dstrike w:val="false"/>
            <w:color w:val="1155CC"/>
            <w:sz w:val="22"/>
            <w:szCs w:val="24"/>
            <w:u w:val="single"/>
            <w:effect w:val="none"/>
            <w:shd w:fill="auto" w:val="clear"/>
          </w:rPr>
          <w:t>Node js Best Practice</w:t>
        </w:r>
      </w:hyperlink>
    </w:p>
    <w:p>
      <w:pPr>
        <w:pStyle w:val="BodyText"/>
        <w:widowControl/>
        <w:bidi w:val="0"/>
        <w:spacing w:lineRule="auto" w:line="310" w:before="0" w:after="160"/>
        <w:ind w:hanging="0" w:left="0" w:right="0"/>
        <w:rPr>
          <w:rFonts w:ascii="Calibri" w:hAnsi="Calibri" w:eastAsia="Calibri" w:cs="Calibri"/>
          <w:color w:val="2A2A2A"/>
          <w:sz w:val="24"/>
          <w:szCs w:val="24"/>
        </w:rPr>
      </w:pPr>
      <w:hyperlink r:id="rId4">
        <w:r>
          <w:rPr>
            <w:rStyle w:val="Hyperlink"/>
            <w:rFonts w:eastAsia="Calibri" w:cs="Calibri" w:ascii="Arial;sans-serif" w:hAnsi="Arial;sans-serif"/>
            <w:b/>
            <w:i w:val="false"/>
            <w:caps w:val="false"/>
            <w:smallCaps w:val="false"/>
            <w:strike w:val="false"/>
            <w:dstrike w:val="false"/>
            <w:color w:val="1155CC"/>
            <w:sz w:val="22"/>
            <w:szCs w:val="24"/>
            <w:u w:val="single"/>
            <w:effect w:val="none"/>
            <w:shd w:fill="auto" w:val="clear"/>
          </w:rPr>
          <w:t>JSON Web Server Referance</w:t>
        </w:r>
      </w:hyperlink>
    </w:p>
    <w:p>
      <w:pPr>
        <w:pStyle w:val="BodyText"/>
        <w:widowControl/>
        <w:bidi w:val="0"/>
        <w:spacing w:lineRule="auto" w:line="310" w:before="0" w:after="160"/>
        <w:ind w:hanging="0" w:left="0" w:right="0"/>
        <w:rPr>
          <w:rFonts w:ascii="Calibri" w:hAnsi="Calibri" w:eastAsia="Calibri" w:cs="Calibri"/>
          <w:color w:val="2A2A2A"/>
          <w:sz w:val="24"/>
          <w:szCs w:val="24"/>
        </w:rPr>
      </w:pPr>
      <w:hyperlink r:id="rId5">
        <w:r>
          <w:rPr>
            <w:rStyle w:val="Hyperlink"/>
            <w:rFonts w:eastAsia="Calibri" w:cs="Calibri" w:ascii="Arial;sans-serif" w:hAnsi="Arial;sans-serif"/>
            <w:b/>
            <w:i w:val="false"/>
            <w:caps w:val="false"/>
            <w:smallCaps w:val="false"/>
            <w:strike w:val="false"/>
            <w:dstrike w:val="false"/>
            <w:color w:val="0563C1"/>
            <w:sz w:val="22"/>
            <w:szCs w:val="24"/>
            <w:u w:val="single"/>
            <w:effect w:val="none"/>
            <w:shd w:fill="auto" w:val="clear"/>
          </w:rPr>
          <w:t>https://medium.com/the-internal-startup/how-to-draw-useful-technical-architecture-diagrams-2d20c9fda90d</w:t>
        </w:r>
      </w:hyperlink>
    </w:p>
    <w:p>
      <w:pPr>
        <w:pStyle w:val="BodyText"/>
        <w:widowControl/>
        <w:spacing w:lineRule="auto" w:line="259" w:before="0" w:after="160"/>
        <w:rPr>
          <w:rFonts w:ascii="Calibri" w:hAnsi="Calibri" w:eastAsia="Calibri" w:cs="Calibri"/>
          <w:b w:val="false"/>
          <w:color w:val="2A2A2A"/>
          <w:sz w:val="24"/>
          <w:szCs w:val="24"/>
        </w:rPr>
      </w:pPr>
      <w:r>
        <w:rPr>
          <w:rFonts w:eastAsia="Calibri" w:cs="Calibri" w:ascii="Calibri" w:hAnsi="Calibri"/>
          <w:b w:val="false"/>
          <w:color w:val="2A2A2A"/>
          <w:sz w:val="24"/>
          <w:szCs w:val="24"/>
        </w:rPr>
        <w:br/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  <w:color w:val="0563C1"/>
          <w:u w:val="single"/>
        </w:rPr>
      </w:pPr>
      <w:r>
        <w:rPr>
          <w:rFonts w:eastAsia="Calibri" w:cs="Calibri" w:ascii="Calibri" w:hAnsi="Calibri"/>
          <w:color w:val="0563C1"/>
          <w:u w:val="single"/>
        </w:rPr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OpenSymbol">
    <w:altName w:val="Arial Unicode MS"/>
    <w:charset w:val="00"/>
    <w:family w:val="swiss"/>
    <w:pitch w:val="variable"/>
    <w:embedRegular r:id="rId14" w:fontKey="{0E014A78-CABC-4EF0-12AC-5CD89AEFDE0E}"/>
    <w:embedBold r:id="rId15" w:fontKey="{0F014A78-CABC-4EF0-12AC-5CD89AEFDE0F}"/>
  </w:font>
  <w:font w:name="Liberation Sans">
    <w:altName w:val="Arial"/>
    <w:charset w:val="00"/>
    <w:family w:val="swiss"/>
    <w:pitch w:val="variable"/>
    <w:embedRegular r:id="rId16" w:fontKey="{10014A78-CABC-4EF0-12AC-5CD89AEFDE10}"/>
    <w:embedBold r:id="rId17" w:fontKey="{11014A78-CABC-4EF0-12AC-5CD89AEFDE11}"/>
    <w:embedItalic r:id="rId18" w:fontKey="{12014A78-CABC-4EF0-12AC-5CD89AEFDE12}"/>
    <w:embedBoldItalic r:id="rId19" w:fontKey="{13014A78-CABC-4EF0-12AC-5CD89AEFDE13}"/>
  </w:font>
  <w:font w:name="Arial">
    <w:altName w:val="sans-serif"/>
    <w:charset w:val="00"/>
    <w:family w:val="auto"/>
    <w:pitch w:val="default"/>
    <w:embedRegular r:id="rId20" w:fontKey="{14014A78-CABC-4EF0-12AC-5CD89AEFDE14}"/>
    <w:embedBold r:id="rId21" w:fontKey="{15014A78-CABC-4EF0-12AC-5CD89AEFDE15}"/>
    <w:embedItalic r:id="rId22" w:fontKey="{16014A78-CABC-4EF0-12AC-5CD89AEFDE16}"/>
    <w:embedBoldItalic r:id="rId23" w:fontKey="{17014A78-CABC-4EF0-12AC-5CD89AEFDE17}"/>
  </w:font>
  <w:font w:name="Calibri">
    <w:charset w:val="00"/>
    <w:family w:val="roman"/>
    <w:pitch w:val="variable"/>
    <w:embedRegular r:id="rId24" w:fontKey="{18014A78-CABC-4EF0-12AC-5CD89AEFDE18}"/>
  </w:font>
</w:fonts>
</file>

<file path=word/settings.xml><?xml version="1.0" encoding="utf-8"?>
<w:settings xmlns:w="http://schemas.openxmlformats.org/wordprocessingml/2006/main">
  <w:zoom w:percent="110"/>
  <w:embedTrueTypeFonts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>
    <w:name w:val="normal1"/>
    <w:qFormat/>
    <w:pPr>
      <w:widowControl/>
      <w:suppressAutoHyphens w:val="true"/>
      <w:overflowPunct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react.dev/" TargetMode="External"/><Relationship Id="rId3" Type="http://schemas.openxmlformats.org/officeDocument/2006/relationships/hyperlink" Target="https://nodejs.org/en/learn/getting-started/introduction-to-nodejs" TargetMode="External"/><Relationship Id="rId4" Type="http://schemas.openxmlformats.org/officeDocument/2006/relationships/hyperlink" Target="https://www.npmjs.com/package/json-server" TargetMode="External"/><Relationship Id="rId5" Type="http://schemas.openxmlformats.org/officeDocument/2006/relationships/hyperlink" Target="https://medium.com/the-internal-startup/how-to-draw-useful-technical-architecture-diagrams-2d20c9fda90d" TargetMode="Externa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<Relationship Id="rId23" Type="http://schemas.openxmlformats.org/officeDocument/2006/relationships/font" Target="fonts/font23.odttf"/><Relationship Id="rId24" Type="http://schemas.openxmlformats.org/officeDocument/2006/relationships/font" Target="fonts/font2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</TotalTime>
  <Application>LibreOffice/25.2.7.2$Windows_X86_64 LibreOffice_project/5cbfd1ab6520636bb5f7b99185aa69bd7456825d</Application>
  <AppVersion>15.0000</AppVersion>
  <Pages>3</Pages>
  <Words>360</Words>
  <Characters>2539</Characters>
  <CharactersWithSpaces>2828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2026-10-19T01:04:28Z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