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29.png" ContentType="image/png"/>
  <Override PartName="/word/media/rId67.png" ContentType="image/png"/>
  <Override PartName="/word/media/rId61.png" ContentType="image/png"/>
  <Override PartName="/word/media/rId64.png" ContentType="image/png"/>
  <Override PartName="/word/media/rId49.png" ContentType="image/png"/>
  <Override PartName="/word/media/rId35.png" ContentType="image/png"/>
  <Override PartName="/word/media/rId70.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机器学习实践报告"/>
    <w:p>
      <w:pPr>
        <w:pStyle w:val="Heading1"/>
      </w:pPr>
      <w:r>
        <w:rPr>
          <w:rFonts w:hint="eastAsia"/>
        </w:rPr>
        <w:t xml:space="preserve">机器学习实践报告</w:t>
      </w:r>
    </w:p>
    <w:p>
      <w:pPr>
        <w:pStyle w:val="FirstParagraph"/>
      </w:pPr>
      <w:r>
        <w:rPr>
          <w:rFonts w:hint="eastAsia"/>
          <w:b/>
          <w:bCs/>
        </w:rPr>
        <w:t xml:space="preserve">实践题目</w:t>
      </w:r>
      <w:r>
        <w:rPr>
          <w:rFonts w:hint="eastAsia"/>
        </w:rPr>
        <w:t xml:space="preserve">：基于降维与分类的网络入侵检测系统</w:t>
      </w:r>
      <w:r>
        <w:br/>
      </w:r>
      <w:r>
        <w:rPr>
          <w:rFonts w:hint="eastAsia"/>
          <w:b/>
          <w:bCs/>
        </w:rPr>
        <w:t xml:space="preserve">姓</w:t>
      </w:r>
      <w:r>
        <w:rPr>
          <w:b/>
          <w:bCs/>
        </w:rPr>
        <w:t xml:space="preserve"> </w:t>
      </w:r>
      <w:r>
        <w:rPr>
          <w:rFonts w:hint="eastAsia"/>
          <w:b/>
          <w:bCs/>
        </w:rPr>
        <w:t xml:space="preserve">名</w:t>
      </w:r>
      <w:r>
        <w:rPr>
          <w:rFonts w:hint="eastAsia"/>
        </w:rPr>
        <w:t xml:space="preserve">：__________</w:t>
      </w:r>
      <w:r>
        <w:br/>
      </w:r>
      <w:r>
        <w:rPr>
          <w:rFonts w:hint="eastAsia"/>
          <w:b/>
          <w:bCs/>
        </w:rPr>
        <w:t xml:space="preserve">学</w:t>
      </w:r>
      <w:r>
        <w:rPr>
          <w:b/>
          <w:bCs/>
        </w:rPr>
        <w:t xml:space="preserve"> </w:t>
      </w:r>
      <w:r>
        <w:rPr>
          <w:rFonts w:hint="eastAsia"/>
          <w:b/>
          <w:bCs/>
        </w:rPr>
        <w:t xml:space="preserve">号</w:t>
      </w:r>
      <w:r>
        <w:rPr>
          <w:rFonts w:hint="eastAsia"/>
        </w:rPr>
        <w:t xml:space="preserve">：__________</w:t>
      </w:r>
      <w:r>
        <w:br/>
      </w:r>
      <w:r>
        <w:rPr>
          <w:rFonts w:hint="eastAsia"/>
          <w:b/>
          <w:bCs/>
        </w:rPr>
        <w:t xml:space="preserve">院</w:t>
      </w:r>
      <w:r>
        <w:rPr>
          <w:b/>
          <w:bCs/>
        </w:rPr>
        <w:t xml:space="preserve"> </w:t>
      </w:r>
      <w:r>
        <w:rPr>
          <w:rFonts w:hint="eastAsia"/>
          <w:b/>
          <w:bCs/>
        </w:rPr>
        <w:t xml:space="preserve">系</w:t>
      </w:r>
      <w:r>
        <w:rPr>
          <w:rFonts w:hint="eastAsia"/>
        </w:rPr>
        <w:t xml:space="preserve">：__________</w:t>
      </w:r>
      <w:r>
        <w:br/>
      </w:r>
      <w:r>
        <w:rPr>
          <w:rFonts w:hint="eastAsia"/>
          <w:b/>
          <w:bCs/>
        </w:rPr>
        <w:t xml:space="preserve">专</w:t>
      </w:r>
      <w:r>
        <w:rPr>
          <w:b/>
          <w:bCs/>
        </w:rPr>
        <w:t xml:space="preserve"> </w:t>
      </w:r>
      <w:r>
        <w:rPr>
          <w:rFonts w:hint="eastAsia"/>
          <w:b/>
          <w:bCs/>
        </w:rPr>
        <w:t xml:space="preserve">业</w:t>
      </w:r>
      <w:r>
        <w:rPr>
          <w:rFonts w:hint="eastAsia"/>
        </w:rPr>
        <w:t xml:space="preserve">：__________</w:t>
      </w:r>
      <w:r>
        <w:br/>
      </w:r>
      <w:r>
        <w:rPr>
          <w:rFonts w:hint="eastAsia"/>
          <w:b/>
          <w:bCs/>
        </w:rPr>
        <w:t xml:space="preserve">指导教师</w:t>
      </w:r>
      <w:r>
        <w:rPr>
          <w:rFonts w:hint="eastAsia"/>
        </w:rPr>
        <w:t xml:space="preserve">：__________</w:t>
      </w:r>
      <w:r>
        <w:br/>
      </w:r>
      <w:r>
        <w:rPr>
          <w:rFonts w:hint="eastAsia"/>
          <w:b/>
          <w:bCs/>
        </w:rPr>
        <w:t xml:space="preserve">日期</w:t>
      </w:r>
      <w:r>
        <w:rPr>
          <w:rFonts w:hint="eastAsia"/>
        </w:rPr>
        <w:t xml:space="preserve">：2026</w:t>
      </w:r>
      <w:r>
        <w:t xml:space="preserve"> </w:t>
      </w:r>
      <w:r>
        <w:rPr>
          <w:rFonts w:hint="eastAsia"/>
        </w:rPr>
        <w:t xml:space="preserve">年</w:t>
      </w:r>
      <w:r>
        <w:t xml:space="preserve"> 1 </w:t>
      </w:r>
      <w:r>
        <w:rPr>
          <w:rFonts w:hint="eastAsia"/>
        </w:rPr>
        <w:t xml:space="preserve">月</w:t>
      </w:r>
      <w:r>
        <w:t xml:space="preserve"> 2 </w:t>
      </w:r>
      <w:r>
        <w:rPr>
          <w:rFonts w:hint="eastAsia"/>
        </w:rPr>
        <w:t xml:space="preserve">日</w:t>
      </w:r>
    </w:p>
    <w:bookmarkStart w:id="20" w:name="摘要"/>
    <w:p>
      <w:pPr>
        <w:pStyle w:val="Heading2"/>
      </w:pPr>
      <w:r>
        <w:rPr>
          <w:rFonts w:hint="eastAsia"/>
        </w:rPr>
        <w:t xml:space="preserve">摘要</w:t>
      </w:r>
    </w:p>
    <w:p>
      <w:pPr>
        <w:pStyle w:val="FirstParagraph"/>
      </w:pPr>
      <w:r>
        <w:rPr>
          <w:rFonts w:hint="eastAsia"/>
        </w:rPr>
        <w:t xml:space="preserve">网络入侵检测系统（Intrusion</w:t>
      </w:r>
      <w:r>
        <w:t xml:space="preserve"> Detection System, </w:t>
      </w:r>
      <w:r>
        <w:rPr>
          <w:rFonts w:hint="eastAsia"/>
        </w:rPr>
        <w:t xml:space="preserve">IDS）在企业内网、数据中心与云边协同环境中承担着关键的安全监测职责。相较于传统基于签名或人工规则的检测方式，基于机器学习的</w:t>
      </w:r>
      <w:r>
        <w:t xml:space="preserve"> IDS </w:t>
      </w:r>
      <w:r>
        <w:rPr>
          <w:rFonts w:hint="eastAsia"/>
        </w:rPr>
        <w:t xml:space="preserve">能够在一定程度上缓解规则维护成本高、对未知变种适应性弱的问题，但同时面临高维流量特征带来的计算开销、冗余相关性与“维度灾难”风险。为在检测性能与工程效率之间取得可操作的平衡，本文以</w:t>
      </w:r>
      <w:r>
        <w:t xml:space="preserve"> CSE-CIC-IDS2018 </w:t>
      </w:r>
      <w:r>
        <w:rPr>
          <w:rFonts w:hint="eastAsia"/>
        </w:rPr>
        <w:t xml:space="preserve">数据集的单日流量特征表（</w:t>
      </w:r>
      <w:r>
        <w:rPr>
          <w:rStyle w:val="VerbatimChar"/>
        </w:rPr>
        <w:t xml:space="preserve">Thursday-01-03-2018_TrafficForML_CICFlowMeter.csv</w:t>
      </w:r>
      <w:r>
        <w:rPr>
          <w:rFonts w:hint="eastAsia"/>
        </w:rPr>
        <w:t xml:space="preserve">）为研究对象，基于</w:t>
      </w:r>
      <w:r>
        <w:t xml:space="preserve"> 30 </w:t>
      </w:r>
      <w:r>
        <w:rPr>
          <w:rFonts w:hint="eastAsia"/>
        </w:rPr>
        <w:t xml:space="preserve">项核心流统计特征构建“降维</w:t>
      </w:r>
      <w:r>
        <w:t xml:space="preserve"> + </w:t>
      </w:r>
      <w:r>
        <w:rPr>
          <w:rFonts w:hint="eastAsia"/>
        </w:rPr>
        <w:t xml:space="preserve">分类”的入侵检测建模流程，并在统一的清洗、归一化与分层划分口径下，对</w:t>
      </w:r>
      <w:r>
        <w:t xml:space="preserve"> PCA、LDA、t-SNE </w:t>
      </w:r>
      <w:r>
        <w:rPr>
          <w:rFonts w:hint="eastAsia"/>
        </w:rPr>
        <w:t xml:space="preserve">三类降维方法与</w:t>
      </w:r>
      <w:r>
        <w:t xml:space="preserve"> </w:t>
      </w:r>
      <w:r>
        <w:rPr>
          <w:rFonts w:hint="eastAsia"/>
        </w:rPr>
        <w:t xml:space="preserve">SVM、随机森林、逻辑回归三类分类器进行组合对比评测。实验在清洗后</w:t>
      </w:r>
      <w:r>
        <w:t xml:space="preserve"> 328,181 </w:t>
      </w:r>
      <w:r>
        <w:rPr>
          <w:rFonts w:hint="eastAsia"/>
        </w:rPr>
        <w:t xml:space="preserve">条样本上进行，采用</w:t>
      </w:r>
      <w:r>
        <w:t xml:space="preserve"> 80%/20% </w:t>
      </w:r>
      <w:r>
        <w:rPr>
          <w:rFonts w:hint="eastAsia"/>
        </w:rPr>
        <w:t xml:space="preserve">的训练/测试划分；考虑到网格搜索与</w:t>
      </w:r>
      <w:r>
        <w:t xml:space="preserve"> t-SNE </w:t>
      </w:r>
      <w:r>
        <w:rPr>
          <w:rFonts w:hint="eastAsia"/>
        </w:rPr>
        <w:t xml:space="preserve">的计算复杂度，训练集进一步随机采样为</w:t>
      </w:r>
      <w:r>
        <w:t xml:space="preserve"> 10,000 </w:t>
      </w:r>
      <w:r>
        <w:rPr>
          <w:rFonts w:hint="eastAsia"/>
        </w:rPr>
        <w:t xml:space="preserve">条以保证实验可在合理时间内完成。评估指标覆盖准确率、误报率（FPR）、漏报率（FNR）与训练/预测耗时，并对该单日数据中唯一的攻击类型（Infilteration）进行单独的精确率、召回率与</w:t>
      </w:r>
      <w:r>
        <w:t xml:space="preserve"> F1 </w:t>
      </w:r>
      <w:r>
        <w:rPr>
          <w:rFonts w:hint="eastAsia"/>
        </w:rPr>
        <w:t xml:space="preserve">评估。结果显示，PCA</w:t>
      </w:r>
      <w:r>
        <w:t xml:space="preserve"> </w:t>
      </w:r>
      <w:r>
        <w:rPr>
          <w:rFonts w:hint="eastAsia"/>
        </w:rPr>
        <w:t xml:space="preserve">在</w:t>
      </w:r>
      <w:r>
        <w:t xml:space="preserve"> 10 </w:t>
      </w:r>
      <w:r>
        <w:rPr>
          <w:rFonts w:hint="eastAsia"/>
        </w:rPr>
        <w:t xml:space="preserve">维即可保留约</w:t>
      </w:r>
      <w:r>
        <w:t xml:space="preserve"> 97% </w:t>
      </w:r>
      <w:r>
        <w:rPr>
          <w:rFonts w:hint="eastAsia"/>
        </w:rPr>
        <w:t xml:space="preserve">信息，且在不同分类器下表现稳定，兼顾了信息保留与工程效率；t-SNE（2</w:t>
      </w:r>
      <w:r>
        <w:t xml:space="preserve"> </w:t>
      </w:r>
      <w:r>
        <w:rPr>
          <w:rFonts w:hint="eastAsia"/>
        </w:rPr>
        <w:t xml:space="preserve">维）+</w:t>
      </w:r>
      <w:r>
        <w:t xml:space="preserve"> SVM </w:t>
      </w:r>
      <w:r>
        <w:rPr>
          <w:rFonts w:hint="eastAsia"/>
        </w:rPr>
        <w:t xml:space="preserve">虽取得最高整体准确率（76.05%）且误报率最低（1.03%），但对攻击样本的召回率较低，呈现显著的“低误报—高漏报”权衡。本文进一步结合二维可视化与混淆矩阵对误报/漏报机理进行解释，并给出面向实际部署的规则提取思路与改进方向。</w:t>
      </w:r>
    </w:p>
    <w:p>
      <w:pPr>
        <w:pStyle w:val="BodyText"/>
      </w:pPr>
      <w:r>
        <w:rPr>
          <w:rFonts w:hint="eastAsia"/>
          <w:b/>
          <w:bCs/>
        </w:rPr>
        <w:t xml:space="preserve">关键词</w:t>
      </w:r>
      <w:r>
        <w:rPr>
          <w:rFonts w:hint="eastAsia"/>
        </w:rPr>
        <w:t xml:space="preserve">：入侵检测；CSE-CIC-IDS2018；降维；PCA；LDA；t-SNE；SVM；随机森林；逻辑回归</w:t>
      </w:r>
    </w:p>
    <w:bookmarkEnd w:id="20"/>
    <w:bookmarkStart w:id="21" w:name="abstract"/>
    <w:p>
      <w:pPr>
        <w:pStyle w:val="Heading2"/>
      </w:pPr>
      <w:r>
        <w:t xml:space="preserve">ABSTRACT</w:t>
      </w:r>
    </w:p>
    <w:p>
      <w:pPr>
        <w:pStyle w:val="FirstParagraph"/>
      </w:pPr>
      <w:r>
        <w:t xml:space="preserve">Intrusion Detection Systems (IDS) play a critical role in monitoring enterprise networks and data centers. Compared with signature-based or manually maintained rule systems, machine-learning-based IDS can reduce rule maintenance costs and improve adaptability to unseen variants, but also suffers from high-dimensional traffic features, redundant correlations, and increased computational overhead. This work studies a</w:t>
      </w:r>
      <w:r>
        <w:t xml:space="preserve"> </w:t>
      </w:r>
      <w:r>
        <w:t xml:space="preserve">“dimensionality reduction + classification”</w:t>
      </w:r>
      <w:r>
        <w:t xml:space="preserve"> </w:t>
      </w:r>
      <w:r>
        <w:t xml:space="preserve">pipeline on a single-day subset of the CSE-CIC-IDS2018 dataset (</w:t>
      </w:r>
      <w:r>
        <w:rPr>
          <w:rStyle w:val="VerbatimChar"/>
        </w:rPr>
        <w:t xml:space="preserve">Thursday-01-03-2018_TrafficForML_CICFlowMeter.csv</w:t>
      </w:r>
      <w:r>
        <w:t xml:space="preserve">). Using 30 core flow statistical features and a fixed cleaning/normalization protocol, we compare PCA, LDA, and t-SNE with three classifiers (SVM, Random Forest, and Logistic Regression). After cleaning, the dataset contains 328,181 samples with an 80/20 train/test split; the training set is further down-sampled to 10,000 samples to make grid search and t-SNE feasible within the course budget. We report Accuracy, False Positive Rate (FPR), False Negative Rate (FNR), and runtime (training and prediction), and additionally evaluate the only attack class in this day’s data (Infilteration) using Precision/Recall/F1. Results show that t-SNE (2D) + SVM achieves the highest accuracy (76.05%) and the lowest FPR (1.03%), but suffers from low attack recall, indicating a strong</w:t>
      </w:r>
      <w:r>
        <w:t xml:space="preserve"> </w:t>
      </w:r>
      <w:r>
        <w:t xml:space="preserve">“low-false-alarm vs high-miss”</w:t>
      </w:r>
      <w:r>
        <w:t xml:space="preserve"> </w:t>
      </w:r>
      <w:r>
        <w:t xml:space="preserve">trade-off. Random Forest is more stable across reducers and substantially faster at inference than SVM. We further provide visual explanations via 2D embeddings and confusion matrices, and discuss deployment-oriented security implications and improvement directions.</w:t>
      </w:r>
    </w:p>
    <w:p>
      <w:pPr>
        <w:pStyle w:val="BodyText"/>
      </w:pPr>
      <w:r>
        <w:rPr>
          <w:b/>
          <w:bCs/>
        </w:rPr>
        <w:t xml:space="preserve">Key words:</w:t>
      </w:r>
      <w:r>
        <w:t xml:space="preserve"> </w:t>
      </w:r>
      <w:r>
        <w:t xml:space="preserve">intrusion detection; CSE-CIC-IDS2018; dimensionality reduction; PCA; LDA; t-SNE; SVM; Random Forest; Logistic Regression</w:t>
      </w:r>
    </w:p>
    <w:bookmarkEnd w:id="21"/>
    <w:bookmarkStart w:id="22" w:name="目录"/>
    <w:p>
      <w:pPr>
        <w:pStyle w:val="Heading2"/>
      </w:pPr>
      <w:r>
        <w:rPr>
          <w:rFonts w:hint="eastAsia"/>
        </w:rPr>
        <w:t xml:space="preserve">目录</w:t>
      </w:r>
    </w:p>
    <w:p>
      <w:pPr>
        <w:pStyle w:val="FirstParagraph"/>
      </w:pPr>
      <w:r>
        <w:rPr>
          <w:rFonts w:hint="eastAsia"/>
        </w:rPr>
        <w:t xml:space="preserve">建议在导出</w:t>
      </w:r>
      <w:r>
        <w:t xml:space="preserve"> docx </w:t>
      </w:r>
      <w:r>
        <w:rPr>
          <w:rFonts w:hint="eastAsia"/>
        </w:rPr>
        <w:t xml:space="preserve">时启用自动目录：</w:t>
      </w:r>
      <w:r>
        <w:rPr>
          <w:rStyle w:val="VerbatimChar"/>
        </w:rPr>
        <w:t xml:space="preserve">pandoc report.md -o report.docx --toc --toc-depth=3</w:t>
      </w:r>
      <w:r>
        <w:t xml:space="preserve">。</w:t>
      </w:r>
    </w:p>
    <w:p>
      <w:r>
        <w:pict>
          <v:rect style="width:0;height:1.5pt" o:hralign="center" o:hrstd="t" o:hr="t"/>
        </w:pict>
      </w:r>
    </w:p>
    <w:bookmarkEnd w:id="22"/>
    <w:bookmarkStart w:id="26" w:name="设计背景与要求"/>
    <w:p>
      <w:pPr>
        <w:pStyle w:val="Heading2"/>
      </w:pPr>
      <w:r>
        <w:t xml:space="preserve">1 </w:t>
      </w:r>
      <w:r>
        <w:rPr>
          <w:rFonts w:hint="eastAsia"/>
        </w:rPr>
        <w:t xml:space="preserve">设计背景与要求</w:t>
      </w:r>
    </w:p>
    <w:bookmarkStart w:id="23" w:name="研究背景"/>
    <w:p>
      <w:pPr>
        <w:pStyle w:val="Heading3"/>
      </w:pPr>
      <w:r>
        <w:t xml:space="preserve">1.1 </w:t>
      </w:r>
      <w:r>
        <w:rPr>
          <w:rFonts w:hint="eastAsia"/>
        </w:rPr>
        <w:t xml:space="preserve">研究背景</w:t>
      </w:r>
    </w:p>
    <w:p>
      <w:pPr>
        <w:pStyle w:val="FirstParagraph"/>
      </w:pPr>
      <w:r>
        <w:rPr>
          <w:rFonts w:hint="eastAsia"/>
        </w:rPr>
        <w:t xml:space="preserve">网络空间威胁具有持续演进与强对抗性特征。攻击者常通过扫描探测、凭证窃取、横向移动、数据渗漏等多阶段链路实现目标，而真实业务网络同时承载多协议、多业务形态与高并发流量，导致安全监测必须在“覆盖广、响应快、误报可控”的约束下运行。传统</w:t>
      </w:r>
      <w:r>
        <w:t xml:space="preserve"> </w:t>
      </w:r>
      <w:r>
        <w:rPr>
          <w:rFonts w:hint="eastAsia"/>
        </w:rPr>
        <w:t xml:space="preserve">IDS（如基于特征字符串或固定规则的系统）对已知攻击有较高命中率，但当攻击载荷加密、行为轻量化或利用协议/业务特性进行变形时，固定规则往往难以及时更新；同时，规则越多越复杂，系统维护成本与误报风险也随之上升。由此，利用机器学习从历史流量中学习判别边界、以数据驱动方式识别异常模式成为重要研究方向。</w:t>
      </w:r>
    </w:p>
    <w:p>
      <w:pPr>
        <w:pStyle w:val="BodyText"/>
      </w:pPr>
      <w:r>
        <w:rPr>
          <w:rFonts w:hint="eastAsia"/>
        </w:rPr>
        <w:t xml:space="preserve">然而，机器学习</w:t>
      </w:r>
      <w:r>
        <w:t xml:space="preserve"> IDS </w:t>
      </w:r>
      <w:r>
        <w:rPr>
          <w:rFonts w:hint="eastAsia"/>
        </w:rPr>
        <w:t xml:space="preserve">并非“直接套用分类器”即可落地。流量特征往往具有维度高、尺度差异大、分布偏态与强相关性等特点，直接在原始高维空间训练模型会显著增加训练与推理成本，并可能因冗余噪声导致模型泛化能力下降。更关键的是，入侵检测的评价并不仅是“准确率越高越好”，而是与安全代价紧密耦合：误报过多会造成业务误拦截与运维疲劳，漏报过多则直接带来攻击逃逸与资产风险。因此，本课程实践在“算法对比</w:t>
      </w:r>
      <w:r>
        <w:t xml:space="preserve"> + </w:t>
      </w:r>
      <w:r>
        <w:rPr>
          <w:rFonts w:hint="eastAsia"/>
        </w:rPr>
        <w:t xml:space="preserve">工程实现</w:t>
      </w:r>
      <w:r>
        <w:t xml:space="preserve"> + </w:t>
      </w:r>
      <w:r>
        <w:rPr>
          <w:rFonts w:hint="eastAsia"/>
        </w:rPr>
        <w:t xml:space="preserve">安全性讨论”的综合要求下，选择以“降维</w:t>
      </w:r>
      <w:r>
        <w:t xml:space="preserve"> + </w:t>
      </w:r>
      <w:r>
        <w:rPr>
          <w:rFonts w:hint="eastAsia"/>
        </w:rPr>
        <w:t xml:space="preserve">分类”的组合框架开展系统实验：通过降维压缩冗余特征、提高可分性与计算效率，再使用典型分类器完成检测决策，从而在可解释性与可复现性层面形成一套可交付的实践方案。</w:t>
      </w:r>
    </w:p>
    <w:bookmarkEnd w:id="23"/>
    <w:bookmarkStart w:id="24" w:name="任务目标与指标口径"/>
    <w:p>
      <w:pPr>
        <w:pStyle w:val="Heading3"/>
      </w:pPr>
      <w:r>
        <w:t xml:space="preserve">1.2 </w:t>
      </w:r>
      <w:r>
        <w:rPr>
          <w:rFonts w:hint="eastAsia"/>
        </w:rPr>
        <w:t xml:space="preserve">任务目标与指标口径</w:t>
      </w:r>
    </w:p>
    <w:p>
      <w:pPr>
        <w:pStyle w:val="FirstParagraph"/>
      </w:pPr>
      <w:r>
        <w:rPr>
          <w:rFonts w:hint="eastAsia"/>
        </w:rPr>
        <w:t xml:space="preserve">根据课程设计要求与项目约束，本实践需完成从数据集获取、预处理到模型训练、评估与报告交付的完整链路。本文将任务目标具体化为以下三类可验证结果：其一，形成可复现的数据清洗与预处理流程，明确保留/剔除特征与理由，并记录清洗前后样本量变化；其二，完成至少三类降维方法（PCA/LDA/t-SNE）的对比，并与三类分类器（SVM/随机森林/逻辑回归）组合形成不少于</w:t>
      </w:r>
      <w:r>
        <w:t xml:space="preserve"> 9 </w:t>
      </w:r>
      <w:r>
        <w:rPr>
          <w:rFonts w:hint="eastAsia"/>
        </w:rPr>
        <w:t xml:space="preserve">组的评测结果；其三，在统一指标口径下给出结果分析与安全性评估，包含误报/漏报权衡、关键攻击类型检测能力、运行耗时与部署建议，并以规则文档的形式提炼可操作要点。</w:t>
      </w:r>
    </w:p>
    <w:p>
      <w:pPr>
        <w:pStyle w:val="BodyText"/>
      </w:pPr>
      <w:r>
        <w:rPr>
          <w:rFonts w:hint="eastAsia"/>
        </w:rPr>
        <w:t xml:space="preserve">在指标口径方面，本文采用以下定义：准确率用于衡量整体预测一致性；误报率（False</w:t>
      </w:r>
      <w:r>
        <w:t xml:space="preserve"> Positive Rate, </w:t>
      </w:r>
      <w:r>
        <w:rPr>
          <w:rFonts w:hint="eastAsia"/>
        </w:rPr>
        <w:t xml:space="preserve">FPR）刻画将正常流量误判为攻击的比例；漏报率（False</w:t>
      </w:r>
      <w:r>
        <w:t xml:space="preserve"> Negative Rate, </w:t>
      </w:r>
      <w:r>
        <w:rPr>
          <w:rFonts w:hint="eastAsia"/>
        </w:rPr>
        <w:t xml:space="preserve">FNR）刻画将攻击流量误判为正常的比例。设二分类混淆矩阵元素分别为</w:t>
      </w:r>
      <w:r>
        <w:t xml:space="preserve"> </w:t>
      </w:r>
      <w:r>
        <w:rPr>
          <w:rFonts w:hint="eastAsia"/>
        </w:rPr>
        <w:t xml:space="preserve">TP、TN、FP、FN，则</w:t>
      </w:r>
    </w:p>
    <w:p>
      <w:pPr>
        <w:pStyle w:val="BodyText"/>
      </w:pPr>
      <m:oMathPara>
        <m:oMathParaPr>
          <m:jc m:val="center"/>
        </m:oMathParaPr>
        <m:oMath>
          <m:r>
            <m:rPr>
              <m:nor/>
              <m:sty m:val="p"/>
            </m:rPr>
            <m:t>Accuracy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r>
            <m:rPr>
              <m:sty m:val="p"/>
            </m:rPr>
            <m:t>,</m:t>
          </m:r>
          <m:r>
            <m:t> </m:t>
          </m:r>
          <m:r>
            <m:rPr>
              <m:nor/>
              <m:sty m:val="p"/>
            </m:rPr>
            <m:t>FPR</m:t>
          </m:r>
          <m:r>
            <m:rPr>
              <m:sty m:val="p"/>
            </m:rPr>
            <m:t>=</m:t>
          </m:r>
          <m:f>
            <m:fPr>
              <m:type m:val="bar"/>
            </m:fPr>
            <m:num>
              <m:r>
                <m:t>F</m:t>
              </m:r>
              <m:r>
                <m:t>P</m:t>
              </m:r>
            </m:num>
            <m:den>
              <m:r>
                <m:t>F</m:t>
              </m:r>
              <m:r>
                <m:t>P</m:t>
              </m:r>
              <m:r>
                <m:rPr>
                  <m:sty m:val="p"/>
                </m:rPr>
                <m:t>+</m:t>
              </m:r>
              <m:r>
                <m:t>T</m:t>
              </m:r>
              <m:r>
                <m:t>N</m:t>
              </m:r>
            </m:den>
          </m:f>
          <m:r>
            <m:rPr>
              <m:sty m:val="p"/>
            </m:rPr>
            <m:t>,</m:t>
          </m:r>
          <m:r>
            <m:t> </m:t>
          </m:r>
          <m:r>
            <m:rPr>
              <m:nor/>
              <m:sty m:val="p"/>
            </m:rPr>
            <m:t>FNR</m:t>
          </m:r>
          <m:r>
            <m:rPr>
              <m:sty m:val="p"/>
            </m:rPr>
            <m:t>=</m:t>
          </m:r>
          <m:f>
            <m:fPr>
              <m:type m:val="bar"/>
            </m:fPr>
            <m:num>
              <m:r>
                <m:t>F</m:t>
              </m:r>
              <m:r>
                <m:t>N</m:t>
              </m:r>
            </m:num>
            <m:den>
              <m:r>
                <m:t>F</m:t>
              </m:r>
              <m:r>
                <m:t>N</m:t>
              </m:r>
              <m:r>
                <m:rPr>
                  <m:sty m:val="p"/>
                </m:rPr>
                <m:t>+</m:t>
              </m:r>
              <m:r>
                <m:t>T</m:t>
              </m:r>
              <m:r>
                <m:t>P</m:t>
              </m:r>
            </m:den>
          </m:f>
          <m:r>
            <m:rPr>
              <m:sty m:val="p"/>
            </m:rPr>
            <m:t>.</m:t>
          </m:r>
        </m:oMath>
      </m:oMathPara>
    </w:p>
    <w:p>
      <w:pPr>
        <w:pStyle w:val="FirstParagraph"/>
      </w:pPr>
      <w:r>
        <w:rPr>
          <w:rFonts w:hint="eastAsia"/>
        </w:rPr>
        <w:t xml:space="preserve">为反映工程可用性，本文同时记录分类器训练耗时与测试集预测耗时，并在分析部分将其换算为平均单样本预测时延以讨论实时检测可行性。需要强调的是，本实验基于单日数据实现二分类（Benign</w:t>
      </w:r>
      <w:r>
        <w:t xml:space="preserve"> vs </w:t>
      </w:r>
      <w:r>
        <w:rPr>
          <w:rFonts w:hint="eastAsia"/>
        </w:rPr>
        <w:t xml:space="preserve">Infilteration），因此“重点攻击类型统计”对应</w:t>
      </w:r>
      <w:r>
        <w:t xml:space="preserve"> Infilteration </w:t>
      </w:r>
      <w:r>
        <w:rPr>
          <w:rFonts w:hint="eastAsia"/>
        </w:rPr>
        <w:t xml:space="preserve">的精确率（Precision）、召回率（Recall）与</w:t>
      </w:r>
      <w:r>
        <w:t xml:space="preserve"> F1 </w:t>
      </w:r>
      <w:r>
        <w:rPr>
          <w:rFonts w:hint="eastAsia"/>
        </w:rPr>
        <w:t xml:space="preserve">分数；这既满足“针对高发攻击类型单独统计”的要求，也避免将与本日数据不匹配的攻击名称（如</w:t>
      </w:r>
      <w:r>
        <w:t xml:space="preserve"> </w:t>
      </w:r>
      <w:r>
        <w:rPr>
          <w:rFonts w:hint="eastAsia"/>
        </w:rPr>
        <w:t xml:space="preserve">DDoS）强行套入分析，从而保证报告口径与实验事实一致。</w:t>
      </w:r>
    </w:p>
    <w:bookmarkEnd w:id="24"/>
    <w:bookmarkStart w:id="25" w:name="总体技术路线"/>
    <w:p>
      <w:pPr>
        <w:pStyle w:val="Heading3"/>
      </w:pPr>
      <w:r>
        <w:t xml:space="preserve">1.3 </w:t>
      </w:r>
      <w:r>
        <w:rPr>
          <w:rFonts w:hint="eastAsia"/>
        </w:rPr>
        <w:t xml:space="preserve">总体技术路线</w:t>
      </w:r>
    </w:p>
    <w:p>
      <w:pPr>
        <w:pStyle w:val="FirstParagraph"/>
      </w:pPr>
      <w:r>
        <w:rPr>
          <w:rFonts w:hint="eastAsia"/>
        </w:rPr>
        <w:t xml:space="preserve">本文的总体技术路线围绕“可复现、可比较、可解释”三条主线展开。首先，在数据层面采用固定的清洗规则（去除重复表头行、统一处理</w:t>
      </w:r>
      <w:r>
        <w:t xml:space="preserve"> </w:t>
      </w:r>
      <w:r>
        <w:rPr>
          <w:rFonts w:hint="eastAsia"/>
        </w:rPr>
        <w:t xml:space="preserve">Inf/-Inf/NaN、删除零时长零速率异常行），并在</w:t>
      </w:r>
      <w:r>
        <w:t xml:space="preserve"> 30 </w:t>
      </w:r>
      <w:r>
        <w:rPr>
          <w:rFonts w:hint="eastAsia"/>
        </w:rPr>
        <w:t xml:space="preserve">项核心特征上进行</w:t>
      </w:r>
      <w:r>
        <w:t xml:space="preserve"> Min-Max </w:t>
      </w:r>
      <w:r>
        <w:rPr>
          <w:rFonts w:hint="eastAsia"/>
        </w:rPr>
        <w:t xml:space="preserve">归一化，以减弱特征尺度差异对距离度量与优化过程的影响；其次，在建模层面分别构建</w:t>
      </w:r>
      <w:r>
        <w:t xml:space="preserve"> PCA、LDA </w:t>
      </w:r>
      <w:r>
        <w:rPr>
          <w:rFonts w:hint="eastAsia"/>
        </w:rPr>
        <w:t xml:space="preserve">与</w:t>
      </w:r>
      <w:r>
        <w:t xml:space="preserve"> t-SNE </w:t>
      </w:r>
      <w:r>
        <w:rPr>
          <w:rFonts w:hint="eastAsia"/>
        </w:rPr>
        <w:t xml:space="preserve">的降维表示，其中</w:t>
      </w:r>
      <w:r>
        <w:t xml:space="preserve"> PCA </w:t>
      </w:r>
      <w:r>
        <w:rPr>
          <w:rFonts w:hint="eastAsia"/>
        </w:rPr>
        <w:t xml:space="preserve">与</w:t>
      </w:r>
      <w:r>
        <w:t xml:space="preserve"> LDA </w:t>
      </w:r>
      <w:r>
        <w:rPr>
          <w:rFonts w:hint="eastAsia"/>
        </w:rPr>
        <w:t xml:space="preserve">作为可变换（transformable）的线性降维方法用于后续分类输入，t-SNE</w:t>
      </w:r>
      <w:r>
        <w:t xml:space="preserve"> </w:t>
      </w:r>
      <w:r>
        <w:rPr>
          <w:rFonts w:hint="eastAsia"/>
        </w:rPr>
        <w:t xml:space="preserve">作为非线性嵌入方法用于二维结构展示并参与组合对比；再次，在分类层面选取</w:t>
      </w:r>
      <w:r>
        <w:t xml:space="preserve"> </w:t>
      </w:r>
      <w:r>
        <w:rPr>
          <w:rFonts w:hint="eastAsia"/>
        </w:rPr>
        <w:t xml:space="preserve">SVM（RBF</w:t>
      </w:r>
      <w:r>
        <w:t xml:space="preserve"> </w:t>
      </w:r>
      <w:r>
        <w:rPr>
          <w:rFonts w:hint="eastAsia"/>
        </w:rPr>
        <w:t xml:space="preserve">核）、随机森林与逻辑回归，通过网格搜索与</w:t>
      </w:r>
      <w:r>
        <w:t xml:space="preserve"> 3 </w:t>
      </w:r>
      <w:r>
        <w:rPr>
          <w:rFonts w:hint="eastAsia"/>
        </w:rPr>
        <w:t xml:space="preserve">折交叉验证优化超参数，并在同一测试集上报告准确率、误报率、漏报率与耗时；最后，在分析层面结合降维后的二维散点图、混淆矩阵与攻击类别单独指标，解释性能差异与误报/漏报来源，给出面向部署的改进方向与规则提取建议。</w:t>
      </w:r>
    </w:p>
    <w:p>
      <w:r>
        <w:pict>
          <v:rect style="width:0;height:1.5pt" o:hralign="center" o:hrstd="t" o:hr="t"/>
        </w:pict>
      </w:r>
    </w:p>
    <w:bookmarkEnd w:id="25"/>
    <w:bookmarkEnd w:id="26"/>
    <w:bookmarkStart w:id="34" w:name="数据集说明与预处理"/>
    <w:p>
      <w:pPr>
        <w:pStyle w:val="Heading2"/>
      </w:pPr>
      <w:r>
        <w:t xml:space="preserve">2 </w:t>
      </w:r>
      <w:r>
        <w:rPr>
          <w:rFonts w:hint="eastAsia"/>
        </w:rPr>
        <w:t xml:space="preserve">数据集说明与预处理</w:t>
      </w:r>
    </w:p>
    <w:bookmarkStart w:id="27" w:name="数据集来源与选取说明"/>
    <w:p>
      <w:pPr>
        <w:pStyle w:val="Heading3"/>
      </w:pPr>
      <w:r>
        <w:t xml:space="preserve">2.1 </w:t>
      </w:r>
      <w:r>
        <w:rPr>
          <w:rFonts w:hint="eastAsia"/>
        </w:rPr>
        <w:t xml:space="preserve">数据集来源与选取说明</w:t>
      </w:r>
    </w:p>
    <w:p>
      <w:pPr>
        <w:pStyle w:val="FirstParagraph"/>
      </w:pPr>
      <w:r>
        <w:rPr>
          <w:rFonts w:hint="eastAsia"/>
        </w:rPr>
        <w:t xml:space="preserve">实验数据来自加拿大通信安全局（CSE）与加拿大网络安全研究所（CIC）联合构建的</w:t>
      </w:r>
      <w:r>
        <w:t xml:space="preserve"> CSE-CIC-IDS2018 </w:t>
      </w:r>
      <w:r>
        <w:rPr>
          <w:rFonts w:hint="eastAsia"/>
        </w:rPr>
        <w:t xml:space="preserve">数据集</w:t>
      </w:r>
      <w:r>
        <w:t xml:space="preserve"> </w:t>
      </w:r>
      <w:r>
        <w:rPr>
          <w:rFonts w:hint="eastAsia"/>
        </w:rPr>
        <w:t xml:space="preserve">[1][2][3]。该数据集通过结构化场景生成与日志驱动的方式模拟真实网络环境，覆盖多类正常业务与攻击行为，并提供原始流量与由</w:t>
      </w:r>
      <w:r>
        <w:t xml:space="preserve"> CICFlowMeter </w:t>
      </w:r>
      <w:r>
        <w:rPr>
          <w:rFonts w:hint="eastAsia"/>
        </w:rPr>
        <w:t xml:space="preserve">抽取的统计特征表</w:t>
      </w:r>
      <w:r>
        <w:t xml:space="preserve"> </w:t>
      </w:r>
      <w:r>
        <w:rPr>
          <w:rFonts w:hint="eastAsia"/>
        </w:rPr>
        <w:t xml:space="preserve">[4]。考虑到课程实践的时间预算与计算资源约束，同时为保证实验过程与结论可追溯，本文选用其中单日的“Processed</w:t>
      </w:r>
      <w:r>
        <w:t xml:space="preserve"> Traffic Data for ML </w:t>
      </w:r>
      <w:r>
        <w:rPr>
          <w:rFonts w:hint="eastAsia"/>
        </w:rPr>
        <w:t xml:space="preserve">Algorithms”特征表：</w:t>
      </w:r>
      <w:r>
        <w:rPr>
          <w:rStyle w:val="VerbatimChar"/>
        </w:rPr>
        <w:t xml:space="preserve">Thursday-01-03-2018_TrafficForML_CICFlowMeter.csv</w:t>
      </w:r>
      <w:r>
        <w:rPr>
          <w:rFonts w:hint="eastAsia"/>
        </w:rPr>
        <w:t xml:space="preserve">。该文件包含</w:t>
      </w:r>
      <w:r>
        <w:t xml:space="preserve"> 80 </w:t>
      </w:r>
      <w:r>
        <w:rPr>
          <w:rFonts w:hint="eastAsia"/>
        </w:rPr>
        <w:t xml:space="preserve">列左右的流统计特征，标签列为</w:t>
      </w:r>
      <w:r>
        <w:t xml:space="preserve"> </w:t>
      </w:r>
      <w:r>
        <w:rPr>
          <w:rStyle w:val="VerbatimChar"/>
        </w:rPr>
        <w:t xml:space="preserve">Label</w:t>
      </w:r>
      <w:r>
        <w:rPr>
          <w:rFonts w:hint="eastAsia"/>
        </w:rPr>
        <w:t xml:space="preserve">，其中</w:t>
      </w:r>
      <w:r>
        <w:t xml:space="preserve"> </w:t>
      </w:r>
      <w:r>
        <w:rPr>
          <w:rStyle w:val="VerbatimChar"/>
        </w:rPr>
        <w:t xml:space="preserve">Benign</w:t>
      </w:r>
      <w:r>
        <w:t xml:space="preserve"> </w:t>
      </w:r>
      <w:r>
        <w:rPr>
          <w:rFonts w:hint="eastAsia"/>
        </w:rPr>
        <w:t xml:space="preserve">表示正常流量，</w:t>
      </w:r>
      <w:r>
        <w:rPr>
          <w:rStyle w:val="VerbatimChar"/>
        </w:rPr>
        <w:t xml:space="preserve">Infilteration</w:t>
      </w:r>
      <w:r>
        <w:t xml:space="preserve"> </w:t>
      </w:r>
      <w:r>
        <w:rPr>
          <w:rFonts w:hint="eastAsia"/>
        </w:rPr>
        <w:t xml:space="preserve">表示攻击流量。</w:t>
      </w:r>
    </w:p>
    <w:p>
      <w:pPr>
        <w:pStyle w:val="BodyText"/>
      </w:pPr>
      <w:r>
        <w:rPr>
          <w:rFonts w:hint="eastAsia"/>
        </w:rPr>
        <w:t xml:space="preserve">值得注意的是，实际工程中</w:t>
      </w:r>
      <w:r>
        <w:t xml:space="preserve"> IDS </w:t>
      </w:r>
      <w:r>
        <w:rPr>
          <w:rFonts w:hint="eastAsia"/>
        </w:rPr>
        <w:t xml:space="preserve">通常需要处理多类攻击与多日流量的域偏移问题，而本次实践采用单日数据的主要目的是在可控计算量下完成降维与分类组合对比，聚焦方法论与评估口径的严谨性。由于单日数据仅包含一种攻击类型，本文将任务等价为二分类问题，并在“攻击类型检测分析”中针对</w:t>
      </w:r>
      <w:r>
        <w:t xml:space="preserve"> Infilteration </w:t>
      </w:r>
      <w:r>
        <w:rPr>
          <w:rFonts w:hint="eastAsia"/>
        </w:rPr>
        <w:t xml:space="preserve">展开讨论。</w:t>
      </w:r>
    </w:p>
    <w:bookmarkEnd w:id="27"/>
    <w:bookmarkStart w:id="28" w:name="特征工程核心特征保留与剔除原则"/>
    <w:p>
      <w:pPr>
        <w:pStyle w:val="Heading3"/>
      </w:pPr>
      <w:r>
        <w:t xml:space="preserve">2.2 </w:t>
      </w:r>
      <w:r>
        <w:rPr>
          <w:rFonts w:hint="eastAsia"/>
        </w:rPr>
        <w:t xml:space="preserve">特征工程：核心特征保留与剔除原则</w:t>
      </w:r>
    </w:p>
    <w:p>
      <w:pPr>
        <w:pStyle w:val="FirstParagraph"/>
      </w:pPr>
      <w:r>
        <w:rPr>
          <w:rFonts w:hint="eastAsia"/>
        </w:rPr>
        <w:t xml:space="preserve">为降低模型对拓扑强相关或易伪造字段的依赖，本文不使用源/目的</w:t>
      </w:r>
      <w:r>
        <w:t xml:space="preserve"> </w:t>
      </w:r>
      <w:r>
        <w:rPr>
          <w:rFonts w:hint="eastAsia"/>
        </w:rPr>
        <w:t xml:space="preserve">IP、端口、Flow</w:t>
      </w:r>
      <w:r>
        <w:t xml:space="preserve"> ID </w:t>
      </w:r>
      <w:r>
        <w:rPr>
          <w:rFonts w:hint="eastAsia"/>
        </w:rPr>
        <w:t xml:space="preserve">等字段，而固定保留</w:t>
      </w:r>
      <w:r>
        <w:t xml:space="preserve"> 30 </w:t>
      </w:r>
      <w:r>
        <w:rPr>
          <w:rFonts w:hint="eastAsia"/>
        </w:rPr>
        <w:t xml:space="preserve">项核心流统计特征用于建模。该特征集合主要来自</w:t>
      </w:r>
      <w:r>
        <w:t xml:space="preserve"> CICFlowMeter </w:t>
      </w:r>
      <w:r>
        <w:rPr>
          <w:rFonts w:hint="eastAsia"/>
        </w:rPr>
        <w:t xml:space="preserve">输出，偏向于流时长、前后向包数与字节数、包长分布统计量、到达间隔（IAT）统计量、速率特征与标志位计数等，能够从协议与业务无关的角度刻画流量行为。具体特征如下（以分号分隔）：Flow</w:t>
      </w:r>
      <w:r>
        <w:t xml:space="preserve"> Duration; Tot Fwd Pkts; Tot Bwd Pkts; TotLen Fwd Pkts; TotLen Bwd Pkts; Fwd Pkt Len Max; Fwd Pkt Len Min; Fwd Pkt Len Mean; Fwd Pkt Len Std; Bwd Pkt Len Max; Bwd Pkt Len Min; Bwd Pkt Len Mean; Bwd Pkt Len Std; Flow Byts/s; Flow Pkts/s; Flow IAT Mean; Flow IAT Std; Flow IAT Max; Flow IAT Min; Fwd IAT Mean; Fwd IAT Std; Bwd IAT Mean; Bwd IAT Std; SYN Flag Cnt; ACK Flag Cnt; PSH Flag Cnt; FIN Flag Cnt; RST Flag Cnt; Active Mean; Idle Mean。</w:t>
      </w:r>
    </w:p>
    <w:p>
      <w:pPr>
        <w:pStyle w:val="BodyText"/>
      </w:pPr>
      <w:r>
        <w:rPr>
          <w:rFonts w:hint="eastAsia"/>
        </w:rPr>
        <w:t xml:space="preserve">选择上述特征的理由在于：一方面，流统计特征对攻击行为具有较强的稳定性，例如扫描/渗透类攻击往往在包数、字节数、IAT</w:t>
      </w:r>
      <w:r>
        <w:t xml:space="preserve"> </w:t>
      </w:r>
      <w:r>
        <w:rPr>
          <w:rFonts w:hint="eastAsia"/>
        </w:rPr>
        <w:t xml:space="preserve">分布与标志位上与正常交互流量存在差异；另一方面，这些特征更接近“行为画像”，不依赖于特定网络拓扑与业务地址，因而在跨网络迁移时具有更好的泛化潜力。与此同时，固定特征集合也使降维与分类对比具有可复现性：不同实验组合仅改变降维器与分类器，而不在特征工程阶段引入额外变量。</w:t>
      </w:r>
    </w:p>
    <w:bookmarkEnd w:id="28"/>
    <w:bookmarkStart w:id="32" w:name="清洗规则与样本量变化记录"/>
    <w:p>
      <w:pPr>
        <w:pStyle w:val="Heading3"/>
      </w:pPr>
      <w:r>
        <w:t xml:space="preserve">2.3 </w:t>
      </w:r>
      <w:r>
        <w:rPr>
          <w:rFonts w:hint="eastAsia"/>
        </w:rPr>
        <w:t xml:space="preserve">清洗规则与样本量变化记录</w:t>
      </w:r>
    </w:p>
    <w:p>
      <w:pPr>
        <w:pStyle w:val="FirstParagraph"/>
      </w:pPr>
      <w:r>
        <w:rPr>
          <w:rFonts w:hint="eastAsia"/>
        </w:rPr>
        <w:t xml:space="preserve">原始</w:t>
      </w:r>
      <w:r>
        <w:t xml:space="preserve"> CSV </w:t>
      </w:r>
      <w:r>
        <w:rPr>
          <w:rFonts w:hint="eastAsia"/>
        </w:rPr>
        <w:t xml:space="preserve">文件共</w:t>
      </w:r>
      <w:r>
        <w:t xml:space="preserve"> 331,125 </w:t>
      </w:r>
      <w:r>
        <w:rPr>
          <w:rFonts w:hint="eastAsia"/>
        </w:rPr>
        <w:t xml:space="preserve">行，其中存在</w:t>
      </w:r>
      <w:r>
        <w:t xml:space="preserve"> 25 </w:t>
      </w:r>
      <w:r>
        <w:rPr>
          <w:rFonts w:hint="eastAsia"/>
        </w:rPr>
        <w:t xml:space="preserve">行混入数据的重复表头（</w:t>
      </w:r>
      <w:r>
        <w:rPr>
          <w:rStyle w:val="VerbatimChar"/>
        </w:rPr>
        <w:t xml:space="preserve">Label</w:t>
      </w:r>
      <w:r>
        <w:t xml:space="preserve"> </w:t>
      </w:r>
      <w:r>
        <w:rPr>
          <w:rFonts w:hint="eastAsia"/>
        </w:rPr>
        <w:t xml:space="preserve">列取值为字符串</w:t>
      </w:r>
      <w:r>
        <w:t xml:space="preserve"> </w:t>
      </w:r>
      <w:r>
        <w:rPr>
          <w:rStyle w:val="VerbatimChar"/>
        </w:rPr>
        <w:t xml:space="preserve">Label</w:t>
      </w:r>
      <w:r>
        <w:rPr>
          <w:rFonts w:hint="eastAsia"/>
        </w:rPr>
        <w:t xml:space="preserve">）。按照项目固定清洗口径，本文依次执行以下操作：首先删除重复表头行；其次将特征列中的</w:t>
      </w:r>
      <w:r>
        <w:t xml:space="preserve"> </w:t>
      </w:r>
      <w:r>
        <w:rPr>
          <w:rStyle w:val="VerbatimChar"/>
        </w:rPr>
        <w:t xml:space="preserve">inf</w:t>
      </w:r>
      <w:r>
        <w:t xml:space="preserve">/</w:t>
      </w:r>
      <w:r>
        <w:rPr>
          <w:rStyle w:val="VerbatimChar"/>
        </w:rPr>
        <w:t xml:space="preserve">-inf</w:t>
      </w:r>
      <w:r>
        <w:t xml:space="preserve"> </w:t>
      </w:r>
      <w:r>
        <w:rPr>
          <w:rFonts w:hint="eastAsia"/>
        </w:rPr>
        <w:t xml:space="preserve">统一替换为</w:t>
      </w:r>
      <w:r>
        <w:t xml:space="preserve"> </w:t>
      </w:r>
      <w:r>
        <w:rPr>
          <w:rStyle w:val="VerbatimChar"/>
        </w:rPr>
        <w:t xml:space="preserve">NaN</w:t>
      </w:r>
      <w:r>
        <w:rPr>
          <w:rFonts w:hint="eastAsia"/>
        </w:rPr>
        <w:t xml:space="preserve">，并对含</w:t>
      </w:r>
      <w:r>
        <w:t xml:space="preserve"> </w:t>
      </w:r>
      <w:r>
        <w:rPr>
          <w:rStyle w:val="VerbatimChar"/>
        </w:rPr>
        <w:t xml:space="preserve">NaN</w:t>
      </w:r>
      <w:r>
        <w:t xml:space="preserve"> </w:t>
      </w:r>
      <w:r>
        <w:rPr>
          <w:rFonts w:hint="eastAsia"/>
        </w:rPr>
        <w:t xml:space="preserve">的样本行做删除处理，不采用数值填充；最后删除</w:t>
      </w:r>
      <w:r>
        <w:t xml:space="preserve"> </w:t>
      </w:r>
      <w:r>
        <w:rPr>
          <w:rStyle w:val="VerbatimChar"/>
        </w:rPr>
        <w:t xml:space="preserve">Flow Byts/s</w:t>
      </w:r>
      <w:r>
        <w:t xml:space="preserve"> </w:t>
      </w:r>
      <w:r>
        <w:rPr>
          <w:rFonts w:hint="eastAsia"/>
        </w:rPr>
        <w:t xml:space="preserve">与</w:t>
      </w:r>
      <w:r>
        <w:t xml:space="preserve"> </w:t>
      </w:r>
      <w:r>
        <w:rPr>
          <w:rStyle w:val="VerbatimChar"/>
        </w:rPr>
        <w:t xml:space="preserve">Flow Pkts/s</w:t>
      </w:r>
      <w:r>
        <w:t xml:space="preserve"> </w:t>
      </w:r>
      <w:r>
        <w:rPr>
          <w:rFonts w:hint="eastAsia"/>
        </w:rPr>
        <w:t xml:space="preserve">同时为</w:t>
      </w:r>
      <w:r>
        <w:t xml:space="preserve"> 0 </w:t>
      </w:r>
      <w:r>
        <w:rPr>
          <w:rFonts w:hint="eastAsia"/>
        </w:rPr>
        <w:t xml:space="preserve">且</w:t>
      </w:r>
      <w:r>
        <w:t xml:space="preserve"> </w:t>
      </w:r>
      <w:r>
        <w:rPr>
          <w:rStyle w:val="VerbatimChar"/>
        </w:rPr>
        <w:t xml:space="preserve">Flow Duration</w:t>
      </w:r>
      <w:r>
        <w:t xml:space="preserve"> </w:t>
      </w:r>
      <w:r>
        <w:rPr>
          <w:rFonts w:hint="eastAsia"/>
        </w:rPr>
        <w:t xml:space="preserve">为</w:t>
      </w:r>
      <w:r>
        <w:t xml:space="preserve"> 0 </w:t>
      </w:r>
      <w:r>
        <w:rPr>
          <w:rFonts w:hint="eastAsia"/>
        </w:rPr>
        <w:t xml:space="preserve">的异常行，用以剔除无效的零流量记录。</w:t>
      </w:r>
    </w:p>
    <w:p>
      <w:pPr>
        <w:pStyle w:val="BodyText"/>
      </w:pPr>
      <w:r>
        <w:rPr>
          <w:rFonts w:hint="eastAsia"/>
        </w:rPr>
        <w:t xml:space="preserve">清洗前后样本量变化如下：原始文件</w:t>
      </w:r>
      <w:r>
        <w:t xml:space="preserve"> 331,125 </w:t>
      </w:r>
      <w:r>
        <w:rPr>
          <w:rFonts w:hint="eastAsia"/>
        </w:rPr>
        <w:t xml:space="preserve">行，去除重复表头后为</w:t>
      </w:r>
      <w:r>
        <w:t xml:space="preserve"> 331,100 </w:t>
      </w:r>
      <w:r>
        <w:rPr>
          <w:rFonts w:hint="eastAsia"/>
        </w:rPr>
        <w:t xml:space="preserve">行；进一步处理</w:t>
      </w:r>
      <w:r>
        <w:t xml:space="preserve"> Inf/NaN </w:t>
      </w:r>
      <w:r>
        <w:rPr>
          <w:rFonts w:hint="eastAsia"/>
        </w:rPr>
        <w:t xml:space="preserve">并删除异常零值行后，共保留</w:t>
      </w:r>
      <w:r>
        <w:t xml:space="preserve"> 328,181 </w:t>
      </w:r>
      <w:r>
        <w:rPr>
          <w:rFonts w:hint="eastAsia"/>
        </w:rPr>
        <w:t xml:space="preserve">条样本。清洗后的类别分布为</w:t>
      </w:r>
      <w:r>
        <w:t xml:space="preserve"> Benign 235,778 </w:t>
      </w:r>
      <w:r>
        <w:rPr>
          <w:rFonts w:hint="eastAsia"/>
        </w:rPr>
        <w:t xml:space="preserve">条、Infilteration</w:t>
      </w:r>
      <w:r>
        <w:t xml:space="preserve"> 92,403 </w:t>
      </w:r>
      <w:r>
        <w:rPr>
          <w:rFonts w:hint="eastAsia"/>
        </w:rPr>
        <w:t xml:space="preserve">条，正常流量占比约</w:t>
      </w:r>
      <w:r>
        <w:t xml:space="preserve"> </w:t>
      </w:r>
      <w:r>
        <w:rPr>
          <w:rFonts w:hint="eastAsia"/>
        </w:rPr>
        <w:t xml:space="preserve">71.84%，攻击流量占比约</w:t>
      </w:r>
      <w:r>
        <w:t xml:space="preserve"> </w:t>
      </w:r>
      <w:r>
        <w:rPr>
          <w:rFonts w:hint="eastAsia"/>
        </w:rPr>
        <w:t xml:space="preserve">28.16%。该比例说明数据存在一定不平衡但未达到极端稀缺的程度，为后续采用分层划分与宏平均指标（macro</w:t>
      </w:r>
      <w:r>
        <w:t xml:space="preserve"> F1 </w:t>
      </w:r>
      <w:r>
        <w:rPr>
          <w:rFonts w:hint="eastAsia"/>
        </w:rPr>
        <w:t xml:space="preserve">作为网格搜索评分）提供了合理的统计基础。</w:t>
      </w:r>
    </w:p>
    <w:p>
      <w:pPr>
        <w:pStyle w:val="BodyText"/>
      </w:pPr>
      <w:r>
        <w:rPr>
          <w:rFonts w:hint="eastAsia"/>
        </w:rPr>
        <w:t xml:space="preserve">为直观展示清洗后的类别分布，本文绘制了样本量柱状图，如下所示。该图一方面用于说明数据不平衡程度，另一方面也为后续“仅看准确率可能被多数类掩盖”的现象提供直观背景。</w:t>
      </w:r>
    </w:p>
    <w:p>
      <w:pPr>
        <w:pStyle w:val="BodyText"/>
      </w:pPr>
      <w:r>
        <w:drawing>
          <wp:inline>
            <wp:extent cx="4282516" cy="2812124"/>
            <wp:effectExtent b="0" l="0" r="0" t="0"/>
            <wp:docPr descr="" title="" id="30" name="Picture"/>
            <a:graphic>
              <a:graphicData uri="http://schemas.openxmlformats.org/drawingml/2006/picture">
                <pic:pic>
                  <pic:nvPicPr>
                    <pic:cNvPr descr="figures/ClassDistribution_AfterCleaning.png" id="31" name="Picture"/>
                    <pic:cNvPicPr>
                      <a:picLocks noChangeArrowheads="1" noChangeAspect="1"/>
                    </pic:cNvPicPr>
                  </pic:nvPicPr>
                  <pic:blipFill>
                    <a:blip r:embed="rId29"/>
                    <a:stretch>
                      <a:fillRect/>
                    </a:stretch>
                  </pic:blipFill>
                  <pic:spPr bwMode="auto">
                    <a:xfrm>
                      <a:off x="0" y="0"/>
                      <a:ext cx="4282516" cy="2812124"/>
                    </a:xfrm>
                    <a:prstGeom prst="rect">
                      <a:avLst/>
                    </a:prstGeom>
                    <a:noFill/>
                    <a:ln w="9525">
                      <a:noFill/>
                      <a:headEnd/>
                      <a:tailEnd/>
                    </a:ln>
                  </pic:spPr>
                </pic:pic>
              </a:graphicData>
            </a:graphic>
          </wp:inline>
        </w:drawing>
      </w:r>
    </w:p>
    <w:bookmarkEnd w:id="32"/>
    <w:bookmarkStart w:id="33" w:name="归一化划分与训练采样策略"/>
    <w:p>
      <w:pPr>
        <w:pStyle w:val="Heading3"/>
      </w:pPr>
      <w:r>
        <w:t xml:space="preserve">2.4 </w:t>
      </w:r>
      <w:r>
        <w:rPr>
          <w:rFonts w:hint="eastAsia"/>
        </w:rPr>
        <w:t xml:space="preserve">归一化、划分与训练采样策略</w:t>
      </w:r>
    </w:p>
    <w:p>
      <w:pPr>
        <w:pStyle w:val="FirstParagraph"/>
      </w:pPr>
      <w:r>
        <w:rPr>
          <w:rFonts w:hint="eastAsia"/>
        </w:rPr>
        <w:t xml:space="preserve">在清洗后的数据上，本文采用固定随机种子</w:t>
      </w:r>
      <w:r>
        <w:t xml:space="preserve"> 42 </w:t>
      </w:r>
      <w:r>
        <w:rPr>
          <w:rFonts w:hint="eastAsia"/>
        </w:rPr>
        <w:t xml:space="preserve">进行</w:t>
      </w:r>
      <w:r>
        <w:t xml:space="preserve"> 80%/20% </w:t>
      </w:r>
      <w:r>
        <w:rPr>
          <w:rFonts w:hint="eastAsia"/>
        </w:rPr>
        <w:t xml:space="preserve">分层划分，得到训练集</w:t>
      </w:r>
      <w:r>
        <w:t xml:space="preserve"> 262,544 </w:t>
      </w:r>
      <w:r>
        <w:rPr>
          <w:rFonts w:hint="eastAsia"/>
        </w:rPr>
        <w:t xml:space="preserve">条、测试集</w:t>
      </w:r>
      <w:r>
        <w:t xml:space="preserve"> 65,637 </w:t>
      </w:r>
      <w:r>
        <w:rPr>
          <w:rFonts w:hint="eastAsia"/>
        </w:rPr>
        <w:t xml:space="preserve">条。由于</w:t>
      </w:r>
      <w:r>
        <w:t xml:space="preserve"> SVM </w:t>
      </w:r>
      <w:r>
        <w:rPr>
          <w:rFonts w:hint="eastAsia"/>
        </w:rPr>
        <w:t xml:space="preserve">与随机森林的网格搜索需要在训练集上多次拟合模型，且</w:t>
      </w:r>
      <w:r>
        <w:t xml:space="preserve"> t-SNE </w:t>
      </w:r>
      <w:r>
        <w:rPr>
          <w:rFonts w:hint="eastAsia"/>
        </w:rPr>
        <w:t xml:space="preserve">对样本规模极为敏感，为保证实验可在课程实践的时间预算内完成，本文在不改变测试集的前提下，对训练集进一步随机无放回采样为</w:t>
      </w:r>
      <w:r>
        <w:t xml:space="preserve"> 10,000 </w:t>
      </w:r>
      <w:r>
        <w:rPr>
          <w:rFonts w:hint="eastAsia"/>
        </w:rPr>
        <w:t xml:space="preserve">条。采样后的训练集类别分布为</w:t>
      </w:r>
      <w:r>
        <w:t xml:space="preserve"> Benign 7,142 </w:t>
      </w:r>
      <w:r>
        <w:rPr>
          <w:rFonts w:hint="eastAsia"/>
        </w:rPr>
        <w:t xml:space="preserve">条、Infilteration</w:t>
      </w:r>
      <w:r>
        <w:t xml:space="preserve"> 2,858 </w:t>
      </w:r>
      <w:r>
        <w:rPr>
          <w:rFonts w:hint="eastAsia"/>
        </w:rPr>
        <w:t xml:space="preserve">条，与总体分布基本一致，能够在一定程度上保留数据结构与类别差异。</w:t>
      </w:r>
    </w:p>
    <w:p>
      <w:pPr>
        <w:pStyle w:val="BodyText"/>
      </w:pPr>
      <w:r>
        <w:rPr>
          <w:rFonts w:hint="eastAsia"/>
        </w:rPr>
        <w:t xml:space="preserve">特征归一化采用</w:t>
      </w:r>
      <w:r>
        <w:t xml:space="preserve"> Min-Max </w:t>
      </w:r>
      <w:r>
        <w:rPr>
          <w:rFonts w:hint="eastAsia"/>
        </w:rPr>
        <w:t xml:space="preserve">归一化，将每个特征线性映射到</w:t>
      </w:r>
      <w:r>
        <w:t xml:space="preserve"> </w:t>
      </w:r>
      <m:oMath>
        <m:d>
          <m:dPr>
            <m:begChr m:val="["/>
            <m:endChr m:val="]"/>
            <m:sepChr m:val=""/>
            <m:grow/>
          </m:dPr>
          <m:e>
            <m:r>
              <m:t>0</m:t>
            </m:r>
            <m:r>
              <m:rPr>
                <m:sty m:val="p"/>
              </m:rPr>
              <m:t>,</m:t>
            </m:r>
            <m:r>
              <m:t>1</m:t>
            </m:r>
          </m:e>
        </m:d>
      </m:oMath>
      <w:r>
        <w:t xml:space="preserve"> </w:t>
      </w:r>
      <w:r>
        <w:rPr>
          <w:rFonts w:hint="eastAsia"/>
        </w:rPr>
        <w:t xml:space="preserve">区间。需要强调的是，归一化参数（每列的最小值与最大值）仅在训练集上拟合，并应用于测试集变换，以避免数据泄漏对评估造成偏乐观偏差。归一化的工程意义在于：一方面，距离度量与核函数（如</w:t>
      </w:r>
      <w:r>
        <w:t xml:space="preserve"> RBF </w:t>
      </w:r>
      <w:r>
        <w:rPr>
          <w:rFonts w:hint="eastAsia"/>
        </w:rPr>
        <w:t xml:space="preserve">核）对尺度差异敏感，归一化可避免某些大尺度特征主导相似度；另一方面，降维方法（尤其是</w:t>
      </w:r>
      <w:r>
        <w:t xml:space="preserve"> </w:t>
      </w:r>
      <w:r>
        <w:rPr>
          <w:rFonts w:hint="eastAsia"/>
        </w:rPr>
        <w:t xml:space="preserve">PCA）在中心化与方差方向估计上也会受到尺度的影响，统一尺度更有利于主成分解释。</w:t>
      </w:r>
    </w:p>
    <w:p>
      <w:r>
        <w:pict>
          <v:rect style="width:0;height:1.5pt" o:hralign="center" o:hrstd="t" o:hr="t"/>
        </w:pict>
      </w:r>
    </w:p>
    <w:bookmarkEnd w:id="33"/>
    <w:bookmarkEnd w:id="34"/>
    <w:bookmarkStart w:id="48" w:name="设计任务实现过程"/>
    <w:p>
      <w:pPr>
        <w:pStyle w:val="Heading2"/>
      </w:pPr>
      <w:r>
        <w:t xml:space="preserve">3 </w:t>
      </w:r>
      <w:r>
        <w:rPr>
          <w:rFonts w:hint="eastAsia"/>
        </w:rPr>
        <w:t xml:space="preserve">设计任务实现过程</w:t>
      </w:r>
    </w:p>
    <w:bookmarkStart w:id="38" w:name="工程实现与实验组织方式"/>
    <w:p>
      <w:pPr>
        <w:pStyle w:val="Heading3"/>
      </w:pPr>
      <w:r>
        <w:t xml:space="preserve">3.1 </w:t>
      </w:r>
      <w:r>
        <w:rPr>
          <w:rFonts w:hint="eastAsia"/>
        </w:rPr>
        <w:t xml:space="preserve">工程实现与实验组织方式</w:t>
      </w:r>
    </w:p>
    <w:p>
      <w:pPr>
        <w:pStyle w:val="FirstParagraph"/>
      </w:pPr>
      <w:r>
        <w:rPr>
          <w:rFonts w:hint="eastAsia"/>
        </w:rPr>
        <w:t xml:space="preserve">本项目采用</w:t>
      </w:r>
      <w:r>
        <w:t xml:space="preserve"> Python 3.11 </w:t>
      </w:r>
      <w:r>
        <w:rPr>
          <w:rFonts w:hint="eastAsia"/>
        </w:rPr>
        <w:t xml:space="preserve">实现，并使用</w:t>
      </w:r>
      <w:r>
        <w:t xml:space="preserve"> </w:t>
      </w:r>
      <w:r>
        <w:rPr>
          <w:rStyle w:val="VerbatimChar"/>
        </w:rPr>
        <w:t xml:space="preserve">pixi.toml</w:t>
      </w:r>
      <w:r>
        <w:t xml:space="preserve"> </w:t>
      </w:r>
      <w:r>
        <w:rPr>
          <w:rFonts w:hint="eastAsia"/>
        </w:rPr>
        <w:t xml:space="preserve">进行环境管理与依赖锁定，确保不同机器上复现时的版本一致性。代码按模块化方式组织在</w:t>
      </w:r>
      <w:r>
        <w:t xml:space="preserve"> </w:t>
      </w:r>
      <w:r>
        <w:rPr>
          <w:rStyle w:val="VerbatimChar"/>
        </w:rPr>
        <w:t xml:space="preserve">code/</w:t>
      </w:r>
      <w:r>
        <w:t xml:space="preserve"> </w:t>
      </w:r>
      <w:r>
        <w:rPr>
          <w:rFonts w:hint="eastAsia"/>
        </w:rPr>
        <w:t xml:space="preserve">目录下：其中</w:t>
      </w:r>
      <w:r>
        <w:t xml:space="preserve"> </w:t>
      </w:r>
      <w:r>
        <w:rPr>
          <w:rStyle w:val="VerbatimChar"/>
        </w:rPr>
        <w:t xml:space="preserve">preprocess.py</w:t>
      </w:r>
      <w:r>
        <w:t xml:space="preserve"> </w:t>
      </w:r>
      <w:r>
        <w:rPr>
          <w:rFonts w:hint="eastAsia"/>
        </w:rPr>
        <w:t xml:space="preserve">实现数据加载与清洗，</w:t>
      </w:r>
      <w:r>
        <w:rPr>
          <w:rStyle w:val="VerbatimChar"/>
        </w:rPr>
        <w:t xml:space="preserve">config.py</w:t>
      </w:r>
      <w:r>
        <w:t xml:space="preserve"> </w:t>
      </w:r>
      <w:r>
        <w:rPr>
          <w:rFonts w:hint="eastAsia"/>
        </w:rPr>
        <w:t xml:space="preserve">固化特征列表、路径与随机种子，</w:t>
      </w:r>
      <w:r>
        <w:rPr>
          <w:rStyle w:val="VerbatimChar"/>
        </w:rPr>
        <w:t xml:space="preserve">torch_reducers.py</w:t>
      </w:r>
      <w:r>
        <w:t xml:space="preserve"> </w:t>
      </w:r>
      <w:r>
        <w:rPr>
          <w:rFonts w:hint="eastAsia"/>
        </w:rPr>
        <w:t xml:space="preserve">提供基于</w:t>
      </w:r>
      <w:r>
        <w:t xml:space="preserve"> PyTorch </w:t>
      </w:r>
      <w:r>
        <w:rPr>
          <w:rFonts w:hint="eastAsia"/>
        </w:rPr>
        <w:t xml:space="preserve">的</w:t>
      </w:r>
      <w:r>
        <w:t xml:space="preserve"> PCA </w:t>
      </w:r>
      <w:r>
        <w:rPr>
          <w:rFonts w:hint="eastAsia"/>
        </w:rPr>
        <w:t xml:space="preserve">与</w:t>
      </w:r>
      <w:r>
        <w:t xml:space="preserve"> LDA </w:t>
      </w:r>
      <w:r>
        <w:rPr>
          <w:rFonts w:hint="eastAsia"/>
        </w:rPr>
        <w:t xml:space="preserve">实现以便在具备</w:t>
      </w:r>
      <w:r>
        <w:t xml:space="preserve"> GPU </w:t>
      </w:r>
      <w:r>
        <w:rPr>
          <w:rFonts w:hint="eastAsia"/>
        </w:rPr>
        <w:t xml:space="preserve">条件时加速矩阵计算，</w:t>
      </w:r>
      <w:r>
        <w:rPr>
          <w:rStyle w:val="VerbatimChar"/>
        </w:rPr>
        <w:t xml:space="preserve">torch_classifiers.py</w:t>
      </w:r>
      <w:r>
        <w:t xml:space="preserve"> </w:t>
      </w:r>
      <w:r>
        <w:rPr>
          <w:rFonts w:hint="eastAsia"/>
        </w:rPr>
        <w:t xml:space="preserve">提供基于</w:t>
      </w:r>
      <w:r>
        <w:t xml:space="preserve"> PyTorch </w:t>
      </w:r>
      <w:r>
        <w:rPr>
          <w:rFonts w:hint="eastAsia"/>
        </w:rPr>
        <w:t xml:space="preserve">的逻辑回归与简化网格搜索，</w:t>
      </w:r>
      <w:r>
        <w:rPr>
          <w:rStyle w:val="VerbatimChar"/>
        </w:rPr>
        <w:t xml:space="preserve">metrics.py</w:t>
      </w:r>
      <w:r>
        <w:t xml:space="preserve"> </w:t>
      </w:r>
      <w:r>
        <w:rPr>
          <w:rFonts w:hint="eastAsia"/>
        </w:rPr>
        <w:t xml:space="preserve">实现准确率与误报/漏报计算，</w:t>
      </w:r>
      <w:r>
        <w:rPr>
          <w:rStyle w:val="VerbatimChar"/>
        </w:rPr>
        <w:t xml:space="preserve">plots.py</w:t>
      </w:r>
      <w:r>
        <w:t xml:space="preserve"> </w:t>
      </w:r>
      <w:r>
        <w:rPr>
          <w:rFonts w:hint="eastAsia"/>
        </w:rPr>
        <w:t xml:space="preserve">统一配置</w:t>
      </w:r>
      <w:r>
        <w:t xml:space="preserve"> SciencePlots </w:t>
      </w:r>
      <w:r>
        <w:rPr>
          <w:rFonts w:hint="eastAsia"/>
        </w:rPr>
        <w:t xml:space="preserve">的</w:t>
      </w:r>
      <w:r>
        <w:t xml:space="preserve"> IEEE </w:t>
      </w:r>
      <w:r>
        <w:rPr>
          <w:rFonts w:hint="eastAsia"/>
        </w:rPr>
        <w:t xml:space="preserve">风格并输出二维散点图。主流程脚本</w:t>
      </w:r>
      <w:r>
        <w:t xml:space="preserve"> </w:t>
      </w:r>
      <w:r>
        <w:rPr>
          <w:rStyle w:val="VerbatimChar"/>
        </w:rPr>
        <w:t xml:space="preserve">code/run_experiments_torch.py</w:t>
      </w:r>
      <w:r>
        <w:t xml:space="preserve"> </w:t>
      </w:r>
      <w:r>
        <w:rPr>
          <w:rFonts w:hint="eastAsia"/>
        </w:rPr>
        <w:t xml:space="preserve">将上述模块串联，输出三类结果文件：降维效果表（</w:t>
      </w:r>
      <w:r>
        <w:rPr>
          <w:rStyle w:val="VerbatimChar"/>
        </w:rPr>
        <w:t xml:space="preserve">data/processed/reduction_metrics.csv</w:t>
      </w:r>
      <w:r>
        <w:rPr>
          <w:rFonts w:hint="eastAsia"/>
        </w:rPr>
        <w:t xml:space="preserve">）、组合性能表（</w:t>
      </w:r>
      <w:r>
        <w:rPr>
          <w:rStyle w:val="VerbatimChar"/>
        </w:rPr>
        <w:t xml:space="preserve">data/processed/metrics.csv</w:t>
      </w:r>
      <w:r>
        <w:rPr>
          <w:rFonts w:hint="eastAsia"/>
        </w:rPr>
        <w:t xml:space="preserve">）与重点攻击类型指标表（</w:t>
      </w:r>
      <w:r>
        <w:rPr>
          <w:rStyle w:val="VerbatimChar"/>
        </w:rPr>
        <w:t xml:space="preserve">data/processed/attack_metrics.csv</w:t>
      </w:r>
      <w:r>
        <w:rPr>
          <w:rFonts w:hint="eastAsia"/>
        </w:rPr>
        <w:t xml:space="preserve">），并在</w:t>
      </w:r>
      <w:r>
        <w:t xml:space="preserve"> </w:t>
      </w:r>
      <w:r>
        <w:rPr>
          <w:rStyle w:val="VerbatimChar"/>
        </w:rPr>
        <w:t xml:space="preserve">figures/</w:t>
      </w:r>
      <w:r>
        <w:t xml:space="preserve"> </w:t>
      </w:r>
      <w:r>
        <w:rPr>
          <w:rFonts w:hint="eastAsia"/>
        </w:rPr>
        <w:t xml:space="preserve">下生成对应的可视化图表。</w:t>
      </w:r>
    </w:p>
    <w:p>
      <w:pPr>
        <w:pStyle w:val="BodyText"/>
      </w:pPr>
      <w:r>
        <w:rPr>
          <w:rFonts w:hint="eastAsia"/>
        </w:rPr>
        <w:t xml:space="preserve">为了使不同组合结果具有可比性，主流程遵循统一的数据划分与归一化策略，并对每一种降维设置缓存降维后的训练/测试表示，避免对相同降维器重复计算。实验组合遵循“5</w:t>
      </w:r>
      <w:r>
        <w:t xml:space="preserve"> </w:t>
      </w:r>
      <w:r>
        <w:rPr>
          <w:rFonts w:hint="eastAsia"/>
        </w:rPr>
        <w:t xml:space="preserve">组降维配置</w:t>
      </w:r>
      <w:r>
        <w:t xml:space="preserve"> × 3 </w:t>
      </w:r>
      <w:r>
        <w:rPr>
          <w:rFonts w:hint="eastAsia"/>
        </w:rPr>
        <w:t xml:space="preserve">类分类器”的设计，共计</w:t>
      </w:r>
      <w:r>
        <w:t xml:space="preserve"> 15 </w:t>
      </w:r>
      <w:r>
        <w:rPr>
          <w:rFonts w:hint="eastAsia"/>
        </w:rPr>
        <w:t xml:space="preserve">组。虽然课程要求至少</w:t>
      </w:r>
      <w:r>
        <w:t xml:space="preserve"> 9 </w:t>
      </w:r>
      <w:r>
        <w:rPr>
          <w:rFonts w:hint="eastAsia"/>
        </w:rPr>
        <w:t xml:space="preserve">组组合，本项目在此基础上加入</w:t>
      </w:r>
      <w:r>
        <w:t xml:space="preserve"> LDA </w:t>
      </w:r>
      <w:r>
        <w:rPr>
          <w:rFonts w:hint="eastAsia"/>
        </w:rPr>
        <w:t xml:space="preserve">与</w:t>
      </w:r>
      <w:r>
        <w:t xml:space="preserve"> t-SNE </w:t>
      </w:r>
      <w:r>
        <w:rPr>
          <w:rFonts w:hint="eastAsia"/>
        </w:rPr>
        <w:t xml:space="preserve">的对比，使结果更完整，且便于在报告中讨论线性/非线性降维的差异。</w:t>
      </w:r>
    </w:p>
    <w:p>
      <w:pPr>
        <w:pStyle w:val="BodyText"/>
      </w:pPr>
      <w:r>
        <w:rPr>
          <w:rFonts w:hint="eastAsia"/>
        </w:rPr>
        <w:t xml:space="preserve">为便于读者从系统角度理解整体流水线，本文将“数据</w:t>
      </w:r>
      <w:r>
        <w:t xml:space="preserve"> → </w:t>
      </w:r>
      <w:r>
        <w:rPr>
          <w:rFonts w:hint="eastAsia"/>
        </w:rPr>
        <w:t xml:space="preserve">预处理</w:t>
      </w:r>
      <w:r>
        <w:t xml:space="preserve"> → </w:t>
      </w:r>
      <w:r>
        <w:rPr>
          <w:rFonts w:hint="eastAsia"/>
        </w:rPr>
        <w:t xml:space="preserve">降维</w:t>
      </w:r>
      <w:r>
        <w:t xml:space="preserve"> → </w:t>
      </w:r>
      <w:r>
        <w:rPr>
          <w:rFonts w:hint="eastAsia"/>
        </w:rPr>
        <w:t xml:space="preserve">分类</w:t>
      </w:r>
      <w:r>
        <w:t xml:space="preserve"> → </w:t>
      </w:r>
      <w:r>
        <w:rPr>
          <w:rFonts w:hint="eastAsia"/>
        </w:rPr>
        <w:t xml:space="preserve">评估与可视化”的实现过程抽象为流程图，如下所示。该图与</w:t>
      </w:r>
      <w:r>
        <w:t xml:space="preserve"> </w:t>
      </w:r>
      <w:r>
        <w:rPr>
          <w:rStyle w:val="VerbatimChar"/>
        </w:rPr>
        <w:t xml:space="preserve">code/run_experiments_torch.py</w:t>
      </w:r>
      <w:r>
        <w:t xml:space="preserve"> </w:t>
      </w:r>
      <w:r>
        <w:rPr>
          <w:rFonts w:hint="eastAsia"/>
        </w:rPr>
        <w:t xml:space="preserve">的执行顺序一一对应，可作为复现与答辩说明的纲要。</w:t>
      </w:r>
    </w:p>
    <w:p>
      <w:pPr>
        <w:pStyle w:val="BodyText"/>
      </w:pPr>
      <w:r>
        <w:drawing>
          <wp:inline>
            <wp:extent cx="5334000" cy="1477880"/>
            <wp:effectExtent b="0" l="0" r="0" t="0"/>
            <wp:docPr descr="" title="" id="36" name="Picture"/>
            <a:graphic>
              <a:graphicData uri="http://schemas.openxmlformats.org/drawingml/2006/picture">
                <pic:pic>
                  <pic:nvPicPr>
                    <pic:cNvPr descr="figures/Pipeline_Overview.png" id="37" name="Picture"/>
                    <pic:cNvPicPr>
                      <a:picLocks noChangeArrowheads="1" noChangeAspect="1"/>
                    </pic:cNvPicPr>
                  </pic:nvPicPr>
                  <pic:blipFill>
                    <a:blip r:embed="rId35"/>
                    <a:stretch>
                      <a:fillRect/>
                    </a:stretch>
                  </pic:blipFill>
                  <pic:spPr bwMode="auto">
                    <a:xfrm>
                      <a:off x="0" y="0"/>
                      <a:ext cx="5334000" cy="1477880"/>
                    </a:xfrm>
                    <a:prstGeom prst="rect">
                      <a:avLst/>
                    </a:prstGeom>
                    <a:noFill/>
                    <a:ln w="9525">
                      <a:noFill/>
                      <a:headEnd/>
                      <a:tailEnd/>
                    </a:ln>
                  </pic:spPr>
                </pic:pic>
              </a:graphicData>
            </a:graphic>
          </wp:inline>
        </w:drawing>
      </w:r>
    </w:p>
    <w:bookmarkEnd w:id="38"/>
    <w:bookmarkStart w:id="42" w:name="降维方法原理实现与参数设置"/>
    <w:p>
      <w:pPr>
        <w:pStyle w:val="Heading3"/>
      </w:pPr>
      <w:r>
        <w:t xml:space="preserve">3.2 </w:t>
      </w:r>
      <w:r>
        <w:rPr>
          <w:rFonts w:hint="eastAsia"/>
        </w:rPr>
        <w:t xml:space="preserve">降维方法：原理、实现与参数设置</w:t>
      </w:r>
    </w:p>
    <w:bookmarkStart w:id="39" w:name="pca主成分分析"/>
    <w:p>
      <w:pPr>
        <w:pStyle w:val="Heading4"/>
      </w:pPr>
      <w:r>
        <w:t xml:space="preserve">3.2.1 </w:t>
      </w:r>
      <w:r>
        <w:rPr>
          <w:rFonts w:hint="eastAsia"/>
        </w:rPr>
        <w:t xml:space="preserve">PCA（主成分分析）</w:t>
      </w:r>
    </w:p>
    <w:p>
      <w:pPr>
        <w:pStyle w:val="FirstParagraph"/>
      </w:pPr>
      <w:r>
        <w:t xml:space="preserve">PCA </w:t>
      </w:r>
      <w:r>
        <w:rPr>
          <w:rFonts w:hint="eastAsia"/>
        </w:rPr>
        <w:t xml:space="preserve">是典型的无监督线性降维方法，其思想是在保留样本总体方差尽可能大的前提下，寻找一组正交基向量将高维数据投影到低维子空间</w:t>
      </w:r>
      <w:r>
        <w:t xml:space="preserve"> </w:t>
      </w:r>
      <w:r>
        <w:rPr>
          <w:rFonts w:hint="eastAsia"/>
        </w:rPr>
        <w:t xml:space="preserve">[5]。设中心化后的数据矩阵为</w:t>
      </w:r>
      <w:r>
        <w:t xml:space="preserve"> </w:t>
      </w:r>
      <m:oMath>
        <m:r>
          <m:t>X</m:t>
        </m:r>
        <m:r>
          <m:rPr>
            <m:sty m:val="p"/>
          </m:rPr>
          <m:t>∈</m:t>
        </m:r>
        <m:sSup>
          <m:e>
            <m:r>
              <m:rPr>
                <m:sty m:val="p"/>
                <m:scr m:val="double-struck"/>
              </m:rPr>
              <m:t>R</m:t>
            </m:r>
          </m:e>
          <m:sup>
            <m:r>
              <m:t>n</m:t>
            </m:r>
            <m:r>
              <m:rPr>
                <m:sty m:val="p"/>
              </m:rPr>
              <m:t>×</m:t>
            </m:r>
            <m:r>
              <m:t>d</m:t>
            </m:r>
          </m:sup>
        </m:sSup>
      </m:oMath>
      <w:r>
        <w:rPr>
          <w:rFonts w:hint="eastAsia"/>
        </w:rPr>
        <w:t xml:space="preserve">，PCA</w:t>
      </w:r>
      <w:r>
        <w:t xml:space="preserve"> </w:t>
      </w:r>
      <w:r>
        <w:rPr>
          <w:rFonts w:hint="eastAsia"/>
        </w:rPr>
        <w:t xml:space="preserve">通过对</w:t>
      </w:r>
      <w:r>
        <w:t xml:space="preserve"> </w:t>
      </w:r>
      <m:oMath>
        <m:r>
          <m:t>X</m:t>
        </m:r>
      </m:oMath>
      <w:r>
        <w:t xml:space="preserve"> </w:t>
      </w:r>
      <w:r>
        <w:rPr>
          <w:rFonts w:hint="eastAsia"/>
        </w:rPr>
        <w:t xml:space="preserve">的奇异值分解（SVD）或对协方差矩阵的特征分解得到主成分方向，并选择前</w:t>
      </w:r>
      <w:r>
        <w:t xml:space="preserve"> </w:t>
      </w:r>
      <m:oMath>
        <m:r>
          <m:t>k</m:t>
        </m:r>
      </m:oMath>
      <w:r>
        <w:t xml:space="preserve"> </w:t>
      </w:r>
      <w:r>
        <w:rPr>
          <w:rFonts w:hint="eastAsia"/>
        </w:rPr>
        <w:t xml:space="preserve">个方向构成投影矩阵</w:t>
      </w:r>
      <w:r>
        <w:t xml:space="preserve"> </w:t>
      </w:r>
      <m:oMath>
        <m:r>
          <m:t>W</m:t>
        </m:r>
        <m:r>
          <m:rPr>
            <m:sty m:val="p"/>
          </m:rPr>
          <m:t>∈</m:t>
        </m:r>
        <m:sSup>
          <m:e>
            <m:r>
              <m:rPr>
                <m:sty m:val="p"/>
                <m:scr m:val="double-struck"/>
              </m:rPr>
              <m:t>R</m:t>
            </m:r>
          </m:e>
          <m:sup>
            <m:r>
              <m:t>k</m:t>
            </m:r>
            <m:r>
              <m:rPr>
                <m:sty m:val="p"/>
              </m:rPr>
              <m:t>×</m:t>
            </m:r>
            <m:r>
              <m:t>d</m:t>
            </m:r>
          </m:sup>
        </m:sSup>
      </m:oMath>
      <w:r>
        <w:rPr>
          <w:rFonts w:hint="eastAsia"/>
        </w:rPr>
        <w:t xml:space="preserve">，从而得到低维表示</w:t>
      </w:r>
      <w:r>
        <w:t xml:space="preserve"> </w:t>
      </w:r>
      <m:oMath>
        <m:r>
          <m:t>Z</m:t>
        </m:r>
        <m:r>
          <m:rPr>
            <m:sty m:val="p"/>
          </m:rPr>
          <m:t>=</m:t>
        </m:r>
        <m:r>
          <m:t>X</m:t>
        </m:r>
        <m:sSup>
          <m:e>
            <m:r>
              <m:t>W</m:t>
            </m:r>
          </m:e>
          <m:sup>
            <m:r>
              <m:t>T</m:t>
            </m:r>
          </m:sup>
        </m:sSup>
      </m:oMath>
      <w:r>
        <w:rPr>
          <w:rFonts w:hint="eastAsia"/>
        </w:rPr>
        <w:t xml:space="preserve">。在工程实现上，本项目使用</w:t>
      </w:r>
      <w:r>
        <w:t xml:space="preserve"> PyTorch </w:t>
      </w:r>
      <w:r>
        <w:rPr>
          <w:rFonts w:hint="eastAsia"/>
        </w:rPr>
        <w:t xml:space="preserve">的</w:t>
      </w:r>
      <w:r>
        <w:t xml:space="preserve"> </w:t>
      </w:r>
      <w:r>
        <w:rPr>
          <w:rStyle w:val="VerbatimChar"/>
        </w:rPr>
        <w:t xml:space="preserve">torch.linalg.svd</w:t>
      </w:r>
      <w:r>
        <w:t xml:space="preserve"> </w:t>
      </w:r>
      <w:r>
        <w:rPr>
          <w:rFonts w:hint="eastAsia"/>
        </w:rPr>
        <w:t xml:space="preserve">计算</w:t>
      </w:r>
      <w:r>
        <w:t xml:space="preserve"> </w:t>
      </w:r>
      <w:r>
        <w:rPr>
          <w:rFonts w:hint="eastAsia"/>
        </w:rPr>
        <w:t xml:space="preserve">SVD，并据此计算解释方差比（explained</w:t>
      </w:r>
      <w:r>
        <w:t xml:space="preserve"> variance </w:t>
      </w:r>
      <w:r>
        <w:rPr>
          <w:rFonts w:hint="eastAsia"/>
        </w:rPr>
        <w:t xml:space="preserve">ratio），用其累积和作为信息保留率的度量。实验分别取</w:t>
      </w:r>
      <w:r>
        <w:t xml:space="preserve"> </w:t>
      </w:r>
      <m:oMath>
        <m:r>
          <m:t>k</m:t>
        </m:r>
        <m:r>
          <m:rPr>
            <m:sty m:val="p"/>
          </m:rPr>
          <m:t>=</m:t>
        </m:r>
        <m:r>
          <m:t>10</m:t>
        </m:r>
        <m:r>
          <m:rPr>
            <m:sty m:val="p"/>
          </m:rPr>
          <m:t>,</m:t>
        </m:r>
        <m:r>
          <m:t>15</m:t>
        </m:r>
        <m:r>
          <m:rPr>
            <m:sty m:val="p"/>
          </m:rPr>
          <m:t>,</m:t>
        </m:r>
        <m:r>
          <m:t>20</m:t>
        </m:r>
      </m:oMath>
      <w:r>
        <w:rPr>
          <w:rFonts w:hint="eastAsia"/>
        </w:rPr>
        <w:t xml:space="preserve">，以覆盖“较强压缩”</w:t>
      </w:r>
      <w:r>
        <w:rPr>
          <w:rFonts w:hint="eastAsia"/>
        </w:rPr>
        <w:t xml:space="preserve">“折中压缩”</w:t>
      </w:r>
      <w:r>
        <w:rPr>
          <w:rFonts w:hint="eastAsia"/>
        </w:rPr>
        <w:t xml:space="preserve">“轻度压缩”</w:t>
      </w:r>
      <w:r>
        <w:rPr>
          <w:rFonts w:hint="eastAsia"/>
        </w:rPr>
        <w:t xml:space="preserve">三种典型场景，并观察信息保留率与分类性能随维度变化的趋势。</w:t>
      </w:r>
    </w:p>
    <w:bookmarkEnd w:id="39"/>
    <w:bookmarkStart w:id="40" w:name="lda线性判别分析"/>
    <w:p>
      <w:pPr>
        <w:pStyle w:val="Heading4"/>
      </w:pPr>
      <w:r>
        <w:t xml:space="preserve">3.2.2 </w:t>
      </w:r>
      <w:r>
        <w:rPr>
          <w:rFonts w:hint="eastAsia"/>
        </w:rPr>
        <w:t xml:space="preserve">LDA（线性判别分析）</w:t>
      </w:r>
    </w:p>
    <w:p>
      <w:pPr>
        <w:pStyle w:val="FirstParagraph"/>
      </w:pPr>
      <w:r>
        <w:t xml:space="preserve">LDA </w:t>
      </w:r>
      <w:r>
        <w:rPr>
          <w:rFonts w:hint="eastAsia"/>
        </w:rPr>
        <w:t xml:space="preserve">属于有监督线性降维方法，其目标是在投影后最大化类间散度、最小化类内散度，从而增强类别可分性</w:t>
      </w:r>
      <w:r>
        <w:t xml:space="preserve"> </w:t>
      </w:r>
      <w:r>
        <w:rPr>
          <w:rFonts w:hint="eastAsia"/>
        </w:rPr>
        <w:t xml:space="preserve">[6]。设总体均值为</w:t>
      </w:r>
      <w:r>
        <w:t xml:space="preserve"> </w:t>
      </w:r>
      <m:oMath>
        <m:r>
          <m:t>μ</m:t>
        </m:r>
      </m:oMath>
      <w:r>
        <w:rPr>
          <w:rFonts w:hint="eastAsia"/>
        </w:rPr>
        <w:t xml:space="preserve">，第</w:t>
      </w:r>
      <w:r>
        <w:t xml:space="preserve"> </w:t>
      </w:r>
      <m:oMath>
        <m:r>
          <m:t>c</m:t>
        </m:r>
      </m:oMath>
      <w:r>
        <w:t xml:space="preserve"> </w:t>
      </w:r>
      <w:r>
        <w:rPr>
          <w:rFonts w:hint="eastAsia"/>
        </w:rPr>
        <w:t xml:space="preserve">类均值为</w:t>
      </w:r>
      <w:r>
        <w:t xml:space="preserve"> </w:t>
      </w:r>
      <m:oMath>
        <m:sSub>
          <m:e>
            <m:r>
              <m:t>μ</m:t>
            </m:r>
          </m:e>
          <m:sub>
            <m:r>
              <m:t>c</m:t>
            </m:r>
          </m:sub>
        </m:sSub>
      </m:oMath>
      <w:r>
        <w:rPr>
          <w:rFonts w:hint="eastAsia"/>
        </w:rPr>
        <w:t xml:space="preserve">，类内散度矩阵为</w:t>
      </w:r>
      <w:r>
        <w:t xml:space="preserve"> </w:t>
      </w:r>
      <m:oMath>
        <m:sSub>
          <m:e>
            <m:r>
              <m:t>S</m:t>
            </m:r>
          </m:e>
          <m:sub>
            <m:r>
              <m:t>W</m:t>
            </m:r>
          </m:sub>
        </m:sSub>
      </m:oMath>
      <w:r>
        <w:rPr>
          <w:rFonts w:hint="eastAsia"/>
        </w:rPr>
        <w:t xml:space="preserve">，类间散度矩阵为</w:t>
      </w:r>
      <w:r>
        <w:t xml:space="preserve"> </w:t>
      </w:r>
      <m:oMath>
        <m:sSub>
          <m:e>
            <m:r>
              <m:t>S</m:t>
            </m:r>
          </m:e>
          <m:sub>
            <m:r>
              <m:t>B</m:t>
            </m:r>
          </m:sub>
        </m:sSub>
      </m:oMath>
      <w:r>
        <w:rPr>
          <w:rFonts w:hint="eastAsia"/>
        </w:rPr>
        <w:t xml:space="preserve">，则</w:t>
      </w:r>
      <w:r>
        <w:t xml:space="preserve"> LDA </w:t>
      </w:r>
      <w:r>
        <w:rPr>
          <w:rFonts w:hint="eastAsia"/>
        </w:rPr>
        <w:t xml:space="preserve">通过求解广义特征值问题</w:t>
      </w:r>
      <w:r>
        <w:t xml:space="preserve"> </w:t>
      </w:r>
      <m:oMath>
        <m:sSub>
          <m:e>
            <m:r>
              <m:t>S</m:t>
            </m:r>
          </m:e>
          <m:sub>
            <m:r>
              <m:t>B</m:t>
            </m:r>
          </m:sub>
        </m:sSub>
        <m:r>
          <m:t>w</m:t>
        </m:r>
        <m:r>
          <m:rPr>
            <m:sty m:val="p"/>
          </m:rPr>
          <m:t>=</m:t>
        </m:r>
        <m:r>
          <m:t>λ</m:t>
        </m:r>
        <m:sSub>
          <m:e>
            <m:r>
              <m:t>S</m:t>
            </m:r>
          </m:e>
          <m:sub>
            <m:r>
              <m:t>W</m:t>
            </m:r>
          </m:sub>
        </m:sSub>
        <m:r>
          <m:t>w</m:t>
        </m:r>
      </m:oMath>
      <w:r>
        <w:t xml:space="preserve"> </w:t>
      </w:r>
      <w:r>
        <w:rPr>
          <w:rFonts w:hint="eastAsia"/>
        </w:rPr>
        <w:t xml:space="preserve">得到判别方向；本实验为二分类设置，因此输出</w:t>
      </w:r>
      <w:r>
        <w:t xml:space="preserve"> 1 </w:t>
      </w:r>
      <w:r>
        <w:rPr>
          <w:rFonts w:hint="eastAsia"/>
        </w:rPr>
        <w:t xml:space="preserve">维判别表示。本项目的实现以</w:t>
      </w:r>
      <w:r>
        <w:t xml:space="preserve"> PyTorch </w:t>
      </w:r>
      <w:r>
        <w:rPr>
          <w:rFonts w:hint="eastAsia"/>
        </w:rPr>
        <w:t xml:space="preserve">计算散度矩阵并求解特征分解，在数值不稳定时回退到</w:t>
      </w:r>
      <w:r>
        <w:t xml:space="preserve"> scikit-learn </w:t>
      </w:r>
      <w:r>
        <w:rPr>
          <w:rFonts w:hint="eastAsia"/>
        </w:rPr>
        <w:t xml:space="preserve">的实现以保证鲁棒性。</w:t>
      </w:r>
    </w:p>
    <w:bookmarkEnd w:id="40"/>
    <w:bookmarkStart w:id="41" w:name="t-snet-分布随机邻域嵌入"/>
    <w:p>
      <w:pPr>
        <w:pStyle w:val="Heading4"/>
      </w:pPr>
      <w:r>
        <w:t xml:space="preserve">3.2.3 </w:t>
      </w:r>
      <w:r>
        <w:rPr>
          <w:rFonts w:hint="eastAsia"/>
        </w:rPr>
        <w:t xml:space="preserve">t-SNE（t-分布随机邻域嵌入）</w:t>
      </w:r>
    </w:p>
    <w:p>
      <w:pPr>
        <w:pStyle w:val="FirstParagraph"/>
      </w:pPr>
      <w:r>
        <w:t xml:space="preserve">t-SNE </w:t>
      </w:r>
      <w:r>
        <w:rPr>
          <w:rFonts w:hint="eastAsia"/>
        </w:rPr>
        <w:t xml:space="preserve">是典型的非线性降维与可视化方法，通过在高维空间与低维空间分别定义相似度分布，并最小化二者的</w:t>
      </w:r>
      <w:r>
        <w:t xml:space="preserve"> KL </w:t>
      </w:r>
      <w:r>
        <w:rPr>
          <w:rFonts w:hint="eastAsia"/>
        </w:rPr>
        <w:t xml:space="preserve">散度，使低维嵌入尽可能保持局部邻域结构</w:t>
      </w:r>
      <w:r>
        <w:t xml:space="preserve"> </w:t>
      </w:r>
      <w:r>
        <w:rPr>
          <w:rFonts w:hint="eastAsia"/>
        </w:rPr>
        <w:t xml:space="preserve">[7]。在高维空间中，t-SNE</w:t>
      </w:r>
      <w:r>
        <w:t xml:space="preserve"> </w:t>
      </w:r>
      <w:r>
        <w:rPr>
          <w:rFonts w:hint="eastAsia"/>
        </w:rPr>
        <w:t xml:space="preserve">将样本对的相似度定义为高斯分布条件概率；在低维空间中，为缓解“拥挤问题”，使用自由度为</w:t>
      </w:r>
      <w:r>
        <w:t xml:space="preserve"> 1 </w:t>
      </w:r>
      <w:r>
        <w:rPr>
          <w:rFonts w:hint="eastAsia"/>
        </w:rPr>
        <w:t xml:space="preserve">的</w:t>
      </w:r>
      <w:r>
        <w:t xml:space="preserve"> Student t </w:t>
      </w:r>
      <w:r>
        <w:rPr>
          <w:rFonts w:hint="eastAsia"/>
        </w:rPr>
        <w:t xml:space="preserve">分布定义相似度，并通过梯度下降优化嵌入坐标。由于</w:t>
      </w:r>
      <w:r>
        <w:t xml:space="preserve"> t-SNE </w:t>
      </w:r>
      <w:r>
        <w:rPr>
          <w:rFonts w:hint="eastAsia"/>
        </w:rPr>
        <w:t xml:space="preserve">不具备显式的线性变换形式，且其结果对超参数与初始化较为敏感，本文将其主要用于二维可视化，并将</w:t>
      </w:r>
      <w:r>
        <w:t xml:space="preserve"> 2 </w:t>
      </w:r>
      <w:r>
        <w:rPr>
          <w:rFonts w:hint="eastAsia"/>
        </w:rPr>
        <w:t xml:space="preserve">维嵌入作为一种对比性的“降维表示”参与组合评测，以观察非线性嵌入在该数据上的判别潜力。</w:t>
      </w:r>
    </w:p>
    <w:p>
      <w:pPr>
        <w:pStyle w:val="BodyText"/>
      </w:pPr>
      <w:r>
        <w:rPr>
          <w:rFonts w:hint="eastAsia"/>
        </w:rPr>
        <w:t xml:space="preserve">按照项目固定口径，t-SNE</w:t>
      </w:r>
      <w:r>
        <w:t xml:space="preserve"> </w:t>
      </w:r>
      <w:r>
        <w:rPr>
          <w:rFonts w:hint="eastAsia"/>
        </w:rPr>
        <w:t xml:space="preserve">参数设置为</w:t>
      </w:r>
      <w:r>
        <w:t xml:space="preserve"> </w:t>
      </w:r>
      <w:r>
        <w:rPr>
          <w:rStyle w:val="VerbatimChar"/>
        </w:rPr>
        <w:t xml:space="preserve">perplexity=30</w:t>
      </w:r>
      <w:r>
        <w:t xml:space="preserve">、</w:t>
      </w:r>
      <w:r>
        <w:rPr>
          <w:rStyle w:val="VerbatimChar"/>
        </w:rPr>
        <w:t xml:space="preserve">learning_rate='auto'</w:t>
      </w:r>
      <w:r>
        <w:t xml:space="preserve">、</w:t>
      </w:r>
      <w:r>
        <w:rPr>
          <w:rStyle w:val="VerbatimChar"/>
        </w:rPr>
        <w:t xml:space="preserve">init='pca'</w:t>
      </w:r>
      <w:r>
        <w:t xml:space="preserve">、</w:t>
      </w:r>
      <w:r>
        <w:rPr>
          <w:rStyle w:val="VerbatimChar"/>
        </w:rPr>
        <w:t xml:space="preserve">n_iter=1000</w:t>
      </w:r>
      <w:r>
        <w:t xml:space="preserve">、</w:t>
      </w:r>
      <w:r>
        <w:rPr>
          <w:rStyle w:val="VerbatimChar"/>
        </w:rPr>
        <w:t xml:space="preserve">random_state=42</w:t>
      </w:r>
      <w:r>
        <w:rPr>
          <w:rFonts w:hint="eastAsia"/>
        </w:rPr>
        <w:t xml:space="preserve">。需要特别强调：t-SNE</w:t>
      </w:r>
      <w:r>
        <w:t xml:space="preserve"> </w:t>
      </w:r>
      <w:r>
        <w:rPr>
          <w:rFonts w:hint="eastAsia"/>
        </w:rPr>
        <w:t xml:space="preserve">在严格意义上属于转导式（transductive）方法，难以对未见样本进行一致的</w:t>
      </w:r>
      <w:r>
        <w:t xml:space="preserve"> </w:t>
      </w:r>
      <w:r>
        <w:rPr>
          <w:rStyle w:val="VerbatimChar"/>
        </w:rPr>
        <w:t xml:space="preserve">transform</w:t>
      </w:r>
      <w:r>
        <w:rPr>
          <w:rFonts w:hint="eastAsia"/>
        </w:rPr>
        <w:t xml:space="preserve">；因此其作为“降维</w:t>
      </w:r>
      <w:r>
        <w:t xml:space="preserve"> + </w:t>
      </w:r>
      <w:r>
        <w:rPr>
          <w:rFonts w:hint="eastAsia"/>
        </w:rPr>
        <w:t xml:space="preserve">分类”流水线在部署时存在天然限制。本文在报告的安全性与工程性讨论中将对此给出明确说明，并将</w:t>
      </w:r>
      <w:r>
        <w:t xml:space="preserve"> PCA/LDA </w:t>
      </w:r>
      <w:r>
        <w:rPr>
          <w:rFonts w:hint="eastAsia"/>
        </w:rPr>
        <w:t xml:space="preserve">作为更可落地的降维方案。</w:t>
      </w:r>
    </w:p>
    <w:bookmarkEnd w:id="41"/>
    <w:bookmarkEnd w:id="42"/>
    <w:bookmarkStart w:id="47" w:name="分类器模型选择网格搜索与指标计算"/>
    <w:p>
      <w:pPr>
        <w:pStyle w:val="Heading3"/>
      </w:pPr>
      <w:r>
        <w:t xml:space="preserve">3.3 </w:t>
      </w:r>
      <w:r>
        <w:rPr>
          <w:rFonts w:hint="eastAsia"/>
        </w:rPr>
        <w:t xml:space="preserve">分类器：模型选择、网格搜索与指标计算</w:t>
      </w:r>
    </w:p>
    <w:bookmarkStart w:id="43" w:name="svm支持向量机"/>
    <w:p>
      <w:pPr>
        <w:pStyle w:val="Heading4"/>
      </w:pPr>
      <w:r>
        <w:t xml:space="preserve">3.3.1 </w:t>
      </w:r>
      <w:r>
        <w:rPr>
          <w:rFonts w:hint="eastAsia"/>
        </w:rPr>
        <w:t xml:space="preserve">SVM（支持向量机）</w:t>
      </w:r>
    </w:p>
    <w:p>
      <w:pPr>
        <w:pStyle w:val="FirstParagraph"/>
      </w:pPr>
      <w:r>
        <w:t xml:space="preserve">SVM </w:t>
      </w:r>
      <w:r>
        <w:rPr>
          <w:rFonts w:hint="eastAsia"/>
        </w:rPr>
        <w:t xml:space="preserve">通过构造最大间隔超平面实现分类，在小样本与非线性可分场景中具有良好泛化能力</w:t>
      </w:r>
      <w:r>
        <w:t xml:space="preserve"> </w:t>
      </w:r>
      <w:r>
        <w:rPr>
          <w:rFonts w:hint="eastAsia"/>
        </w:rPr>
        <w:t xml:space="preserve">[8]。对于非线性问题，SVM</w:t>
      </w:r>
      <w:r>
        <w:t xml:space="preserve"> </w:t>
      </w:r>
      <w:r>
        <w:rPr>
          <w:rFonts w:hint="eastAsia"/>
        </w:rPr>
        <w:t xml:space="preserve">通过核函数</w:t>
      </w:r>
      <w:r>
        <w:t xml:space="preserve"> </w:t>
      </w:r>
      <m:oMath>
        <m:r>
          <m:t>K</m:t>
        </m:r>
        <m:d>
          <m:dPr>
            <m:begChr m:val="("/>
            <m:endChr m:val=")"/>
            <m:sepChr m:val=""/>
            <m:grow/>
          </m:dPr>
          <m:e>
            <m:sSub>
              <m:e>
                <m:r>
                  <m:t>x</m:t>
                </m:r>
              </m:e>
              <m:sub>
                <m:r>
                  <m:t>i</m:t>
                </m:r>
              </m:sub>
            </m:sSub>
            <m:r>
              <m:rPr>
                <m:sty m:val="p"/>
              </m:rPr>
              <m:t>,</m:t>
            </m:r>
            <m:sSub>
              <m:e>
                <m:r>
                  <m:t>x</m:t>
                </m:r>
              </m:e>
              <m:sub>
                <m:r>
                  <m:t>j</m:t>
                </m:r>
              </m:sub>
            </m:sSub>
          </m:e>
        </m:d>
      </m:oMath>
      <w:r>
        <w:t xml:space="preserve"> </w:t>
      </w:r>
      <w:r>
        <w:rPr>
          <w:rFonts w:hint="eastAsia"/>
        </w:rPr>
        <w:t xml:space="preserve">实现隐式映射，本文采用</w:t>
      </w:r>
      <w:r>
        <w:t xml:space="preserve"> RBF </w:t>
      </w:r>
      <w:r>
        <w:rPr>
          <w:rFonts w:hint="eastAsia"/>
        </w:rPr>
        <w:t xml:space="preserve">核</w:t>
      </w:r>
      <w:r>
        <w:t xml:space="preserve"> </w:t>
      </w:r>
      <m:oMath>
        <m:r>
          <m:t>K</m:t>
        </m:r>
        <m:d>
          <m:dPr>
            <m:begChr m:val="("/>
            <m:endChr m:val=")"/>
            <m:sepChr m:val=""/>
            <m:grow/>
          </m:dPr>
          <m:e>
            <m:sSub>
              <m:e>
                <m:r>
                  <m:t>x</m:t>
                </m:r>
              </m:e>
              <m:sub>
                <m:r>
                  <m:t>i</m:t>
                </m:r>
              </m:sub>
            </m:sSub>
            <m:r>
              <m:rPr>
                <m:sty m:val="p"/>
              </m:rPr>
              <m:t>,</m:t>
            </m:r>
            <m:sSub>
              <m:e>
                <m:r>
                  <m:t>x</m:t>
                </m:r>
              </m:e>
              <m:sub>
                <m:r>
                  <m:t>j</m:t>
                </m:r>
              </m:sub>
            </m:sSub>
          </m:e>
        </m:d>
        <m:r>
          <m:rPr>
            <m:sty m:val="p"/>
          </m:rPr>
          <m:t>=</m:t>
        </m:r>
        <m:r>
          <m:rPr>
            <m:sty m:val="p"/>
          </m:rPr>
          <m:t>exp</m:t>
        </m:r>
        <m:d>
          <m:dPr>
            <m:begChr m:val="("/>
            <m:endChr m:val=")"/>
            <m:sepChr m:val=""/>
            <m:grow/>
          </m:dPr>
          <m:e>
            <m:r>
              <m:rPr>
                <m:sty m:val="p"/>
              </m:rPr>
              <m:t>−</m:t>
            </m:r>
            <m:r>
              <m:t>γ</m:t>
            </m:r>
            <m:sSup>
              <m:e>
                <m:d>
                  <m:dPr>
                    <m:begChr m:val="‖"/>
                    <m:endChr m:val="‖"/>
                    <m:sepChr m:val=""/>
                    <m:grow/>
                  </m:dPr>
                  <m:e>
                    <m:sSub>
                      <m:e>
                        <m:r>
                          <m:t>x</m:t>
                        </m:r>
                      </m:e>
                      <m:sub>
                        <m:r>
                          <m:t>i</m:t>
                        </m:r>
                      </m:sub>
                    </m:sSub>
                    <m:r>
                      <m:rPr>
                        <m:sty m:val="p"/>
                      </m:rPr>
                      <m:t>−</m:t>
                    </m:r>
                    <m:sSub>
                      <m:e>
                        <m:r>
                          <m:t>x</m:t>
                        </m:r>
                      </m:e>
                      <m:sub>
                        <m:r>
                          <m:t>j</m:t>
                        </m:r>
                      </m:sub>
                    </m:sSub>
                  </m:e>
                </m:d>
              </m:e>
              <m:sup>
                <m:r>
                  <m:t>2</m:t>
                </m:r>
              </m:sup>
            </m:sSup>
          </m:e>
        </m:d>
      </m:oMath>
      <w:r>
        <w:t xml:space="preserve">。SVM </w:t>
      </w:r>
      <w:r>
        <w:rPr>
          <w:rFonts w:hint="eastAsia"/>
        </w:rPr>
        <w:t xml:space="preserve">的关键超参数包括惩罚系数</w:t>
      </w:r>
      <w:r>
        <w:t xml:space="preserve"> </w:t>
      </w:r>
      <m:oMath>
        <m:r>
          <m:t>C</m:t>
        </m:r>
      </m:oMath>
      <w:r>
        <w:t xml:space="preserve"> </w:t>
      </w:r>
      <w:r>
        <w:rPr>
          <w:rFonts w:hint="eastAsia"/>
        </w:rPr>
        <w:t xml:space="preserve">与核宽度参数</w:t>
      </w:r>
      <w:r>
        <w:t xml:space="preserve"> </w:t>
      </w:r>
      <m:oMath>
        <m:r>
          <m:t>γ</m:t>
        </m:r>
      </m:oMath>
      <w:r>
        <w:rPr>
          <w:rFonts w:hint="eastAsia"/>
        </w:rPr>
        <w:t xml:space="preserve">，分别控制间隔与误差的权衡以及决策边界的复杂度。为兼顾网格搜索有效性与实验效率，本文使用优化后的参数网格：</w:t>
      </w:r>
      <m:oMath>
        <m:r>
          <m:t>C</m:t>
        </m:r>
        <m:r>
          <m:rPr>
            <m:sty m:val="p"/>
          </m:rPr>
          <m:t>∈</m:t>
        </m:r>
        <m:r>
          <m:rPr>
            <m:sty m:val="p"/>
          </m:rPr>
          <m:t>{</m:t>
        </m:r>
        <m:r>
          <m:t>1</m:t>
        </m:r>
        <m:r>
          <m:rPr>
            <m:sty m:val="p"/>
          </m:rPr>
          <m:t>,</m:t>
        </m:r>
        <m:r>
          <m:t>10</m:t>
        </m:r>
        <m:r>
          <m:rPr>
            <m:sty m:val="p"/>
          </m:rPr>
          <m:t>}</m:t>
        </m:r>
      </m:oMath>
      <w:r>
        <w:rPr>
          <w:rFonts w:hint="eastAsia"/>
        </w:rPr>
        <w:t xml:space="preserve">，</w:t>
      </w:r>
      <w:r>
        <w:rPr>
          <w:rStyle w:val="VerbatimChar"/>
        </w:rPr>
        <w:t xml:space="preserve">kernel='rbf'</w:t>
      </w:r>
      <w:r>
        <w:rPr>
          <w:rFonts w:hint="eastAsia"/>
        </w:rPr>
        <w:t xml:space="preserve">，</w:t>
      </w:r>
      <w:r>
        <w:rPr>
          <w:rStyle w:val="VerbatimChar"/>
        </w:rPr>
        <w:t xml:space="preserve">gamma='scale'</w:t>
      </w:r>
      <w:r>
        <w:rPr>
          <w:rFonts w:hint="eastAsia"/>
        </w:rPr>
        <w:t xml:space="preserve">，采用</w:t>
      </w:r>
      <w:r>
        <w:t xml:space="preserve"> 3 </w:t>
      </w:r>
      <w:r>
        <w:rPr>
          <w:rFonts w:hint="eastAsia"/>
        </w:rPr>
        <w:t xml:space="preserve">折交叉验证并以</w:t>
      </w:r>
      <w:r>
        <w:t xml:space="preserve"> </w:t>
      </w:r>
      <w:r>
        <w:rPr>
          <w:rStyle w:val="VerbatimChar"/>
        </w:rPr>
        <w:t xml:space="preserve">f1_macro</w:t>
      </w:r>
      <w:r>
        <w:t xml:space="preserve"> </w:t>
      </w:r>
      <w:r>
        <w:rPr>
          <w:rFonts w:hint="eastAsia"/>
        </w:rPr>
        <w:t xml:space="preserve">作为评分标准。</w:t>
      </w:r>
    </w:p>
    <w:bookmarkEnd w:id="43"/>
    <w:bookmarkStart w:id="44" w:name="随机森林"/>
    <w:p>
      <w:pPr>
        <w:pStyle w:val="Heading4"/>
      </w:pPr>
      <w:r>
        <w:t xml:space="preserve">3.3.2 </w:t>
      </w:r>
      <w:r>
        <w:rPr>
          <w:rFonts w:hint="eastAsia"/>
        </w:rPr>
        <w:t xml:space="preserve">随机森林</w:t>
      </w:r>
    </w:p>
    <w:p>
      <w:pPr>
        <w:pStyle w:val="FirstParagraph"/>
      </w:pPr>
      <w:r>
        <w:rPr>
          <w:rFonts w:hint="eastAsia"/>
        </w:rPr>
        <w:t xml:space="preserve">随机森林通过对训练数据进行</w:t>
      </w:r>
      <w:r>
        <w:t xml:space="preserve"> Bootstrap </w:t>
      </w:r>
      <w:r>
        <w:rPr>
          <w:rFonts w:hint="eastAsia"/>
        </w:rPr>
        <w:t xml:space="preserve">采样并在节点分裂时随机选择特征子集构建多棵决策树，最终通过投票得到预测结果</w:t>
      </w:r>
      <w:r>
        <w:t xml:space="preserve"> </w:t>
      </w:r>
      <w:r>
        <w:rPr>
          <w:rFonts w:hint="eastAsia"/>
        </w:rPr>
        <w:t xml:space="preserve">[9]。其优势在于对非线性关系与特征交互具有较强建模能力，并且对噪声与异常值相对鲁棒。本文将随机森林作为工程上更常见的基线模型之一，并采用简化网格：</w:t>
      </w:r>
      <w:r>
        <w:rPr>
          <w:rStyle w:val="VerbatimChar"/>
        </w:rPr>
        <w:t xml:space="preserve">n_estimators=200</w:t>
      </w:r>
      <w:r>
        <w:rPr>
          <w:rFonts w:hint="eastAsia"/>
        </w:rPr>
        <w:t xml:space="preserve">，</w:t>
      </w:r>
      <w:r>
        <w:rPr>
          <w:rStyle w:val="VerbatimChar"/>
        </w:rPr>
        <w:t xml:space="preserve">max_depth∈{None,20}</w:t>
      </w:r>
      <w:r>
        <w:rPr>
          <w:rFonts w:hint="eastAsia"/>
        </w:rPr>
        <w:t xml:space="preserve">，</w:t>
      </w:r>
      <w:r>
        <w:rPr>
          <w:rStyle w:val="VerbatimChar"/>
        </w:rPr>
        <w:t xml:space="preserve">min_samples_split=2</w:t>
      </w:r>
      <w:r>
        <w:rPr>
          <w:rFonts w:hint="eastAsia"/>
        </w:rPr>
        <w:t xml:space="preserve">，同样用</w:t>
      </w:r>
      <w:r>
        <w:t xml:space="preserve"> 3 </w:t>
      </w:r>
      <w:r>
        <w:rPr>
          <w:rFonts w:hint="eastAsia"/>
        </w:rPr>
        <w:t xml:space="preserve">折交叉验证与</w:t>
      </w:r>
      <w:r>
        <w:t xml:space="preserve"> </w:t>
      </w:r>
      <w:r>
        <w:rPr>
          <w:rStyle w:val="VerbatimChar"/>
        </w:rPr>
        <w:t xml:space="preserve">f1_macro</w:t>
      </w:r>
      <w:r>
        <w:t xml:space="preserve"> </w:t>
      </w:r>
      <w:r>
        <w:rPr>
          <w:rFonts w:hint="eastAsia"/>
        </w:rPr>
        <w:t xml:space="preserve">评分选择超参数。</w:t>
      </w:r>
    </w:p>
    <w:bookmarkEnd w:id="44"/>
    <w:bookmarkStart w:id="45" w:name="逻辑回归"/>
    <w:p>
      <w:pPr>
        <w:pStyle w:val="Heading4"/>
      </w:pPr>
      <w:r>
        <w:t xml:space="preserve">3.3.3 </w:t>
      </w:r>
      <w:r>
        <w:rPr>
          <w:rFonts w:hint="eastAsia"/>
        </w:rPr>
        <w:t xml:space="preserve">逻辑回归</w:t>
      </w:r>
    </w:p>
    <w:p>
      <w:pPr>
        <w:pStyle w:val="FirstParagraph"/>
      </w:pPr>
      <w:r>
        <w:rPr>
          <w:rFonts w:hint="eastAsia"/>
        </w:rPr>
        <w:t xml:space="preserve">逻辑回归是经典的线性分类模型，可解释性强且训练高效</w:t>
      </w:r>
      <w:r>
        <w:t xml:space="preserve"> </w:t>
      </w:r>
      <w:r>
        <w:rPr>
          <w:rFonts w:hint="eastAsia"/>
        </w:rPr>
        <w:t xml:space="preserve">[10]。本文使用</w:t>
      </w:r>
      <w:r>
        <w:t xml:space="preserve"> PyTorch </w:t>
      </w:r>
      <w:r>
        <w:rPr>
          <w:rFonts w:hint="eastAsia"/>
        </w:rPr>
        <w:t xml:space="preserve">实现多类别</w:t>
      </w:r>
      <w:r>
        <w:t xml:space="preserve"> softmax </w:t>
      </w:r>
      <w:r>
        <w:rPr>
          <w:rFonts w:hint="eastAsia"/>
        </w:rPr>
        <w:t xml:space="preserve">形式的逻辑回归，并以交叉熵损失进行优化，同时加入</w:t>
      </w:r>
      <w:r>
        <w:t xml:space="preserve"> </w:t>
      </w:r>
      <m:oMath>
        <m:sSub>
          <m:e>
            <m:r>
              <m:t>L</m:t>
            </m:r>
          </m:e>
          <m:sub>
            <m:r>
              <m:t>2</m:t>
            </m:r>
          </m:sub>
        </m:sSub>
      </m:oMath>
      <w:r>
        <w:t xml:space="preserve"> </w:t>
      </w:r>
      <w:r>
        <w:rPr>
          <w:rFonts w:hint="eastAsia"/>
        </w:rPr>
        <w:t xml:space="preserve">正则化项以控制模型复杂度。超参数主要为正则强度</w:t>
      </w:r>
      <w:r>
        <w:t xml:space="preserve"> </w:t>
      </w:r>
      <m:oMath>
        <m:r>
          <m:t>C</m:t>
        </m:r>
      </m:oMath>
      <w:r>
        <w:rPr>
          <w:rFonts w:hint="eastAsia"/>
        </w:rPr>
        <w:t xml:space="preserve">（与正则系数成倒数关系），网格设为</w:t>
      </w:r>
      <w:r>
        <w:t xml:space="preserve"> </w:t>
      </w:r>
      <m:oMath>
        <m:r>
          <m:t>C</m:t>
        </m:r>
        <m:r>
          <m:rPr>
            <m:sty m:val="p"/>
          </m:rPr>
          <m:t>∈</m:t>
        </m:r>
        <m:r>
          <m:rPr>
            <m:sty m:val="p"/>
          </m:rPr>
          <m:t>{</m:t>
        </m:r>
        <m:r>
          <m:t>0.1</m:t>
        </m:r>
        <m:r>
          <m:rPr>
            <m:sty m:val="p"/>
          </m:rPr>
          <m:t>,</m:t>
        </m:r>
        <m:r>
          <m:t>1</m:t>
        </m:r>
        <m:r>
          <m:rPr>
            <m:sty m:val="p"/>
          </m:rPr>
          <m:t>,</m:t>
        </m:r>
        <m:r>
          <m:t>10</m:t>
        </m:r>
        <m:r>
          <m:rPr>
            <m:sty m:val="p"/>
          </m:rPr>
          <m:t>}</m:t>
        </m:r>
      </m:oMath>
      <w:r>
        <w:rPr>
          <w:rFonts w:hint="eastAsia"/>
        </w:rPr>
        <w:t xml:space="preserve">，</w:t>
      </w:r>
      <w:r>
        <w:rPr>
          <w:rStyle w:val="VerbatimChar"/>
        </w:rPr>
        <w:t xml:space="preserve">max_iter=1000</w:t>
      </w:r>
      <w:r>
        <w:rPr>
          <w:rFonts w:hint="eastAsia"/>
        </w:rPr>
        <w:t xml:space="preserve">，并以</w:t>
      </w:r>
      <w:r>
        <w:t xml:space="preserve"> 3 </w:t>
      </w:r>
      <w:r>
        <w:rPr>
          <w:rFonts w:hint="eastAsia"/>
        </w:rPr>
        <w:t xml:space="preserve">折交叉验证的宏平均</w:t>
      </w:r>
      <w:r>
        <w:t xml:space="preserve"> F1 </w:t>
      </w:r>
      <w:r>
        <w:rPr>
          <w:rFonts w:hint="eastAsia"/>
        </w:rPr>
        <w:t xml:space="preserve">选择最优参数。逻辑回归在本实验中主要承担“线性可分性基线”的角色：若其性能接近非线性模型，则说明降维后特征空间具有较强线性判别结构；反之，则说明该数据的边界更可能依赖非线性特征交互。</w:t>
      </w:r>
    </w:p>
    <w:bookmarkEnd w:id="45"/>
    <w:bookmarkStart w:id="46" w:name="评估指标与耗时统计"/>
    <w:p>
      <w:pPr>
        <w:pStyle w:val="Heading4"/>
      </w:pPr>
      <w:r>
        <w:t xml:space="preserve">3.3.4 </w:t>
      </w:r>
      <w:r>
        <w:rPr>
          <w:rFonts w:hint="eastAsia"/>
        </w:rPr>
        <w:t xml:space="preserve">评估指标与耗时统计</w:t>
      </w:r>
    </w:p>
    <w:p>
      <w:pPr>
        <w:pStyle w:val="FirstParagraph"/>
      </w:pPr>
      <w:r>
        <w:rPr>
          <w:rFonts w:hint="eastAsia"/>
        </w:rPr>
        <w:t xml:space="preserve">本文对每组组合在测试集上计算准确率、误报率与漏报率，并记录分类器训练耗时与测试集预测耗时。耗时统计采用墙钟时间（wall-clock</w:t>
      </w:r>
      <w:r>
        <w:t xml:space="preserve"> </w:t>
      </w:r>
      <w:r>
        <w:rPr>
          <w:rFonts w:hint="eastAsia"/>
        </w:rPr>
        <w:t xml:space="preserve">time），训练耗时包含网格搜索与交叉验证拟合过程，预测耗时为对完整测试集（65,637</w:t>
      </w:r>
      <w:r>
        <w:t xml:space="preserve"> </w:t>
      </w:r>
      <w:r>
        <w:rPr>
          <w:rFonts w:hint="eastAsia"/>
        </w:rPr>
        <w:t xml:space="preserve">条）一次性推理的总时间。由于不同模型的实现路径不同（SVM/随机森林采用</w:t>
      </w:r>
      <w:r>
        <w:t xml:space="preserve"> </w:t>
      </w:r>
      <w:r>
        <w:rPr>
          <w:rFonts w:hint="eastAsia"/>
        </w:rPr>
        <w:t xml:space="preserve">scikit-learn，逻辑回归采用</w:t>
      </w:r>
      <w:r>
        <w:t xml:space="preserve"> </w:t>
      </w:r>
      <w:r>
        <w:rPr>
          <w:rFonts w:hint="eastAsia"/>
        </w:rPr>
        <w:t xml:space="preserve">PyTorch），耗时结果更多反映该实验环境下的相对量级，用于辅助讨论“模型复杂度与实时性”的工程权衡，而不作为跨平台绝对性能的评价。</w:t>
      </w:r>
    </w:p>
    <w:p>
      <w:r>
        <w:pict>
          <v:rect style="width:0;height:1.5pt" o:hralign="center" o:hrstd="t" o:hr="t"/>
        </w:pict>
      </w:r>
    </w:p>
    <w:bookmarkEnd w:id="46"/>
    <w:bookmarkEnd w:id="47"/>
    <w:bookmarkEnd w:id="48"/>
    <w:bookmarkStart w:id="76" w:name="算法对比与结果分析"/>
    <w:p>
      <w:pPr>
        <w:pStyle w:val="Heading2"/>
      </w:pPr>
      <w:r>
        <w:t xml:space="preserve">4 </w:t>
      </w:r>
      <w:r>
        <w:rPr>
          <w:rFonts w:hint="eastAsia"/>
        </w:rPr>
        <w:t xml:space="preserve">算法对比与结果分析</w:t>
      </w:r>
    </w:p>
    <w:bookmarkStart w:id="52" w:name="降维效果对比信息保留与类间分离"/>
    <w:p>
      <w:pPr>
        <w:pStyle w:val="Heading3"/>
      </w:pPr>
      <w:r>
        <w:t xml:space="preserve">4.1 </w:t>
      </w:r>
      <w:r>
        <w:rPr>
          <w:rFonts w:hint="eastAsia"/>
        </w:rPr>
        <w:t xml:space="preserve">降维效果对比：信息保留与类间分离</w:t>
      </w:r>
    </w:p>
    <w:p>
      <w:pPr>
        <w:pStyle w:val="FirstParagraph"/>
      </w:pPr>
      <w:r>
        <w:rPr>
          <w:rFonts w:hint="eastAsia"/>
        </w:rPr>
        <w:t xml:space="preserve">降维方法的评价不应仅依赖后续分类准确率，因为分类器本身也会引入偏差。为更细致地理解“降维是否保留了对检测有用的结构”，本文从两个角度对降维效果进行量化：其一是信息保留率（Information</w:t>
      </w:r>
      <w:r>
        <w:t xml:space="preserve"> </w:t>
      </w:r>
      <w:r>
        <w:rPr>
          <w:rFonts w:hint="eastAsia"/>
        </w:rPr>
        <w:t xml:space="preserve">retention），对</w:t>
      </w:r>
      <w:r>
        <w:t xml:space="preserve"> PCA/LDA </w:t>
      </w:r>
      <w:r>
        <w:rPr>
          <w:rFonts w:hint="eastAsia"/>
        </w:rPr>
        <w:t xml:space="preserve">以解释方差比的累积和近似衡量；其二是类间分离度（Class</w:t>
      </w:r>
      <w:r>
        <w:t xml:space="preserve"> </w:t>
      </w:r>
      <w:r>
        <w:rPr>
          <w:rFonts w:hint="eastAsia"/>
        </w:rPr>
        <w:t xml:space="preserve">separation），本文定义为训练集低维表示中“类间散度</w:t>
      </w:r>
      <w:r>
        <w:t xml:space="preserve"> / </w:t>
      </w:r>
      <w:r>
        <w:rPr>
          <w:rFonts w:hint="eastAsia"/>
        </w:rPr>
        <w:t xml:space="preserve">类内散度”的比值，即</w:t>
      </w:r>
    </w:p>
    <w:p>
      <w:pPr>
        <w:pStyle w:val="BodyText"/>
      </w:pPr>
      <m:oMathPara>
        <m:oMathParaPr>
          <m:jc m:val="center"/>
        </m:oMathParaPr>
        <m:oMath>
          <m:r>
            <m:rPr>
              <m:nor/>
              <m:sty m:val="p"/>
            </m:rPr>
            <m:t>Sep</m:t>
          </m:r>
          <m:r>
            <m:rPr>
              <m:sty m:val="p"/>
            </m:rPr>
            <m:t>=</m:t>
          </m:r>
          <m:f>
            <m:fPr>
              <m:type m:val="bar"/>
            </m:fPr>
            <m:num>
              <m:nary>
                <m:naryPr>
                  <m:chr m:val="∑"/>
                  <m:limLoc m:val="undOvr"/>
                  <m:subHide m:val="off"/>
                  <m:supHide m:val="on"/>
                </m:naryPr>
                <m:sub>
                  <m:r>
                    <m:t>c</m:t>
                  </m:r>
                </m:sub>
                <m:sup>
                  <m:r>
                    <m:t>​</m:t>
                  </m:r>
                </m:sup>
                <m:e>
                  <m:sSub>
                    <m:e>
                      <m:r>
                        <m:t>n</m:t>
                      </m:r>
                    </m:e>
                    <m:sub>
                      <m:r>
                        <m:t>c</m:t>
                      </m:r>
                    </m:sub>
                  </m:sSub>
                </m:e>
              </m:nary>
              <m:sSup>
                <m:e>
                  <m:d>
                    <m:dPr>
                      <m:begChr m:val="‖"/>
                      <m:endChr m:val="‖"/>
                      <m:sepChr m:val=""/>
                      <m:grow/>
                    </m:dPr>
                    <m:e>
                      <m:sSub>
                        <m:e>
                          <m:r>
                            <m:t>μ</m:t>
                          </m:r>
                        </m:e>
                        <m:sub>
                          <m:r>
                            <m:t>c</m:t>
                          </m:r>
                        </m:sub>
                      </m:sSub>
                      <m:r>
                        <m:rPr>
                          <m:sty m:val="p"/>
                        </m:rPr>
                        <m:t>−</m:t>
                      </m:r>
                      <m:r>
                        <m:t>μ</m:t>
                      </m:r>
                    </m:e>
                  </m:d>
                </m:e>
                <m:sup>
                  <m:r>
                    <m:t>2</m:t>
                  </m:r>
                </m:sup>
              </m:sSup>
            </m:num>
            <m:den>
              <m:nary>
                <m:naryPr>
                  <m:chr m:val="∑"/>
                  <m:limLoc m:val="undOvr"/>
                  <m:subHide m:val="off"/>
                  <m:supHide m:val="on"/>
                </m:naryPr>
                <m:sub>
                  <m:r>
                    <m:t>c</m:t>
                  </m:r>
                </m:sub>
                <m:sup>
                  <m:r>
                    <m:t>​</m:t>
                  </m:r>
                </m:sup>
                <m:e>
                  <m:nary>
                    <m:naryPr>
                      <m:chr m:val="∑"/>
                      <m:limLoc m:val="undOvr"/>
                      <m:subHide m:val="off"/>
                      <m:supHide m:val="on"/>
                    </m:naryPr>
                    <m:sub>
                      <m:r>
                        <m:t>x</m:t>
                      </m:r>
                      <m:r>
                        <m:rPr>
                          <m:sty m:val="p"/>
                        </m:rPr>
                        <m:t>∈</m:t>
                      </m:r>
                      <m:r>
                        <m:t>c</m:t>
                      </m:r>
                    </m:sub>
                    <m:sup>
                      <m:r>
                        <m:t>​</m:t>
                      </m:r>
                    </m:sup>
                    <m:e>
                      <m:sSup>
                        <m:e>
                          <m:d>
                            <m:dPr>
                              <m:begChr m:val="‖"/>
                              <m:endChr m:val="‖"/>
                              <m:sepChr m:val=""/>
                              <m:grow/>
                            </m:dPr>
                            <m:e>
                              <m:r>
                                <m:t>x</m:t>
                              </m:r>
                              <m:r>
                                <m:rPr>
                                  <m:sty m:val="p"/>
                                </m:rPr>
                                <m:t>−</m:t>
                              </m:r>
                              <m:sSub>
                                <m:e>
                                  <m:r>
                                    <m:t>μ</m:t>
                                  </m:r>
                                </m:e>
                                <m:sub>
                                  <m:r>
                                    <m:t>c</m:t>
                                  </m:r>
                                </m:sub>
                              </m:sSub>
                            </m:e>
                          </m:d>
                        </m:e>
                        <m:sup>
                          <m:r>
                            <m:t>2</m:t>
                          </m:r>
                        </m:sup>
                      </m:sSup>
                    </m:e>
                  </m:nary>
                </m:e>
              </m:nary>
            </m:den>
          </m:f>
          <m:r>
            <m:rPr>
              <m:sty m:val="p"/>
            </m:rPr>
            <m:t>,</m:t>
          </m:r>
        </m:oMath>
      </m:oMathPara>
    </w:p>
    <w:p>
      <w:pPr>
        <w:pStyle w:val="FirstParagraph"/>
      </w:pPr>
      <w:r>
        <w:rPr>
          <w:rFonts w:hint="eastAsia"/>
        </w:rPr>
        <w:t xml:space="preserve">其中</w:t>
      </w:r>
      <w:r>
        <w:t xml:space="preserve"> </w:t>
      </w:r>
      <m:oMath>
        <m:r>
          <m:t>μ</m:t>
        </m:r>
      </m:oMath>
      <w:r>
        <w:t xml:space="preserve"> </w:t>
      </w:r>
      <w:r>
        <w:rPr>
          <w:rFonts w:hint="eastAsia"/>
        </w:rPr>
        <w:t xml:space="preserve">为总体均值，</w:t>
      </w:r>
      <m:oMath>
        <m:sSub>
          <m:e>
            <m:r>
              <m:t>μ</m:t>
            </m:r>
          </m:e>
          <m:sub>
            <m:r>
              <m:t>c</m:t>
            </m:r>
          </m:sub>
        </m:sSub>
      </m:oMath>
      <w:r>
        <w:t xml:space="preserve"> </w:t>
      </w:r>
      <w:r>
        <w:rPr>
          <w:rFonts w:hint="eastAsia"/>
        </w:rPr>
        <w:t xml:space="preserve">为第</w:t>
      </w:r>
      <w:r>
        <w:t xml:space="preserve"> </w:t>
      </w:r>
      <m:oMath>
        <m:r>
          <m:t>c</m:t>
        </m:r>
      </m:oMath>
      <w:r>
        <w:t xml:space="preserve"> </w:t>
      </w:r>
      <w:r>
        <w:rPr>
          <w:rFonts w:hint="eastAsia"/>
        </w:rPr>
        <w:t xml:space="preserve">类均值，</w:t>
      </w:r>
      <m:oMath>
        <m:sSub>
          <m:e>
            <m:r>
              <m:t>n</m:t>
            </m:r>
          </m:e>
          <m:sub>
            <m:r>
              <m:t>c</m:t>
            </m:r>
          </m:sub>
        </m:sSub>
      </m:oMath>
      <w:r>
        <w:t xml:space="preserve"> </w:t>
      </w:r>
      <w:r>
        <w:rPr>
          <w:rFonts w:hint="eastAsia"/>
        </w:rPr>
        <w:t xml:space="preserve">为该类样本数。该指标并不等价于</w:t>
      </w:r>
      <w:r>
        <w:t xml:space="preserve"> Fisher </w:t>
      </w:r>
      <w:r>
        <w:rPr>
          <w:rFonts w:hint="eastAsia"/>
        </w:rPr>
        <w:t xml:space="preserve">判别准则，但能够从几何角度反映两类在低维空间中的相对可分性，便于横向比较不同降维方法在“拉开类间距离、压紧类内分布”方面的效果。</w:t>
      </w:r>
    </w:p>
    <w:p>
      <w:pPr>
        <w:pStyle w:val="BodyText"/>
      </w:pPr>
      <w:r>
        <w:rPr>
          <w:rFonts w:hint="eastAsia"/>
        </w:rPr>
        <w:t xml:space="preserve">实验结果（详见</w:t>
      </w:r>
      <w:r>
        <w:t xml:space="preserve"> </w:t>
      </w:r>
      <w:r>
        <w:rPr>
          <w:rStyle w:val="VerbatimChar"/>
        </w:rPr>
        <w:t xml:space="preserve">results.md</w:t>
      </w:r>
      <w:r>
        <w:t xml:space="preserve"> </w:t>
      </w:r>
      <w:r>
        <w:rPr>
          <w:rFonts w:hint="eastAsia"/>
        </w:rPr>
        <w:t xml:space="preserve">第</w:t>
      </w:r>
      <w:r>
        <w:t xml:space="preserve"> 2 </w:t>
      </w:r>
      <w:r>
        <w:rPr>
          <w:rFonts w:hint="eastAsia"/>
        </w:rPr>
        <w:t xml:space="preserve">节表格）显示：PCA</w:t>
      </w:r>
      <w:r>
        <w:t xml:space="preserve"> </w:t>
      </w:r>
      <w:r>
        <w:rPr>
          <w:rFonts w:hint="eastAsia"/>
        </w:rPr>
        <w:t xml:space="preserve">在</w:t>
      </w:r>
      <w:r>
        <w:t xml:space="preserve"> 10 </w:t>
      </w:r>
      <w:r>
        <w:rPr>
          <w:rFonts w:hint="eastAsia"/>
        </w:rPr>
        <w:t xml:space="preserve">维时信息保留率已达</w:t>
      </w:r>
      <w:r>
        <w:t xml:space="preserve"> </w:t>
      </w:r>
      <w:r>
        <w:rPr>
          <w:rFonts w:hint="eastAsia"/>
        </w:rPr>
        <w:t xml:space="preserve">0.9728，15</w:t>
      </w:r>
      <w:r>
        <w:t xml:space="preserve"> </w:t>
      </w:r>
      <w:r>
        <w:rPr>
          <w:rFonts w:hint="eastAsia"/>
        </w:rPr>
        <w:t xml:space="preserve">维与</w:t>
      </w:r>
      <w:r>
        <w:t xml:space="preserve"> 20 </w:t>
      </w:r>
      <w:r>
        <w:rPr>
          <w:rFonts w:hint="eastAsia"/>
        </w:rPr>
        <w:t xml:space="preserve">维分别达到</w:t>
      </w:r>
      <w:r>
        <w:t xml:space="preserve"> 0.9938 </w:t>
      </w:r>
      <w:r>
        <w:rPr>
          <w:rFonts w:hint="eastAsia"/>
        </w:rPr>
        <w:t xml:space="preserve">与</w:t>
      </w:r>
      <w:r>
        <w:t xml:space="preserve"> </w:t>
      </w:r>
      <w:r>
        <w:rPr>
          <w:rFonts w:hint="eastAsia"/>
        </w:rPr>
        <w:t xml:space="preserve">0.9986，说明所选</w:t>
      </w:r>
      <w:r>
        <w:t xml:space="preserve"> 30 </w:t>
      </w:r>
      <w:r>
        <w:rPr>
          <w:rFonts w:hint="eastAsia"/>
        </w:rPr>
        <w:t xml:space="preserve">维核心特征存在较强冗余相关性，线性子空间能够在较低维度下保留绝大多数方差结构。与之相对，LDA</w:t>
      </w:r>
      <w:r>
        <w:t xml:space="preserve"> </w:t>
      </w:r>
      <w:r>
        <w:rPr>
          <w:rFonts w:hint="eastAsia"/>
        </w:rPr>
        <w:t xml:space="preserve">在二分类下只能输出</w:t>
      </w:r>
      <w:r>
        <w:t xml:space="preserve"> 1 </w:t>
      </w:r>
      <w:r>
        <w:rPr>
          <w:rFonts w:hint="eastAsia"/>
        </w:rPr>
        <w:t xml:space="preserve">维判别表示，但其类间分离度（0.0189）显著高于</w:t>
      </w:r>
      <w:r>
        <w:t xml:space="preserve"> </w:t>
      </w:r>
      <w:r>
        <w:rPr>
          <w:rFonts w:hint="eastAsia"/>
        </w:rPr>
        <w:t xml:space="preserve">PCA（约</w:t>
      </w:r>
      <w:r>
        <w:t xml:space="preserve"> </w:t>
      </w:r>
      <w:r>
        <w:rPr>
          <w:rFonts w:hint="eastAsia"/>
        </w:rPr>
        <w:t xml:space="preserve">0.0064～0.0065），这与</w:t>
      </w:r>
      <w:r>
        <w:t xml:space="preserve"> LDA </w:t>
      </w:r>
      <w:r>
        <w:rPr>
          <w:rFonts w:hint="eastAsia"/>
        </w:rPr>
        <w:t xml:space="preserve">使用标签信息直接优化类别可分性的理论预期一致。t-SNE</w:t>
      </w:r>
      <w:r>
        <w:t xml:space="preserve"> </w:t>
      </w:r>
      <w:r>
        <w:rPr>
          <w:rFonts w:hint="eastAsia"/>
        </w:rPr>
        <w:t xml:space="preserve">的“信息保留率”不适用解释方差口径，项目实现中将其置为</w:t>
      </w:r>
      <w:r>
        <w:t xml:space="preserve"> 0 </w:t>
      </w:r>
      <w:r>
        <w:rPr>
          <w:rFonts w:hint="eastAsia"/>
        </w:rPr>
        <w:t xml:space="preserve">以提示不可比；在类间分离度指标上，t-SNE（0.0149）介于</w:t>
      </w:r>
      <w:r>
        <w:t xml:space="preserve"> LDA </w:t>
      </w:r>
      <w:r>
        <w:rPr>
          <w:rFonts w:hint="eastAsia"/>
        </w:rPr>
        <w:t xml:space="preserve">与</w:t>
      </w:r>
      <w:r>
        <w:t xml:space="preserve"> PCA </w:t>
      </w:r>
      <w:r>
        <w:rPr>
          <w:rFonts w:hint="eastAsia"/>
        </w:rPr>
        <w:t xml:space="preserve">之间，表明非线性嵌入在局部结构保持方面具有一定优势，但其分离度提升并不必然转化为更高的攻击召回率，仍需结合后续分类与误报/漏报分析综合判断。</w:t>
      </w:r>
    </w:p>
    <w:p>
      <w:pPr>
        <w:pStyle w:val="BodyText"/>
      </w:pPr>
      <w:r>
        <w:rPr>
          <w:rFonts w:hint="eastAsia"/>
        </w:rPr>
        <w:t xml:space="preserve">为直观呈现</w:t>
      </w:r>
      <w:r>
        <w:t xml:space="preserve"> PCA </w:t>
      </w:r>
      <w:r>
        <w:rPr>
          <w:rFonts w:hint="eastAsia"/>
        </w:rPr>
        <w:t xml:space="preserve">在不同维度下的信息保留趋势，本文补充绘制了信息保留率随主成分数变化的折线图，如图所示。该图进一步说明：在</w:t>
      </w:r>
      <w:r>
        <w:t xml:space="preserve"> 30 </w:t>
      </w:r>
      <w:r>
        <w:rPr>
          <w:rFonts w:hint="eastAsia"/>
        </w:rPr>
        <w:t xml:space="preserve">维核心特征上，前</w:t>
      </w:r>
      <w:r>
        <w:t xml:space="preserve"> 10 </w:t>
      </w:r>
      <w:r>
        <w:rPr>
          <w:rFonts w:hint="eastAsia"/>
        </w:rPr>
        <w:t xml:space="preserve">个主成分已解释绝大多数方差，继续增加维度的边际收益快速降低，因此在工程上可优先选择</w:t>
      </w:r>
      <w:r>
        <w:t xml:space="preserve"> 10 </w:t>
      </w:r>
      <w:r>
        <w:rPr>
          <w:rFonts w:hint="eastAsia"/>
        </w:rPr>
        <w:t xml:space="preserve">维作为计算与信息保留的折中点。</w:t>
      </w:r>
    </w:p>
    <w:p>
      <w:pPr>
        <w:pStyle w:val="BodyText"/>
      </w:pPr>
      <w:r>
        <w:drawing>
          <wp:inline>
            <wp:extent cx="4282516" cy="2812124"/>
            <wp:effectExtent b="0" l="0" r="0" t="0"/>
            <wp:docPr descr="" title="" id="50" name="Picture"/>
            <a:graphic>
              <a:graphicData uri="http://schemas.openxmlformats.org/drawingml/2006/picture">
                <pic:pic>
                  <pic:nvPicPr>
                    <pic:cNvPr descr="figures/PCA_InformationRetention.png" id="51" name="Picture"/>
                    <pic:cNvPicPr>
                      <a:picLocks noChangeArrowheads="1" noChangeAspect="1"/>
                    </pic:cNvPicPr>
                  </pic:nvPicPr>
                  <pic:blipFill>
                    <a:blip r:embed="rId49"/>
                    <a:stretch>
                      <a:fillRect/>
                    </a:stretch>
                  </pic:blipFill>
                  <pic:spPr bwMode="auto">
                    <a:xfrm>
                      <a:off x="0" y="0"/>
                      <a:ext cx="4282516" cy="2812124"/>
                    </a:xfrm>
                    <a:prstGeom prst="rect">
                      <a:avLst/>
                    </a:prstGeom>
                    <a:noFill/>
                    <a:ln w="9525">
                      <a:noFill/>
                      <a:headEnd/>
                      <a:tailEnd/>
                    </a:ln>
                  </pic:spPr>
                </pic:pic>
              </a:graphicData>
            </a:graphic>
          </wp:inline>
        </w:drawing>
      </w:r>
    </w:p>
    <w:bookmarkEnd w:id="52"/>
    <w:bookmarkStart w:id="59" w:name="组合性能对比准确率误报漏报与耗时"/>
    <w:p>
      <w:pPr>
        <w:pStyle w:val="Heading3"/>
      </w:pPr>
      <w:r>
        <w:t xml:space="preserve">4.2 </w:t>
      </w:r>
      <w:r>
        <w:rPr>
          <w:rFonts w:hint="eastAsia"/>
        </w:rPr>
        <w:t xml:space="preserve">组合性能对比：准确率、误报/漏报与耗时</w:t>
      </w:r>
    </w:p>
    <w:p>
      <w:pPr>
        <w:pStyle w:val="FirstParagraph"/>
      </w:pPr>
      <w:r>
        <w:rPr>
          <w:rFonts w:hint="eastAsia"/>
        </w:rPr>
        <w:t xml:space="preserve">在统一的训练/测试划分与超参数网格下，本文完成</w:t>
      </w:r>
      <w:r>
        <w:t xml:space="preserve"> 15 </w:t>
      </w:r>
      <w:r>
        <w:rPr>
          <w:rFonts w:hint="eastAsia"/>
        </w:rPr>
        <w:t xml:space="preserve">组“降维×分类”组合评测，完整结果见</w:t>
      </w:r>
      <w:r>
        <w:t xml:space="preserve"> </w:t>
      </w:r>
      <w:r>
        <w:rPr>
          <w:rStyle w:val="VerbatimChar"/>
        </w:rPr>
        <w:t xml:space="preserve">results.md</w:t>
      </w:r>
      <w:r>
        <w:t xml:space="preserve"> </w:t>
      </w:r>
      <w:r>
        <w:rPr>
          <w:rFonts w:hint="eastAsia"/>
        </w:rPr>
        <w:t xml:space="preserve">第</w:t>
      </w:r>
      <w:r>
        <w:t xml:space="preserve"> 3 </w:t>
      </w:r>
      <w:r>
        <w:rPr>
          <w:rFonts w:hint="eastAsia"/>
        </w:rPr>
        <w:t xml:space="preserve">节表格。总体上可以观察到三条规律。</w:t>
      </w:r>
    </w:p>
    <w:p>
      <w:pPr>
        <w:pStyle w:val="BodyText"/>
      </w:pPr>
      <w:r>
        <w:rPr>
          <w:rFonts w:hint="eastAsia"/>
        </w:rPr>
        <w:t xml:space="preserve">第一，从工程可用性与稳定性角度看，PCA</w:t>
      </w:r>
      <w:r>
        <w:t xml:space="preserve"> </w:t>
      </w:r>
      <w:r>
        <w:rPr>
          <w:rFonts w:hint="eastAsia"/>
        </w:rPr>
        <w:t xml:space="preserve">作为主线降维方法更符合“可复现、可解释、可部署”的课程目标。PCA</w:t>
      </w:r>
      <w:r>
        <w:t xml:space="preserve"> </w:t>
      </w:r>
      <w:r>
        <w:rPr>
          <w:rFonts w:hint="eastAsia"/>
        </w:rPr>
        <w:t xml:space="preserve">在</w:t>
      </w:r>
      <w:r>
        <w:t xml:space="preserve"> 10/15/20 </w:t>
      </w:r>
      <w:r>
        <w:rPr>
          <w:rFonts w:hint="eastAsia"/>
        </w:rPr>
        <w:t xml:space="preserve">维下的信息保留率均超过</w:t>
      </w:r>
      <w:r>
        <w:t xml:space="preserve"> </w:t>
      </w:r>
      <w:r>
        <w:rPr>
          <w:rFonts w:hint="eastAsia"/>
        </w:rPr>
        <w:t xml:space="preserve">97%，且各分类器在</w:t>
      </w:r>
      <w:r>
        <w:t xml:space="preserve"> PCA </w:t>
      </w:r>
      <w:r>
        <w:rPr>
          <w:rFonts w:hint="eastAsia"/>
        </w:rPr>
        <w:t xml:space="preserve">表示上的准确率与误报/漏报波动相对可控，便于形成可追溯的对比结论。</w:t>
      </w:r>
    </w:p>
    <w:p>
      <w:pPr>
        <w:pStyle w:val="BodyText"/>
      </w:pPr>
      <w:r>
        <w:rPr>
          <w:rFonts w:hint="eastAsia"/>
        </w:rPr>
        <w:t xml:space="preserve">第二，随机森林在不同降维设置下表现更为稳定。以</w:t>
      </w:r>
      <w:r>
        <w:t xml:space="preserve"> PCA </w:t>
      </w:r>
      <w:r>
        <w:rPr>
          <w:rFonts w:hint="eastAsia"/>
        </w:rPr>
        <w:t xml:space="preserve">为例，PCA-10D</w:t>
      </w:r>
      <w:r>
        <w:t xml:space="preserve"> + </w:t>
      </w:r>
      <w:r>
        <w:rPr>
          <w:rFonts w:hint="eastAsia"/>
        </w:rPr>
        <w:t xml:space="preserve">随机森林准确率达到</w:t>
      </w:r>
      <w:r>
        <w:t xml:space="preserve"> </w:t>
      </w:r>
      <w:r>
        <w:rPr>
          <w:rFonts w:hint="eastAsia"/>
        </w:rPr>
        <w:t xml:space="preserve">75.39%，PCA-15D</w:t>
      </w:r>
      <w:r>
        <w:t xml:space="preserve"> </w:t>
      </w:r>
      <w:r>
        <w:rPr>
          <w:rFonts w:hint="eastAsia"/>
        </w:rPr>
        <w:t xml:space="preserve">与</w:t>
      </w:r>
      <w:r>
        <w:t xml:space="preserve"> PCA-20D </w:t>
      </w:r>
      <w:r>
        <w:rPr>
          <w:rFonts w:hint="eastAsia"/>
        </w:rPr>
        <w:t xml:space="preserve">分别为</w:t>
      </w:r>
      <w:r>
        <w:t xml:space="preserve"> 74.91% </w:t>
      </w:r>
      <w:r>
        <w:rPr>
          <w:rFonts w:hint="eastAsia"/>
        </w:rPr>
        <w:t xml:space="preserve">与</w:t>
      </w:r>
      <w:r>
        <w:t xml:space="preserve"> </w:t>
      </w:r>
      <w:r>
        <w:rPr>
          <w:rFonts w:hint="eastAsia"/>
        </w:rPr>
        <w:t xml:space="preserve">74.82%，差异很小；在</w:t>
      </w:r>
      <w:r>
        <w:t xml:space="preserve"> LDA </w:t>
      </w:r>
      <w:r>
        <w:rPr>
          <w:rFonts w:hint="eastAsia"/>
        </w:rPr>
        <w:t xml:space="preserve">与</w:t>
      </w:r>
      <w:r>
        <w:t xml:space="preserve"> t-SNE </w:t>
      </w:r>
      <w:r>
        <w:rPr>
          <w:rFonts w:hint="eastAsia"/>
        </w:rPr>
        <w:t xml:space="preserve">下，随机森林也维持在</w:t>
      </w:r>
      <w:r>
        <w:t xml:space="preserve"> </w:t>
      </w:r>
      <w:r>
        <w:rPr>
          <w:rFonts w:hint="eastAsia"/>
        </w:rPr>
        <w:t xml:space="preserve">73.91%～74.91%</w:t>
      </w:r>
      <w:r>
        <w:t xml:space="preserve"> </w:t>
      </w:r>
      <w:r>
        <w:rPr>
          <w:rFonts w:hint="eastAsia"/>
        </w:rPr>
        <w:t xml:space="preserve">区间。更重要的是，随机森林的预测耗时在本实验环境下约为</w:t>
      </w:r>
      <w:r>
        <w:t xml:space="preserve"> </w:t>
      </w:r>
      <w:r>
        <w:rPr>
          <w:rFonts w:hint="eastAsia"/>
        </w:rPr>
        <w:t xml:space="preserve">0.76～0.84</w:t>
      </w:r>
      <w:r>
        <w:t xml:space="preserve"> </w:t>
      </w:r>
      <w:r>
        <w:rPr>
          <w:rFonts w:hint="eastAsia"/>
        </w:rPr>
        <w:t xml:space="preserve">秒/65,637</w:t>
      </w:r>
      <w:r>
        <w:t xml:space="preserve"> </w:t>
      </w:r>
      <w:r>
        <w:rPr>
          <w:rFonts w:hint="eastAsia"/>
        </w:rPr>
        <w:t xml:space="preserve">样本，折算为约</w:t>
      </w:r>
      <w:r>
        <w:t xml:space="preserve"> </w:t>
      </w:r>
      <m:oMath>
        <m:r>
          <m:t>0.012</m:t>
        </m:r>
        <m:r>
          <m:t> </m:t>
        </m:r>
        <m:r>
          <m:rPr>
            <m:nor/>
            <m:sty m:val="p"/>
          </m:rPr>
          <m:t>ms/样本</m:t>
        </m:r>
      </m:oMath>
      <w:r>
        <w:t xml:space="preserve"> </w:t>
      </w:r>
      <w:r>
        <w:rPr>
          <w:rFonts w:hint="eastAsia"/>
        </w:rPr>
        <w:t xml:space="preserve">的量级，显著低于</w:t>
      </w:r>
      <w:r>
        <w:t xml:space="preserve"> SVM </w:t>
      </w:r>
      <w:r>
        <w:rPr>
          <w:rFonts w:hint="eastAsia"/>
        </w:rPr>
        <w:t xml:space="preserve">的约</w:t>
      </w:r>
      <w:r>
        <w:t xml:space="preserve"> </w:t>
      </w:r>
      <w:r>
        <w:rPr>
          <w:rFonts w:hint="eastAsia"/>
        </w:rPr>
        <w:t xml:space="preserve">8.2～8.9</w:t>
      </w:r>
      <w:r>
        <w:t xml:space="preserve"> </w:t>
      </w:r>
      <w:r>
        <w:rPr>
          <w:rFonts w:hint="eastAsia"/>
        </w:rPr>
        <w:t xml:space="preserve">秒（约</w:t>
      </w:r>
      <w:r>
        <w:t xml:space="preserve"> </w:t>
      </w:r>
      <m:oMath>
        <m:r>
          <m:t>0.13</m:t>
        </m:r>
        <m:r>
          <m:t> </m:t>
        </m:r>
        <m:r>
          <m:rPr>
            <m:nor/>
            <m:sty m:val="p"/>
          </m:rPr>
          <m:t>ms/样本</m:t>
        </m:r>
      </m:oMath>
      <w:r>
        <w:rPr>
          <w:rFonts w:hint="eastAsia"/>
        </w:rPr>
        <w:t xml:space="preserve">）。在需要高吞吐实时检测的场景中，这一推理差异具有直接工程意义。</w:t>
      </w:r>
    </w:p>
    <w:p>
      <w:pPr>
        <w:pStyle w:val="BodyText"/>
      </w:pPr>
      <w:r>
        <w:rPr>
          <w:rFonts w:hint="eastAsia"/>
        </w:rPr>
        <w:t xml:space="preserve">第三，若仅以整体准确率排序，最高的组合为</w:t>
      </w:r>
      <w:r>
        <w:t xml:space="preserve"> </w:t>
      </w:r>
      <w:r>
        <w:rPr>
          <w:rFonts w:hint="eastAsia"/>
        </w:rPr>
        <w:t xml:space="preserve">t-SNE（2</w:t>
      </w:r>
      <w:r>
        <w:t xml:space="preserve"> </w:t>
      </w:r>
      <w:r>
        <w:rPr>
          <w:rFonts w:hint="eastAsia"/>
        </w:rPr>
        <w:t xml:space="preserve">维）+</w:t>
      </w:r>
      <w:r>
        <w:t xml:space="preserve"> </w:t>
      </w:r>
      <w:r>
        <w:rPr>
          <w:rFonts w:hint="eastAsia"/>
        </w:rPr>
        <w:t xml:space="preserve">SVM，测试集准确率为</w:t>
      </w:r>
      <w:r>
        <w:t xml:space="preserve"> </w:t>
      </w:r>
      <w:r>
        <w:rPr>
          <w:rFonts w:hint="eastAsia"/>
        </w:rPr>
        <w:t xml:space="preserve">76.05%。然而该组合同时具有极低误报率（1.03%）与极高漏报率（82.45%），这意味着模型几乎不会将正常流量误判为攻击，但会漏掉绝大多数攻击样本。在</w:t>
      </w:r>
      <w:r>
        <w:t xml:space="preserve"> IDS </w:t>
      </w:r>
      <w:r>
        <w:rPr>
          <w:rFonts w:hint="eastAsia"/>
        </w:rPr>
        <w:t xml:space="preserve">场景中，这类模型更接近“保守告警器”：一旦告警可信度较高，但无法承担单独拦截的职责，需要与高召回率的检测层（如基于规则或异常检测）协同。t-SNE</w:t>
      </w:r>
      <w:r>
        <w:t xml:space="preserve"> </w:t>
      </w:r>
      <w:r>
        <w:rPr>
          <w:rFonts w:hint="eastAsia"/>
        </w:rPr>
        <w:t xml:space="preserve">在本文中更多承担二维可视化与结构对照的角色，用于解释“低误报—高漏报”的成因，而非作为主部署方案。</w:t>
      </w:r>
    </w:p>
    <w:p>
      <w:pPr>
        <w:pStyle w:val="BodyText"/>
      </w:pPr>
      <w:r>
        <w:rPr>
          <w:rFonts w:hint="eastAsia"/>
        </w:rPr>
        <w:t xml:space="preserve">从维度选择角度看，PCA</w:t>
      </w:r>
      <w:r>
        <w:t xml:space="preserve"> </w:t>
      </w:r>
      <w:r>
        <w:rPr>
          <w:rFonts w:hint="eastAsia"/>
        </w:rPr>
        <w:t xml:space="preserve">的</w:t>
      </w:r>
      <w:r>
        <w:t xml:space="preserve"> 10/15/20 </w:t>
      </w:r>
      <w:r>
        <w:rPr>
          <w:rFonts w:hint="eastAsia"/>
        </w:rPr>
        <w:t xml:space="preserve">维在平均准确率上差异不大（分别约</w:t>
      </w:r>
      <w:r>
        <w:t xml:space="preserve"> </w:t>
      </w:r>
      <w:r>
        <w:rPr>
          <w:rFonts w:hint="eastAsia"/>
        </w:rPr>
        <w:t xml:space="preserve">0.7388、0.7378、0.7371），说明当信息保留率已超过</w:t>
      </w:r>
      <w:r>
        <w:t xml:space="preserve"> 97% </w:t>
      </w:r>
      <w:r>
        <w:rPr>
          <w:rFonts w:hint="eastAsia"/>
        </w:rPr>
        <w:t xml:space="preserve">时，进一步增加维度对分类性能的边际收益有限；在工程部署中更可以倾向于</w:t>
      </w:r>
      <w:r>
        <w:t xml:space="preserve"> 10 </w:t>
      </w:r>
      <w:r>
        <w:rPr>
          <w:rFonts w:hint="eastAsia"/>
        </w:rPr>
        <w:t xml:space="preserve">维以降低计算开销与存储成本。该结论与“在信息保留与检测耗时之间寻找折中点”的实践目标一致。</w:t>
      </w:r>
    </w:p>
    <w:p>
      <w:pPr>
        <w:pStyle w:val="BodyText"/>
      </w:pPr>
      <w:r>
        <w:rPr>
          <w:rFonts w:hint="eastAsia"/>
        </w:rPr>
        <w:t xml:space="preserve">为便于整体比较</w:t>
      </w:r>
      <w:r>
        <w:t xml:space="preserve"> 15 </w:t>
      </w:r>
      <w:r>
        <w:rPr>
          <w:rFonts w:hint="eastAsia"/>
        </w:rPr>
        <w:t xml:space="preserve">组组合的准确率水平，本文将各组合按准确率排序并绘制柱状图；同时，为展示误报与漏报之间的权衡关系，绘制了以</w:t>
      </w:r>
      <w:r>
        <w:t xml:space="preserve"> FPR </w:t>
      </w:r>
      <w:r>
        <w:rPr>
          <w:rFonts w:hint="eastAsia"/>
        </w:rPr>
        <w:t xml:space="preserve">为横轴、FNR</w:t>
      </w:r>
      <w:r>
        <w:t xml:space="preserve"> </w:t>
      </w:r>
      <w:r>
        <w:rPr>
          <w:rFonts w:hint="eastAsia"/>
        </w:rPr>
        <w:t xml:space="preserve">为纵轴的散点图，并用不同颜色区分分类器类别。两幅图与表格结果一致，能够更直观地反映“某些组合准确率相近但误报/漏报结构差异显著”的现象。</w:t>
      </w:r>
    </w:p>
    <w:p>
      <w:pPr>
        <w:pStyle w:val="BodyText"/>
      </w:pPr>
      <w:r>
        <w:drawing>
          <wp:inline>
            <wp:extent cx="5334000" cy="2347825"/>
            <wp:effectExtent b="0" l="0" r="0" t="0"/>
            <wp:docPr descr="" title="" id="54" name="Picture"/>
            <a:graphic>
              <a:graphicData uri="http://schemas.openxmlformats.org/drawingml/2006/picture">
                <pic:pic>
                  <pic:nvPicPr>
                    <pic:cNvPr descr="figures/Accuracy_by_Combination.png" id="55" name="Picture"/>
                    <pic:cNvPicPr>
                      <a:picLocks noChangeArrowheads="1" noChangeAspect="1"/>
                    </pic:cNvPicPr>
                  </pic:nvPicPr>
                  <pic:blipFill>
                    <a:blip r:embed="rId53"/>
                    <a:stretch>
                      <a:fillRect/>
                    </a:stretch>
                  </pic:blipFill>
                  <pic:spPr bwMode="auto">
                    <a:xfrm>
                      <a:off x="0" y="0"/>
                      <a:ext cx="5334000" cy="2347825"/>
                    </a:xfrm>
                    <a:prstGeom prst="rect">
                      <a:avLst/>
                    </a:prstGeom>
                    <a:noFill/>
                    <a:ln w="9525">
                      <a:noFill/>
                      <a:headEnd/>
                      <a:tailEnd/>
                    </a:ln>
                  </pic:spPr>
                </pic:pic>
              </a:graphicData>
            </a:graphic>
          </wp:inline>
        </w:drawing>
      </w:r>
    </w:p>
    <w:p>
      <w:pPr>
        <w:pStyle w:val="BodyText"/>
      </w:pPr>
      <w:r>
        <w:drawing>
          <wp:inline>
            <wp:extent cx="4466315" cy="2995923"/>
            <wp:effectExtent b="0" l="0" r="0" t="0"/>
            <wp:docPr descr="" title="" id="57" name="Picture"/>
            <a:graphic>
              <a:graphicData uri="http://schemas.openxmlformats.org/drawingml/2006/picture">
                <pic:pic>
                  <pic:nvPicPr>
                    <pic:cNvPr descr="figures/Tradeoff_FPR_vs_FNR.png" id="58" name="Picture"/>
                    <pic:cNvPicPr>
                      <a:picLocks noChangeArrowheads="1" noChangeAspect="1"/>
                    </pic:cNvPicPr>
                  </pic:nvPicPr>
                  <pic:blipFill>
                    <a:blip r:embed="rId56"/>
                    <a:stretch>
                      <a:fillRect/>
                    </a:stretch>
                  </pic:blipFill>
                  <pic:spPr bwMode="auto">
                    <a:xfrm>
                      <a:off x="0" y="0"/>
                      <a:ext cx="4466315" cy="2995923"/>
                    </a:xfrm>
                    <a:prstGeom prst="rect">
                      <a:avLst/>
                    </a:prstGeom>
                    <a:noFill/>
                    <a:ln w="9525">
                      <a:noFill/>
                      <a:headEnd/>
                      <a:tailEnd/>
                    </a:ln>
                  </pic:spPr>
                </pic:pic>
              </a:graphicData>
            </a:graphic>
          </wp:inline>
        </w:drawing>
      </w:r>
    </w:p>
    <w:bookmarkEnd w:id="59"/>
    <w:bookmarkStart w:id="60" w:name="重点攻击类型infilteration检测能力分析"/>
    <w:p>
      <w:pPr>
        <w:pStyle w:val="Heading3"/>
      </w:pPr>
      <w:r>
        <w:t xml:space="preserve">4.3 </w:t>
      </w:r>
      <w:r>
        <w:rPr>
          <w:rFonts w:hint="eastAsia"/>
        </w:rPr>
        <w:t xml:space="preserve">重点攻击类型（Infilteration）检测能力分析</w:t>
      </w:r>
    </w:p>
    <w:p>
      <w:pPr>
        <w:pStyle w:val="FirstParagraph"/>
      </w:pPr>
      <w:r>
        <w:rPr>
          <w:rFonts w:hint="eastAsia"/>
        </w:rPr>
        <w:t xml:space="preserve">为回应“需单独统计高发攻击类型检测精度”的要求，本文对最优组合（t-SNE</w:t>
      </w:r>
      <w:r>
        <w:t xml:space="preserve"> + </w:t>
      </w:r>
      <w:r>
        <w:rPr>
          <w:rFonts w:hint="eastAsia"/>
        </w:rPr>
        <w:t xml:space="preserve">SVM）的攻击类</w:t>
      </w:r>
      <w:r>
        <w:t xml:space="preserve"> Infilteration </w:t>
      </w:r>
      <w:r>
        <w:rPr>
          <w:rFonts w:hint="eastAsia"/>
        </w:rPr>
        <w:t xml:space="preserve">单独计算精确率、召回率与</w:t>
      </w:r>
      <w:r>
        <w:t xml:space="preserve"> F1 </w:t>
      </w:r>
      <w:r>
        <w:rPr>
          <w:rFonts w:hint="eastAsia"/>
        </w:rPr>
        <w:t xml:space="preserve">分数。结果显示：Infilteration</w:t>
      </w:r>
      <w:r>
        <w:t xml:space="preserve"> </w:t>
      </w:r>
      <w:r>
        <w:rPr>
          <w:rFonts w:hint="eastAsia"/>
        </w:rPr>
        <w:t xml:space="preserve">的</w:t>
      </w:r>
      <w:r>
        <w:t xml:space="preserve"> Precision </w:t>
      </w:r>
      <w:r>
        <w:rPr>
          <w:rFonts w:hint="eastAsia"/>
        </w:rPr>
        <w:t xml:space="preserve">为</w:t>
      </w:r>
      <w:r>
        <w:t xml:space="preserve"> </w:t>
      </w:r>
      <w:r>
        <w:rPr>
          <w:rFonts w:hint="eastAsia"/>
        </w:rPr>
        <w:t xml:space="preserve">0.8699，Recall</w:t>
      </w:r>
      <w:r>
        <w:t xml:space="preserve"> </w:t>
      </w:r>
      <w:r>
        <w:rPr>
          <w:rFonts w:hint="eastAsia"/>
        </w:rPr>
        <w:t xml:space="preserve">为</w:t>
      </w:r>
      <w:r>
        <w:t xml:space="preserve"> </w:t>
      </w:r>
      <w:r>
        <w:rPr>
          <w:rFonts w:hint="eastAsia"/>
        </w:rPr>
        <w:t xml:space="preserve">0.1755，F1</w:t>
      </w:r>
      <w:r>
        <w:t xml:space="preserve"> </w:t>
      </w:r>
      <w:r>
        <w:rPr>
          <w:rFonts w:hint="eastAsia"/>
        </w:rPr>
        <w:t xml:space="preserve">为</w:t>
      </w:r>
      <w:r>
        <w:t xml:space="preserve"> </w:t>
      </w:r>
      <w:r>
        <w:rPr>
          <w:rFonts w:hint="eastAsia"/>
        </w:rPr>
        <w:t xml:space="preserve">0.2920（详见</w:t>
      </w:r>
      <w:r>
        <w:t xml:space="preserve"> </w:t>
      </w:r>
      <w:r>
        <w:rPr>
          <w:rStyle w:val="VerbatimChar"/>
        </w:rPr>
        <w:t xml:space="preserve">results.md</w:t>
      </w:r>
      <w:r>
        <w:t xml:space="preserve"> </w:t>
      </w:r>
      <w:r>
        <w:rPr>
          <w:rFonts w:hint="eastAsia"/>
        </w:rPr>
        <w:t xml:space="preserve">第</w:t>
      </w:r>
      <w:r>
        <w:t xml:space="preserve"> 4 </w:t>
      </w:r>
      <w:r>
        <w:rPr>
          <w:rFonts w:hint="eastAsia"/>
        </w:rPr>
        <w:t xml:space="preserve">节表格）。该结果与整体</w:t>
      </w:r>
      <w:r>
        <w:t xml:space="preserve"> FPR/FNR </w:t>
      </w:r>
      <w:r>
        <w:rPr>
          <w:rFonts w:hint="eastAsia"/>
        </w:rPr>
        <w:t xml:space="preserve">的结构一致：模型将“少量判为攻击的样本”判得较准（高精确率），但对攻击总体覆盖不足（低召回率）。</w:t>
      </w:r>
    </w:p>
    <w:p>
      <w:pPr>
        <w:pStyle w:val="BodyText"/>
      </w:pPr>
      <w:r>
        <w:rPr>
          <w:rFonts w:hint="eastAsia"/>
        </w:rPr>
        <w:t xml:space="preserve">从安全性角度解释，这种高精确率/低召回率的模型在落地时可承担“高置信告警通道”或“二次复核触发器”的角色。例如在</w:t>
      </w:r>
      <w:r>
        <w:t xml:space="preserve"> SOC </w:t>
      </w:r>
      <w:r>
        <w:rPr>
          <w:rFonts w:hint="eastAsia"/>
        </w:rPr>
        <w:t xml:space="preserve">运维中，可将其输出作为高优先级告警进入人工分析队列，或者用于触发更昂贵但更敏感的深度检测模块（如基于</w:t>
      </w:r>
      <w:r>
        <w:t xml:space="preserve"> DPI </w:t>
      </w:r>
      <w:r>
        <w:rPr>
          <w:rFonts w:hint="eastAsia"/>
        </w:rPr>
        <w:t xml:space="preserve">的策略、基于会话重放的沙箱分析等）。相反，若将其作为唯一的拦截决策依据，则由于漏报率过高，会造成大量攻击流量绕过，风险不可接受。</w:t>
      </w:r>
    </w:p>
    <w:p>
      <w:pPr>
        <w:pStyle w:val="BodyText"/>
      </w:pPr>
      <w:r>
        <w:rPr>
          <w:rFonts w:hint="eastAsia"/>
        </w:rPr>
        <w:t xml:space="preserve">因此，在课程实践的“安全性评估”维度，本文不将“最优准确率”直接等价为“最优安全性”，而强调需结合</w:t>
      </w:r>
      <w:r>
        <w:t xml:space="preserve"> FPR </w:t>
      </w:r>
      <w:r>
        <w:rPr>
          <w:rFonts w:hint="eastAsia"/>
        </w:rPr>
        <w:t xml:space="preserve">与</w:t>
      </w:r>
      <w:r>
        <w:t xml:space="preserve"> FNR </w:t>
      </w:r>
      <w:r>
        <w:rPr>
          <w:rFonts w:hint="eastAsia"/>
        </w:rPr>
        <w:t xml:space="preserve">的业务代价进行模型选择：对误报极其敏感、且已有其他高召回防线的环境，低误报模型具有价值；对高风险业务或攻击后果严重的环境，应优先追求召回率并通过多策略融合控制误报。</w:t>
      </w:r>
    </w:p>
    <w:bookmarkEnd w:id="60"/>
    <w:bookmarkStart w:id="73" w:name="可视化与误差来源解释"/>
    <w:p>
      <w:pPr>
        <w:pStyle w:val="Heading3"/>
      </w:pPr>
      <w:r>
        <w:t xml:space="preserve">4.4 </w:t>
      </w:r>
      <w:r>
        <w:rPr>
          <w:rFonts w:hint="eastAsia"/>
        </w:rPr>
        <w:t xml:space="preserve">可视化与误差来源解释</w:t>
      </w:r>
    </w:p>
    <w:p>
      <w:pPr>
        <w:pStyle w:val="FirstParagraph"/>
      </w:pPr>
      <w:r>
        <w:rPr>
          <w:rFonts w:hint="eastAsia"/>
        </w:rPr>
        <w:t xml:space="preserve">为直观理解降维后的类别结构，本文对</w:t>
      </w:r>
      <w:r>
        <w:t xml:space="preserve"> PCA </w:t>
      </w:r>
      <w:r>
        <w:rPr>
          <w:rFonts w:hint="eastAsia"/>
        </w:rPr>
        <w:t xml:space="preserve">与</w:t>
      </w:r>
      <w:r>
        <w:t xml:space="preserve"> t-SNE </w:t>
      </w:r>
      <w:r>
        <w:rPr>
          <w:rFonts w:hint="eastAsia"/>
        </w:rPr>
        <w:t xml:space="preserve">输出二维散点图并存储于</w:t>
      </w:r>
      <w:r>
        <w:t xml:space="preserve"> </w:t>
      </w:r>
      <w:r>
        <w:rPr>
          <w:rStyle w:val="VerbatimChar"/>
        </w:rPr>
        <w:t xml:space="preserve">figures/</w:t>
      </w:r>
      <w:r>
        <w:t xml:space="preserve"> </w:t>
      </w:r>
      <w:r>
        <w:rPr>
          <w:rFonts w:hint="eastAsia"/>
        </w:rPr>
        <w:t xml:space="preserve">目录。PCA</w:t>
      </w:r>
      <w:r>
        <w:t xml:space="preserve"> </w:t>
      </w:r>
      <w:r>
        <w:rPr>
          <w:rFonts w:hint="eastAsia"/>
        </w:rPr>
        <w:t xml:space="preserve">在</w:t>
      </w:r>
      <w:r>
        <w:t xml:space="preserve"> 10/15/20 </w:t>
      </w:r>
      <w:r>
        <w:rPr>
          <w:rFonts w:hint="eastAsia"/>
        </w:rPr>
        <w:t xml:space="preserve">维的二维投影图分别见</w:t>
      </w:r>
      <w:r>
        <w:t xml:space="preserve"> </w:t>
      </w:r>
      <w:r>
        <w:rPr>
          <w:rStyle w:val="VerbatimChar"/>
        </w:rPr>
        <w:t xml:space="preserve">figures/PCA_10_2d.png</w:t>
      </w:r>
      <w:r>
        <w:t xml:space="preserve">、</w:t>
      </w:r>
      <w:r>
        <w:rPr>
          <w:rStyle w:val="VerbatimChar"/>
        </w:rPr>
        <w:t xml:space="preserve">figures/PCA_15_2d.png</w:t>
      </w:r>
      <w:r>
        <w:t xml:space="preserve"> </w:t>
      </w:r>
      <w:r>
        <w:rPr>
          <w:rFonts w:hint="eastAsia"/>
        </w:rPr>
        <w:t xml:space="preserve">与</w:t>
      </w:r>
      <w:r>
        <w:t xml:space="preserve"> </w:t>
      </w:r>
      <w:r>
        <w:rPr>
          <w:rStyle w:val="VerbatimChar"/>
        </w:rPr>
        <w:t xml:space="preserve">figures/PCA_20_2d.png</w:t>
      </w:r>
      <w:r>
        <w:rPr>
          <w:rFonts w:hint="eastAsia"/>
        </w:rPr>
        <w:t xml:space="preserve">；t-SNE</w:t>
      </w:r>
      <w:r>
        <w:t xml:space="preserve"> </w:t>
      </w:r>
      <w:r>
        <w:rPr>
          <w:rFonts w:hint="eastAsia"/>
        </w:rPr>
        <w:t xml:space="preserve">的二维嵌入见</w:t>
      </w:r>
      <w:r>
        <w:t xml:space="preserve"> </w:t>
      </w:r>
      <w:r>
        <w:rPr>
          <w:rStyle w:val="VerbatimChar"/>
        </w:rPr>
        <w:t xml:space="preserve">figures/t-SNE_2_2d.png</w:t>
      </w:r>
      <w:r>
        <w:rPr>
          <w:rFonts w:hint="eastAsia"/>
        </w:rPr>
        <w:t xml:space="preserve">。从整体观察，PCA</w:t>
      </w:r>
      <w:r>
        <w:t xml:space="preserve"> </w:t>
      </w:r>
      <w:r>
        <w:rPr>
          <w:rFonts w:hint="eastAsia"/>
        </w:rPr>
        <w:t xml:space="preserve">的二维投影呈现出两类样本在局部区域存在混叠的现象，这与</w:t>
      </w:r>
      <w:r>
        <w:t xml:space="preserve"> PCA </w:t>
      </w:r>
      <w:r>
        <w:rPr>
          <w:rFonts w:hint="eastAsia"/>
        </w:rPr>
        <w:t xml:space="preserve">以总体方差最大化为目标而非类别可分性优化有关；尽管</w:t>
      </w:r>
      <w:r>
        <w:t xml:space="preserve"> 10 </w:t>
      </w:r>
      <w:r>
        <w:rPr>
          <w:rFonts w:hint="eastAsia"/>
        </w:rPr>
        <w:t xml:space="preserve">维已保留</w:t>
      </w:r>
      <w:r>
        <w:t xml:space="preserve"> 97% </w:t>
      </w:r>
      <w:r>
        <w:rPr>
          <w:rFonts w:hint="eastAsia"/>
        </w:rPr>
        <w:t xml:space="preserve">以上方差，但“对分类有用的信息”并不完全等价于“总体方差”，因此仍需要分类器在低维空间学习非线性边界。</w:t>
      </w:r>
    </w:p>
    <w:p>
      <w:pPr>
        <w:pStyle w:val="BodyText"/>
      </w:pPr>
      <w:r>
        <w:t xml:space="preserve">t-SNE </w:t>
      </w:r>
      <w:r>
        <w:rPr>
          <w:rFonts w:hint="eastAsia"/>
        </w:rPr>
        <w:t xml:space="preserve">的二维嵌入在局部结构呈现上更为清晰，部分攻击样本形成相对独立的簇或分布带状结构，这解释了</w:t>
      </w:r>
      <w:r>
        <w:t xml:space="preserve"> t-SNE + SVM </w:t>
      </w:r>
      <w:r>
        <w:rPr>
          <w:rFonts w:hint="eastAsia"/>
        </w:rPr>
        <w:t xml:space="preserve">组合能够将一部分攻击样本高置信地区分出来，从而获得极低的误报率与较高的攻击精确率。与此同时，t-SNE</w:t>
      </w:r>
      <w:r>
        <w:t xml:space="preserve"> </w:t>
      </w:r>
      <w:r>
        <w:rPr>
          <w:rFonts w:hint="eastAsia"/>
        </w:rPr>
        <w:t xml:space="preserve">嵌入中仍存在攻击样本与正常样本的交叠区域，使得大部分攻击样本落入正常流量主簇附近，从而导致召回率偏低、漏报率偏高。</w:t>
      </w:r>
    </w:p>
    <w:p>
      <w:pPr>
        <w:pStyle w:val="BodyText"/>
      </w:pPr>
      <w:r>
        <w:rPr>
          <w:rFonts w:hint="eastAsia"/>
        </w:rPr>
        <w:t xml:space="preserve">除散点图外，本文补充生成了多组混淆矩阵图以更直接展示误报与漏报的数量级，避免仅用比例指标造成直觉偏差。具体包括：PCA-10D</w:t>
      </w:r>
      <w:r>
        <w:t xml:space="preserve"> + </w:t>
      </w:r>
      <w:r>
        <w:rPr>
          <w:rFonts w:hint="eastAsia"/>
        </w:rPr>
        <w:t xml:space="preserve">随机森林（</w:t>
      </w:r>
      <w:r>
        <w:rPr>
          <w:rStyle w:val="VerbatimChar"/>
        </w:rPr>
        <w:t xml:space="preserve">figures/ConfusionMatrix_PCA10_RandomForest.png</w:t>
      </w:r>
      <w:r>
        <w:rPr>
          <w:rFonts w:hint="eastAsia"/>
        </w:rPr>
        <w:t xml:space="preserve">）、PCA-10D</w:t>
      </w:r>
      <w:r>
        <w:t xml:space="preserve"> + </w:t>
      </w:r>
      <w:r>
        <w:rPr>
          <w:rFonts w:hint="eastAsia"/>
        </w:rPr>
        <w:t xml:space="preserve">SVM（</w:t>
      </w:r>
      <w:r>
        <w:rPr>
          <w:rStyle w:val="VerbatimChar"/>
        </w:rPr>
        <w:t xml:space="preserve">figures/ConfusionMatrix_PCA10_SVM.png</w:t>
      </w:r>
      <w:r>
        <w:rPr>
          <w:rFonts w:hint="eastAsia"/>
        </w:rPr>
        <w:t xml:space="preserve">）以及</w:t>
      </w:r>
      <w:r>
        <w:t xml:space="preserve"> LDA-1D + </w:t>
      </w:r>
      <w:r>
        <w:rPr>
          <w:rFonts w:hint="eastAsia"/>
        </w:rPr>
        <w:t xml:space="preserve">随机森林（</w:t>
      </w:r>
      <w:r>
        <w:rPr>
          <w:rStyle w:val="VerbatimChar"/>
        </w:rPr>
        <w:t xml:space="preserve">figures/ConfusionMatrix_LDA1_RandomForest.png</w:t>
      </w:r>
      <w:r>
        <w:rPr>
          <w:rFonts w:hint="eastAsia"/>
        </w:rPr>
        <w:t xml:space="preserve">）。结合这些图可以观察到：不同组合在整体准确率相近时，仍可能在攻击类的漏检规模上差异显著，从而导致安全代价完全不同。</w:t>
      </w:r>
    </w:p>
    <w:p>
      <w:pPr>
        <w:pStyle w:val="BodyText"/>
      </w:pPr>
      <w:r>
        <w:drawing>
          <wp:inline>
            <wp:extent cx="3700272" cy="2798064"/>
            <wp:effectExtent b="0" l="0" r="0" t="0"/>
            <wp:docPr descr="" title="" id="62" name="Picture"/>
            <a:graphic>
              <a:graphicData uri="http://schemas.openxmlformats.org/drawingml/2006/picture">
                <pic:pic>
                  <pic:nvPicPr>
                    <pic:cNvPr descr="figures/ConfusionMatrix_PCA10_RandomForest.png" id="63" name="Picture"/>
                    <pic:cNvPicPr>
                      <a:picLocks noChangeArrowheads="1" noChangeAspect="1"/>
                    </pic:cNvPicPr>
                  </pic:nvPicPr>
                  <pic:blipFill>
                    <a:blip r:embed="rId61"/>
                    <a:stretch>
                      <a:fillRect/>
                    </a:stretch>
                  </pic:blipFill>
                  <pic:spPr bwMode="auto">
                    <a:xfrm>
                      <a:off x="0" y="0"/>
                      <a:ext cx="3700272" cy="2798064"/>
                    </a:xfrm>
                    <a:prstGeom prst="rect">
                      <a:avLst/>
                    </a:prstGeom>
                    <a:noFill/>
                    <a:ln w="9525">
                      <a:noFill/>
                      <a:headEnd/>
                      <a:tailEnd/>
                    </a:ln>
                  </pic:spPr>
                </pic:pic>
              </a:graphicData>
            </a:graphic>
          </wp:inline>
        </w:drawing>
      </w:r>
    </w:p>
    <w:p>
      <w:pPr>
        <w:pStyle w:val="BodyText"/>
      </w:pPr>
      <w:r>
        <w:drawing>
          <wp:inline>
            <wp:extent cx="3700272" cy="2798064"/>
            <wp:effectExtent b="0" l="0" r="0" t="0"/>
            <wp:docPr descr="" title="" id="65" name="Picture"/>
            <a:graphic>
              <a:graphicData uri="http://schemas.openxmlformats.org/drawingml/2006/picture">
                <pic:pic>
                  <pic:nvPicPr>
                    <pic:cNvPr descr="figures/ConfusionMatrix_PCA10_SVM.png" id="66" name="Picture"/>
                    <pic:cNvPicPr>
                      <a:picLocks noChangeArrowheads="1" noChangeAspect="1"/>
                    </pic:cNvPicPr>
                  </pic:nvPicPr>
                  <pic:blipFill>
                    <a:blip r:embed="rId64"/>
                    <a:stretch>
                      <a:fillRect/>
                    </a:stretch>
                  </pic:blipFill>
                  <pic:spPr bwMode="auto">
                    <a:xfrm>
                      <a:off x="0" y="0"/>
                      <a:ext cx="3700272" cy="2798064"/>
                    </a:xfrm>
                    <a:prstGeom prst="rect">
                      <a:avLst/>
                    </a:prstGeom>
                    <a:noFill/>
                    <a:ln w="9525">
                      <a:noFill/>
                      <a:headEnd/>
                      <a:tailEnd/>
                    </a:ln>
                  </pic:spPr>
                </pic:pic>
              </a:graphicData>
            </a:graphic>
          </wp:inline>
        </w:drawing>
      </w:r>
    </w:p>
    <w:p>
      <w:pPr>
        <w:pStyle w:val="BodyText"/>
      </w:pPr>
      <w:r>
        <w:drawing>
          <wp:inline>
            <wp:extent cx="3700272" cy="2798064"/>
            <wp:effectExtent b="0" l="0" r="0" t="0"/>
            <wp:docPr descr="" title="" id="68" name="Picture"/>
            <a:graphic>
              <a:graphicData uri="http://schemas.openxmlformats.org/drawingml/2006/picture">
                <pic:pic>
                  <pic:nvPicPr>
                    <pic:cNvPr descr="figures/ConfusionMatrix_LDA1_RandomForest.png" id="69" name="Picture"/>
                    <pic:cNvPicPr>
                      <a:picLocks noChangeArrowheads="1" noChangeAspect="1"/>
                    </pic:cNvPicPr>
                  </pic:nvPicPr>
                  <pic:blipFill>
                    <a:blip r:embed="rId67"/>
                    <a:stretch>
                      <a:fillRect/>
                    </a:stretch>
                  </pic:blipFill>
                  <pic:spPr bwMode="auto">
                    <a:xfrm>
                      <a:off x="0" y="0"/>
                      <a:ext cx="3700272" cy="2798064"/>
                    </a:xfrm>
                    <a:prstGeom prst="rect">
                      <a:avLst/>
                    </a:prstGeom>
                    <a:noFill/>
                    <a:ln w="9525">
                      <a:noFill/>
                      <a:headEnd/>
                      <a:tailEnd/>
                    </a:ln>
                  </pic:spPr>
                </pic:pic>
              </a:graphicData>
            </a:graphic>
          </wp:inline>
        </w:drawing>
      </w:r>
    </w:p>
    <w:p>
      <w:pPr>
        <w:pStyle w:val="BodyText"/>
      </w:pPr>
      <w:r>
        <w:rPr>
          <w:rFonts w:hint="eastAsia"/>
        </w:rPr>
        <w:t xml:space="preserve">在实时性方面，本文进一步将测试集总预测耗时换算为平均单样本预测时延并绘制柱状图，用于比较不同组合在吞吐需求下的可部署性。总体上，随机森林组合的推理时延显著低于</w:t>
      </w:r>
      <w:r>
        <w:t xml:space="preserve"> </w:t>
      </w:r>
      <w:r>
        <w:rPr>
          <w:rFonts w:hint="eastAsia"/>
        </w:rPr>
        <w:t xml:space="preserve">SVM，这与其在表格中的预测时间结果一致。</w:t>
      </w:r>
    </w:p>
    <w:p>
      <w:pPr>
        <w:pStyle w:val="BodyText"/>
      </w:pPr>
      <w:r>
        <w:drawing>
          <wp:inline>
            <wp:extent cx="5334000" cy="2330943"/>
            <wp:effectExtent b="0" l="0" r="0" t="0"/>
            <wp:docPr descr="" title="" id="71" name="Picture"/>
            <a:graphic>
              <a:graphicData uri="http://schemas.openxmlformats.org/drawingml/2006/picture">
                <pic:pic>
                  <pic:nvPicPr>
                    <pic:cNvPr descr="figures/PredictLatency_ms_per_sample.png" id="72" name="Picture"/>
                    <pic:cNvPicPr>
                      <a:picLocks noChangeArrowheads="1" noChangeAspect="1"/>
                    </pic:cNvPicPr>
                  </pic:nvPicPr>
                  <pic:blipFill>
                    <a:blip r:embed="rId70"/>
                    <a:stretch>
                      <a:fillRect/>
                    </a:stretch>
                  </pic:blipFill>
                  <pic:spPr bwMode="auto">
                    <a:xfrm>
                      <a:off x="0" y="0"/>
                      <a:ext cx="5334000" cy="2330943"/>
                    </a:xfrm>
                    <a:prstGeom prst="rect">
                      <a:avLst/>
                    </a:prstGeom>
                    <a:noFill/>
                    <a:ln w="9525">
                      <a:noFill/>
                      <a:headEnd/>
                      <a:tailEnd/>
                    </a:ln>
                  </pic:spPr>
                </pic:pic>
              </a:graphicData>
            </a:graphic>
          </wp:inline>
        </w:drawing>
      </w:r>
    </w:p>
    <w:bookmarkEnd w:id="73"/>
    <w:bookmarkStart w:id="74" w:name="综合讨论工程可用性与方法局限"/>
    <w:p>
      <w:pPr>
        <w:pStyle w:val="Heading3"/>
      </w:pPr>
      <w:r>
        <w:t xml:space="preserve">4.5 </w:t>
      </w:r>
      <w:r>
        <w:rPr>
          <w:rFonts w:hint="eastAsia"/>
        </w:rPr>
        <w:t xml:space="preserve">综合讨论：工程可用性与方法局限</w:t>
      </w:r>
    </w:p>
    <w:p>
      <w:pPr>
        <w:pStyle w:val="FirstParagraph"/>
      </w:pPr>
      <w:r>
        <w:rPr>
          <w:rFonts w:hint="eastAsia"/>
        </w:rPr>
        <w:t xml:space="preserve">从工程部署角度，本实验结果提示“可用性”主要受三类因素影响：一是降维方法是否支持对新样本的稳定变换；二是分类器推理时延能否满足链路吞吐；三是误报与漏报能否在业务代价约束下达到可接受区间。PCA</w:t>
      </w:r>
      <w:r>
        <w:t xml:space="preserve"> </w:t>
      </w:r>
      <w:r>
        <w:rPr>
          <w:rFonts w:hint="eastAsia"/>
        </w:rPr>
        <w:t xml:space="preserve">与</w:t>
      </w:r>
      <w:r>
        <w:t xml:space="preserve"> LDA </w:t>
      </w:r>
      <w:r>
        <w:rPr>
          <w:rFonts w:hint="eastAsia"/>
        </w:rPr>
        <w:t xml:space="preserve">属于显式变换，能够对流式数据进行在线变换，因此具备更直接的落地潜力；t-SNE</w:t>
      </w:r>
      <w:r>
        <w:t xml:space="preserve"> </w:t>
      </w:r>
      <w:r>
        <w:rPr>
          <w:rFonts w:hint="eastAsia"/>
        </w:rPr>
        <w:t xml:space="preserve">虽能提供良好的可视化解释，但其转导式属性与对样本规模的敏感性使其更适合作为离线分析工具，而非在线检测前端。</w:t>
      </w:r>
    </w:p>
    <w:p>
      <w:pPr>
        <w:pStyle w:val="BodyText"/>
      </w:pPr>
      <w:r>
        <w:rPr>
          <w:rFonts w:hint="eastAsia"/>
        </w:rPr>
        <w:t xml:space="preserve">此外，本实验为保证可复现性与计算效率，对训练集进行了</w:t>
      </w:r>
      <w:r>
        <w:t xml:space="preserve"> 10,000 </w:t>
      </w:r>
      <w:r>
        <w:rPr>
          <w:rFonts w:hint="eastAsia"/>
        </w:rPr>
        <w:t xml:space="preserve">条采样。该采样策略降低了网格搜索的成本，但也可能削弱模型对少数模式的学习能力，从而影响攻击召回率。尤其对</w:t>
      </w:r>
      <w:r>
        <w:t xml:space="preserve"> SVM </w:t>
      </w:r>
      <w:r>
        <w:rPr>
          <w:rFonts w:hint="eastAsia"/>
        </w:rPr>
        <w:t xml:space="preserve">而言，支持向量的数量与分布会影响决策边界形态，采样可能导致边界过于保守；对逻辑回归而言，若在采样训练中多数类占优且未使用类权重，模型可能倾向于输出多数类，从而出现“全预测正常”的退化情形。以上局限并不否定实验结论的比较价值，但提示后续应在更大训练规模与更完善的不平衡处理策略下验证性能是否可提升。</w:t>
      </w:r>
    </w:p>
    <w:p>
      <w:pPr>
        <w:pStyle w:val="BodyText"/>
      </w:pPr>
      <w:r>
        <w:rPr>
          <w:rFonts w:hint="eastAsia"/>
        </w:rPr>
        <w:t xml:space="preserve">最后，还需指出</w:t>
      </w:r>
      <w:r>
        <w:t xml:space="preserve"> t-SNE </w:t>
      </w:r>
      <w:r>
        <w:rPr>
          <w:rFonts w:hint="eastAsia"/>
        </w:rPr>
        <w:t xml:space="preserve">在本项目实现中为生成一致的训练/测试嵌入，将训练与测试数据拼接后共同拟合嵌入再切分，这在严格意义上会引入一定的数据泄漏（测试分布参与了嵌入构造），从而可能使评估偏乐观。由于</w:t>
      </w:r>
      <w:r>
        <w:t xml:space="preserve"> t-SNE </w:t>
      </w:r>
      <w:r>
        <w:rPr>
          <w:rFonts w:hint="eastAsia"/>
        </w:rPr>
        <w:t xml:space="preserve">主要用于可视化，且难以对测试集进行独立变换，本文在结果解读中将其定位为“离线分析参考”，并建议在部署时以</w:t>
      </w:r>
      <w:r>
        <w:t xml:space="preserve"> PCA/LDA </w:t>
      </w:r>
      <w:r>
        <w:rPr>
          <w:rFonts w:hint="eastAsia"/>
        </w:rPr>
        <w:t xml:space="preserve">等可变换方法为主，或采用能够学习显式映射的非线性降维方法（如自编码器）替代。</w:t>
      </w:r>
    </w:p>
    <w:bookmarkEnd w:id="74"/>
    <w:bookmarkStart w:id="75" w:name="安全性能分析"/>
    <w:p>
      <w:pPr>
        <w:pStyle w:val="Heading3"/>
      </w:pPr>
      <w:r>
        <w:t xml:space="preserve">4.6 </w:t>
      </w:r>
      <w:r>
        <w:rPr>
          <w:rFonts w:hint="eastAsia"/>
        </w:rPr>
        <w:t xml:space="preserve">安全性能分析</w:t>
      </w:r>
    </w:p>
    <w:p>
      <w:pPr>
        <w:pStyle w:val="FirstParagraph"/>
      </w:pPr>
      <w:r>
        <w:rPr>
          <w:rFonts w:hint="eastAsia"/>
        </w:rPr>
        <w:t xml:space="preserve">根据《机器学习实践》课程设计通用说明，网络安全类题目需在结果分析中增加“安全性能分析”小节。本实践将安全性能分析聚焦于</w:t>
      </w:r>
      <w:r>
        <w:t xml:space="preserve"> IDS </w:t>
      </w:r>
      <w:r>
        <w:rPr>
          <w:rFonts w:hint="eastAsia"/>
        </w:rPr>
        <w:t xml:space="preserve">在真实部署中最关键的两类风险：误报导致的业务代价与漏报导致的安全代价。误报（FPR）过高会使大量正常连接被误判为攻击，轻则造成告警洪泛与运维疲劳，重则引发业务误拦截与用户体验损失；漏报（FNR）过高则意味着攻击流量在检测系统前端被视为正常，从而可能绕过防护、触发后续资产入侵与横向移动等连锁后果。因此，模型选择不应只看准确率，而应结合业务对误报与漏报的容忍度进行代价权衡。</w:t>
      </w:r>
    </w:p>
    <w:p>
      <w:pPr>
        <w:pStyle w:val="BodyText"/>
      </w:pPr>
      <w:r>
        <w:rPr>
          <w:rFonts w:hint="eastAsia"/>
        </w:rPr>
        <w:t xml:space="preserve">从本次实验结果看，t-SNE（2</w:t>
      </w:r>
      <w:r>
        <w:t xml:space="preserve"> </w:t>
      </w:r>
      <w:r>
        <w:rPr>
          <w:rFonts w:hint="eastAsia"/>
        </w:rPr>
        <w:t xml:space="preserve">维）+</w:t>
      </w:r>
      <w:r>
        <w:t xml:space="preserve"> SVM </w:t>
      </w:r>
      <w:r>
        <w:rPr>
          <w:rFonts w:hint="eastAsia"/>
        </w:rPr>
        <w:t xml:space="preserve">组合具有最低误报率（1.03%），在“告警需高可信、不能频繁打扰业务”的场景中具备价值，但其漏报率较高，意味着不能单独作为拦截决策层。相对而言，随机森林在多个降维设置下表现更稳健，且推理时延更低，更适合作为高吞吐的在线筛查组件；在需要进一步降低漏报时，可考虑引入类权重、代价敏感学习或阈值重设，将“漏报优先”的安全策略显式纳入优化目标。此外，由于本次仅使用单日数据进行二分类评测，模型对跨天域偏移与多攻击类型的鲁棒性仍需在更大范围数据上验证。</w:t>
      </w:r>
    </w:p>
    <w:p>
      <w:pPr>
        <w:pStyle w:val="BodyText"/>
      </w:pPr>
      <w:r>
        <w:rPr>
          <w:rFonts w:hint="eastAsia"/>
        </w:rPr>
        <w:t xml:space="preserve">在对抗性层面，入侵检测属于强对抗场景，攻击者可能通过调整流量行为使统计特征更接近正常分布。为降低“可伪造特征”对模型的影响，本实践固定剔除了源/目的</w:t>
      </w:r>
      <w:r>
        <w:t xml:space="preserve"> </w:t>
      </w:r>
      <w:r>
        <w:rPr>
          <w:rFonts w:hint="eastAsia"/>
        </w:rPr>
        <w:t xml:space="preserve">IP、端口等拓扑强相关字段，仅使用与流行为统计相关的</w:t>
      </w:r>
      <w:r>
        <w:t xml:space="preserve"> 30 </w:t>
      </w:r>
      <w:r>
        <w:rPr>
          <w:rFonts w:hint="eastAsia"/>
        </w:rPr>
        <w:t xml:space="preserve">项核心特征，但这并不意味着特征无法被攻击者影响。更稳健的工程方案通常需要“多层检测”与“证据融合”：一方面保留基于规则/签名的高召回层用于覆盖典型攻击模式，另一方面使用机器学习模型提供更强的泛化检测能力，并对高置信告警触发二次复核。相应的规则提取与部署建议已在</w:t>
      </w:r>
      <w:r>
        <w:t xml:space="preserve"> </w:t>
      </w:r>
      <w:r>
        <w:rPr>
          <w:rStyle w:val="VerbatimChar"/>
        </w:rPr>
        <w:t xml:space="preserve">rules.md</w:t>
      </w:r>
      <w:r>
        <w:t xml:space="preserve"> </w:t>
      </w:r>
      <w:r>
        <w:rPr>
          <w:rFonts w:hint="eastAsia"/>
        </w:rPr>
        <w:t xml:space="preserve">中给出，便于将模型输出转化为可落地的检测流程。</w:t>
      </w:r>
    </w:p>
    <w:p>
      <w:r>
        <w:pict>
          <v:rect style="width:0;height:1.5pt" o:hralign="center" o:hrstd="t" o:hr="t"/>
        </w:pict>
      </w:r>
    </w:p>
    <w:bookmarkEnd w:id="75"/>
    <w:bookmarkEnd w:id="76"/>
    <w:bookmarkStart w:id="79" w:name="总结与改进方向"/>
    <w:p>
      <w:pPr>
        <w:pStyle w:val="Heading2"/>
      </w:pPr>
      <w:r>
        <w:t xml:space="preserve">5 </w:t>
      </w:r>
      <w:r>
        <w:rPr>
          <w:rFonts w:hint="eastAsia"/>
        </w:rPr>
        <w:t xml:space="preserve">总结与改进方向</w:t>
      </w:r>
    </w:p>
    <w:bookmarkStart w:id="77" w:name="总结"/>
    <w:p>
      <w:pPr>
        <w:pStyle w:val="Heading3"/>
      </w:pPr>
      <w:r>
        <w:t xml:space="preserve">5.1 </w:t>
      </w:r>
      <w:r>
        <w:rPr>
          <w:rFonts w:hint="eastAsia"/>
        </w:rPr>
        <w:t xml:space="preserve">总结</w:t>
      </w:r>
    </w:p>
    <w:p>
      <w:pPr>
        <w:pStyle w:val="FirstParagraph"/>
      </w:pPr>
      <w:r>
        <w:rPr>
          <w:rFonts w:hint="eastAsia"/>
        </w:rPr>
        <w:t xml:space="preserve">本文围绕“基于降维与分类的网络入侵检测系统”课程实践目标，完成了从数据清洗、特征工程、降维对比到分类组合评测与安全性分析的完整流程。在</w:t>
      </w:r>
      <w:r>
        <w:t xml:space="preserve"> CSE-CIC-IDS2018 </w:t>
      </w:r>
      <w:r>
        <w:rPr>
          <w:rFonts w:hint="eastAsia"/>
        </w:rPr>
        <w:t xml:space="preserve">单日数据（Benign</w:t>
      </w:r>
      <w:r>
        <w:t xml:space="preserve"> vs </w:t>
      </w:r>
      <w:r>
        <w:rPr>
          <w:rFonts w:hint="eastAsia"/>
        </w:rPr>
        <w:t xml:space="preserve">Infilteration）的实验中，PCA</w:t>
      </w:r>
      <w:r>
        <w:t xml:space="preserve"> </w:t>
      </w:r>
      <w:r>
        <w:rPr>
          <w:rFonts w:hint="eastAsia"/>
        </w:rPr>
        <w:t xml:space="preserve">在</w:t>
      </w:r>
      <w:r>
        <w:t xml:space="preserve"> 10 </w:t>
      </w:r>
      <w:r>
        <w:rPr>
          <w:rFonts w:hint="eastAsia"/>
        </w:rPr>
        <w:t xml:space="preserve">维即可保留约</w:t>
      </w:r>
      <w:r>
        <w:t xml:space="preserve"> 97% </w:t>
      </w:r>
      <w:r>
        <w:rPr>
          <w:rFonts w:hint="eastAsia"/>
        </w:rPr>
        <w:t xml:space="preserve">的方差信息，说明所选</w:t>
      </w:r>
      <w:r>
        <w:t xml:space="preserve"> 30 </w:t>
      </w:r>
      <w:r>
        <w:rPr>
          <w:rFonts w:hint="eastAsia"/>
        </w:rPr>
        <w:t xml:space="preserve">项核心流统计特征存在明显冗余，线性降维能够在较低维度下实现有效压缩；LDA</w:t>
      </w:r>
      <w:r>
        <w:t xml:space="preserve"> </w:t>
      </w:r>
      <w:r>
        <w:rPr>
          <w:rFonts w:hint="eastAsia"/>
        </w:rPr>
        <w:t xml:space="preserve">在二分类下输出</w:t>
      </w:r>
      <w:r>
        <w:t xml:space="preserve"> 1 </w:t>
      </w:r>
      <w:r>
        <w:rPr>
          <w:rFonts w:hint="eastAsia"/>
        </w:rPr>
        <w:t xml:space="preserve">维表示，但类间分离度显著高于</w:t>
      </w:r>
      <w:r>
        <w:t xml:space="preserve"> </w:t>
      </w:r>
      <w:r>
        <w:rPr>
          <w:rFonts w:hint="eastAsia"/>
        </w:rPr>
        <w:t xml:space="preserve">PCA，体现了监督信息对判别结构增强的作用。总体上，PCA</w:t>
      </w:r>
      <w:r>
        <w:t xml:space="preserve"> </w:t>
      </w:r>
      <w:r>
        <w:rPr>
          <w:rFonts w:hint="eastAsia"/>
        </w:rPr>
        <w:t xml:space="preserve">作为主线方案在信息保留、可解释性与可部署性之间形成了更稳妥的折中；t-SNE</w:t>
      </w:r>
      <w:r>
        <w:t xml:space="preserve"> </w:t>
      </w:r>
      <w:r>
        <w:rPr>
          <w:rFonts w:hint="eastAsia"/>
        </w:rPr>
        <w:t xml:space="preserve">主要用于可视化与结构对照，虽在局部组合上准确率较高，但在攻击召回率上存在明显权衡；随机森林在各降维设置下表现稳健且推理速度优势突出，适合作为工程基线或与其他检测层协同的候选模型。上述结论在统一清洗口径、固定特征集合与统一评估指标下得到，具有清晰的可追溯性与可复现性。</w:t>
      </w:r>
    </w:p>
    <w:bookmarkEnd w:id="77"/>
    <w:bookmarkStart w:id="78" w:name="改进方向"/>
    <w:p>
      <w:pPr>
        <w:pStyle w:val="Heading3"/>
      </w:pPr>
      <w:r>
        <w:t xml:space="preserve">5.2 </w:t>
      </w:r>
      <w:r>
        <w:rPr>
          <w:rFonts w:hint="eastAsia"/>
        </w:rPr>
        <w:t xml:space="preserve">改进方向</w:t>
      </w:r>
    </w:p>
    <w:p>
      <w:pPr>
        <w:pStyle w:val="FirstParagraph"/>
      </w:pPr>
      <w:r>
        <w:rPr>
          <w:rFonts w:hint="eastAsia"/>
        </w:rPr>
        <w:t xml:space="preserve">在后续工作中，本文认为可以从“数据、模型、决策与系统”四个层面推进改进。首先在数据层面，可在保持单日可控计算量的前提下引入更多天的数据进行训练与跨日测试，以评估域偏移下的鲁棒性，并通过更精细的采样策略（分层采样、时间窗采样、难例挖掘）提升对攻击边界样本的覆盖；其次在模型层面，可加入类别权重（</w:t>
      </w:r>
      <w:r>
        <w:rPr>
          <w:rStyle w:val="VerbatimChar"/>
        </w:rPr>
        <w:t xml:space="preserve">class_weight</w:t>
      </w:r>
      <w:r>
        <w:rPr>
          <w:rFonts w:hint="eastAsia"/>
        </w:rPr>
        <w:t xml:space="preserve">）、代价敏感学习或重采样（如</w:t>
      </w:r>
      <w:r>
        <w:t xml:space="preserve"> </w:t>
      </w:r>
      <w:r>
        <w:rPr>
          <w:rFonts w:hint="eastAsia"/>
        </w:rPr>
        <w:t xml:space="preserve">SMOTE/欠采样）以降低漏报，并尝试更适合高维表格数据的梯度提升树（如</w:t>
      </w:r>
      <w:r>
        <w:t xml:space="preserve"> </w:t>
      </w:r>
      <w:r>
        <w:rPr>
          <w:rFonts w:hint="eastAsia"/>
        </w:rPr>
        <w:t xml:space="preserve">XGBoost/LightGBM）或显式映射的非线性降维（自编码器、监督对比学习嵌入）以替代</w:t>
      </w:r>
      <w:r>
        <w:t xml:space="preserve"> t-SNE </w:t>
      </w:r>
      <w:r>
        <w:rPr>
          <w:rFonts w:hint="eastAsia"/>
        </w:rPr>
        <w:t xml:space="preserve">的转导式限制；再次在决策层面，应避免以</w:t>
      </w:r>
      <w:r>
        <w:t xml:space="preserve"> 0.5 </w:t>
      </w:r>
      <w:r>
        <w:rPr>
          <w:rFonts w:hint="eastAsia"/>
        </w:rPr>
        <w:t xml:space="preserve">固定阈值直接输出二值结果，而应根据业务代价选择阈值、引入校准与置信度分层，并在告警链路中显式区分“高置信攻击”</w:t>
      </w:r>
      <w:r>
        <w:rPr>
          <w:rFonts w:hint="eastAsia"/>
        </w:rPr>
        <w:t xml:space="preserve">“可疑需复核”</w:t>
      </w:r>
      <w:r>
        <w:rPr>
          <w:rFonts w:hint="eastAsia"/>
        </w:rPr>
        <w:t xml:space="preserve">“高置信正常”</w:t>
      </w:r>
      <w:r>
        <w:rPr>
          <w:rFonts w:hint="eastAsia"/>
        </w:rPr>
        <w:t xml:space="preserve">三类状态以缓解误报与漏报的结构性矛盾；最后在系统层面，可构建多层检测架构，将低误报模型作为精确告警通道，将高召回模型作为广覆盖筛查通道，并配合规则引擎与日志关联分析实现闭环。</w:t>
      </w:r>
    </w:p>
    <w:p>
      <w:pPr>
        <w:pStyle w:val="BodyText"/>
      </w:pPr>
      <w:r>
        <w:rPr>
          <w:rFonts w:hint="eastAsia"/>
        </w:rPr>
        <w:t xml:space="preserve">综上，降维与分类的组合框架能够在网络入侵检测中提供清晰的工程路径与可解释分析视角，但要达到可部署、可迭代的实用系统，还需要在数据覆盖、代价建模、阈值策略与多模型融合上进一步完善。</w:t>
      </w:r>
    </w:p>
    <w:p>
      <w:r>
        <w:pict>
          <v:rect style="width:0;height:1.5pt" o:hralign="center" o:hrstd="t" o:hr="t"/>
        </w:pict>
      </w:r>
    </w:p>
    <w:bookmarkEnd w:id="78"/>
    <w:bookmarkEnd w:id="79"/>
    <w:bookmarkStart w:id="80" w:name="实训体会"/>
    <w:p>
      <w:pPr>
        <w:pStyle w:val="Heading2"/>
      </w:pPr>
      <w:r>
        <w:t xml:space="preserve">6 </w:t>
      </w:r>
      <w:r>
        <w:rPr>
          <w:rFonts w:hint="eastAsia"/>
        </w:rPr>
        <w:t xml:space="preserve">实训体会</w:t>
      </w:r>
    </w:p>
    <w:p>
      <w:pPr>
        <w:pStyle w:val="FirstParagraph"/>
      </w:pPr>
      <w:r>
        <w:rPr>
          <w:rFonts w:hint="eastAsia"/>
        </w:rPr>
        <w:t xml:space="preserve">本次实践的最大收获在于将课堂中“算法原理”的知识链条完整落地到“可复现实验系统”的工程链条。以入侵检测为例，数据清洗并不是简单的缺失值处理：原始</w:t>
      </w:r>
      <w:r>
        <w:t xml:space="preserve"> CSV </w:t>
      </w:r>
      <w:r>
        <w:rPr>
          <w:rFonts w:hint="eastAsia"/>
        </w:rPr>
        <w:t xml:space="preserve">中混入的重复表头行会直接破坏数值特征解析；</w:t>
      </w:r>
      <w:r>
        <w:rPr>
          <w:rStyle w:val="VerbatimChar"/>
        </w:rPr>
        <w:t xml:space="preserve">inf/-inf</w:t>
      </w:r>
      <w:r>
        <w:t xml:space="preserve"> </w:t>
      </w:r>
      <w:r>
        <w:rPr>
          <w:rFonts w:hint="eastAsia"/>
        </w:rPr>
        <w:t xml:space="preserve">与极端异常行会在归一化与距离度量中产生连锁放大效应；若清洗口径不固定，后续对比结果将缺乏可追溯性。通过将清洗规则固化到</w:t>
      </w:r>
      <w:r>
        <w:t xml:space="preserve"> </w:t>
      </w:r>
      <w:r>
        <w:rPr>
          <w:rStyle w:val="VerbatimChar"/>
        </w:rPr>
        <w:t xml:space="preserve">code/preprocess.py</w:t>
      </w:r>
      <w:r>
        <w:t xml:space="preserve"> </w:t>
      </w:r>
      <w:r>
        <w:rPr>
          <w:rFonts w:hint="eastAsia"/>
        </w:rPr>
        <w:t xml:space="preserve">并在报告中记录样本量变化，本实践对“实验结论必须可复现、可解释”有了更直观的理解。</w:t>
      </w:r>
    </w:p>
    <w:p>
      <w:pPr>
        <w:pStyle w:val="BodyText"/>
      </w:pPr>
      <w:r>
        <w:rPr>
          <w:rFonts w:hint="eastAsia"/>
        </w:rPr>
        <w:t xml:space="preserve">此外，本次实践也暴露出机器学习工程中常见的时间预算问题。以</w:t>
      </w:r>
      <w:r>
        <w:t xml:space="preserve"> SVM </w:t>
      </w:r>
      <w:r>
        <w:rPr>
          <w:rFonts w:hint="eastAsia"/>
        </w:rPr>
        <w:t xml:space="preserve">网格搜索为例，若在大规模训练集上直接进行多折交叉验证，运行时间会呈倍数增长并迅速超出课程实践可承受范围。通过在保证测试集全量评测的前提下对训练集进行固定随机采样，并采用代表性的参数网格，本实践在“满足调参要求”与“保证可完成性”之间取得了可接受的折中。这一过程也提示：在实际项目中，应优先用小规模数据验证流程与估算时间，再逐步扩大规模，避免在实验后期因计算瓶颈导致整体交付风险。</w:t>
      </w:r>
    </w:p>
    <w:p>
      <w:pPr>
        <w:pStyle w:val="BodyText"/>
      </w:pPr>
      <w:r>
        <w:rPr>
          <w:rFonts w:hint="eastAsia"/>
        </w:rPr>
        <w:t xml:space="preserve">最后，在指标理解方面，本次结果提醒我不能将“准确率”视为</w:t>
      </w:r>
      <w:r>
        <w:t xml:space="preserve"> IDS </w:t>
      </w:r>
      <w:r>
        <w:rPr>
          <w:rFonts w:hint="eastAsia"/>
        </w:rPr>
        <w:t xml:space="preserve">的唯一目标。逻辑回归在测试集上出现“误报率为</w:t>
      </w:r>
      <w:r>
        <w:t xml:space="preserve"> </w:t>
      </w:r>
      <w:r>
        <w:rPr>
          <w:rFonts w:hint="eastAsia"/>
        </w:rPr>
        <w:t xml:space="preserve">0、漏报率为</w:t>
      </w:r>
      <w:r>
        <w:t xml:space="preserve"> </w:t>
      </w:r>
      <w:r>
        <w:rPr>
          <w:rFonts w:hint="eastAsia"/>
        </w:rPr>
        <w:t xml:space="preserve">1”的退化现象，表面准确率却仍处于</w:t>
      </w:r>
      <w:r>
        <w:t xml:space="preserve"> 71% </w:t>
      </w:r>
      <w:r>
        <w:rPr>
          <w:rFonts w:hint="eastAsia"/>
        </w:rPr>
        <w:t xml:space="preserve">左右，说明在类别不平衡场景中单一指标会误导决策。将</w:t>
      </w:r>
      <w:r>
        <w:t xml:space="preserve"> </w:t>
      </w:r>
      <w:r>
        <w:rPr>
          <w:rFonts w:hint="eastAsia"/>
        </w:rPr>
        <w:t xml:space="preserve">FPR/FNR、混淆矩阵与攻击类</w:t>
      </w:r>
      <w:r>
        <w:t xml:space="preserve"> Precision/Recall/F1 </w:t>
      </w:r>
      <w:r>
        <w:rPr>
          <w:rFonts w:hint="eastAsia"/>
        </w:rPr>
        <w:t xml:space="preserve">纳入分析后，才能真正对模型的安全价值做出判断。后续若有时间，我希望进一步尝试代价敏感学习、阈值调优与多模型融合，以更贴近真实安全场景的需求。</w:t>
      </w:r>
    </w:p>
    <w:p>
      <w:r>
        <w:pict>
          <v:rect style="width:0;height:1.5pt" o:hralign="center" o:hrstd="t" o:hr="t"/>
        </w:pict>
      </w:r>
    </w:p>
    <w:bookmarkEnd w:id="80"/>
    <w:bookmarkStart w:id="81" w:name="参考文献"/>
    <w:p>
      <w:pPr>
        <w:pStyle w:val="Heading2"/>
      </w:pPr>
      <w:r>
        <w:rPr>
          <w:rFonts w:hint="eastAsia"/>
        </w:rPr>
        <w:t xml:space="preserve">参考文献</w:t>
      </w:r>
    </w:p>
    <w:p>
      <w:pPr>
        <w:pStyle w:val="FirstParagraph"/>
      </w:pPr>
      <w:r>
        <w:t xml:space="preserve">[1] CSE-CIC-IDS2018 on AWS. Available: https://registry.opendata.aws/cse-cic-ids2018/</w:t>
      </w:r>
    </w:p>
    <w:p>
      <w:pPr>
        <w:pStyle w:val="BodyText"/>
      </w:pPr>
      <w:r>
        <w:t xml:space="preserve">[2] Canadian Institute for Cybersecurity. CIC-IDS2018 Dataset. Available: https://www.unb.ca/cic/datasets/ids-2018.html</w:t>
      </w:r>
    </w:p>
    <w:p>
      <w:pPr>
        <w:pStyle w:val="BodyText"/>
      </w:pPr>
      <w:r>
        <w:t xml:space="preserve">[3] I. Sharafaldin, A. H. Lashkari, and A. A. Ghorbani,</w:t>
      </w:r>
      <w:r>
        <w:t xml:space="preserve"> </w:t>
      </w:r>
      <w:r>
        <w:t xml:space="preserve">“Toward Generating a New Intrusion Detection Dataset and Intrusion Traffic Characterization,”</w:t>
      </w:r>
      <w:r>
        <w:t xml:space="preserve"> </w:t>
      </w:r>
      <w:r>
        <w:t xml:space="preserve">in</w:t>
      </w:r>
      <w:r>
        <w:t xml:space="preserve"> </w:t>
      </w:r>
      <w:r>
        <w:rPr>
          <w:i/>
          <w:iCs/>
        </w:rPr>
        <w:t xml:space="preserve">Proceedings of the 4th International Conference on Information Systems Security and Privacy (ICISSP)</w:t>
      </w:r>
      <w:r>
        <w:t xml:space="preserve">, 2018.</w:t>
      </w:r>
    </w:p>
    <w:p>
      <w:pPr>
        <w:pStyle w:val="BodyText"/>
      </w:pPr>
      <w:r>
        <w:t xml:space="preserve">[4] Canadian Institute for Cybersecurity. CICFlowMeter. Available: https://www.unb.ca/cic/research/applications.html#CICFlowMeter</w:t>
      </w:r>
    </w:p>
    <w:p>
      <w:pPr>
        <w:pStyle w:val="BodyText"/>
      </w:pPr>
      <w:r>
        <w:t xml:space="preserve">[5] I. T. Jolliffe,</w:t>
      </w:r>
      <w:r>
        <w:t xml:space="preserve"> </w:t>
      </w:r>
      <w:r>
        <w:rPr>
          <w:i/>
          <w:iCs/>
        </w:rPr>
        <w:t xml:space="preserve">Principal Component Analysis</w:t>
      </w:r>
      <w:r>
        <w:t xml:space="preserve">, 2nd ed. New York: Springer, 2002.</w:t>
      </w:r>
    </w:p>
    <w:p>
      <w:pPr>
        <w:pStyle w:val="BodyText"/>
      </w:pPr>
      <w:r>
        <w:t xml:space="preserve">[6] R. A. Fisher,</w:t>
      </w:r>
      <w:r>
        <w:t xml:space="preserve"> </w:t>
      </w:r>
      <w:r>
        <w:t xml:space="preserve">“The Use of Multiple Measurements in Taxonomic Problems,”</w:t>
      </w:r>
      <w:r>
        <w:t xml:space="preserve"> </w:t>
      </w:r>
      <w:r>
        <w:rPr>
          <w:i/>
          <w:iCs/>
        </w:rPr>
        <w:t xml:space="preserve">Annals of Eugenics</w:t>
      </w:r>
      <w:r>
        <w:t xml:space="preserve">, vol. 7, no. 2, pp. 179–188, 1936.</w:t>
      </w:r>
    </w:p>
    <w:p>
      <w:pPr>
        <w:pStyle w:val="BodyText"/>
      </w:pPr>
      <w:r>
        <w:t xml:space="preserve">[7] L. van der Maaten and G. Hinton,</w:t>
      </w:r>
      <w:r>
        <w:t xml:space="preserve"> </w:t>
      </w:r>
      <w:r>
        <w:t xml:space="preserve">“Visualizing Data using t-SNE,”</w:t>
      </w:r>
      <w:r>
        <w:t xml:space="preserve"> </w:t>
      </w:r>
      <w:r>
        <w:rPr>
          <w:i/>
          <w:iCs/>
        </w:rPr>
        <w:t xml:space="preserve">Journal of Machine Learning Research</w:t>
      </w:r>
      <w:r>
        <w:t xml:space="preserve">, vol. 9, pp. 2579–2605, 2008.</w:t>
      </w:r>
    </w:p>
    <w:p>
      <w:pPr>
        <w:pStyle w:val="BodyText"/>
      </w:pPr>
      <w:r>
        <w:t xml:space="preserve">[8] C. Cortes and V. Vapnik,</w:t>
      </w:r>
      <w:r>
        <w:t xml:space="preserve"> </w:t>
      </w:r>
      <w:r>
        <w:t xml:space="preserve">“Support-Vector Networks,”</w:t>
      </w:r>
      <w:r>
        <w:t xml:space="preserve"> </w:t>
      </w:r>
      <w:r>
        <w:rPr>
          <w:i/>
          <w:iCs/>
        </w:rPr>
        <w:t xml:space="preserve">Machine Learning</w:t>
      </w:r>
      <w:r>
        <w:t xml:space="preserve">, vol. 20, no. 3, pp. 273–297, 1995.</w:t>
      </w:r>
    </w:p>
    <w:p>
      <w:pPr>
        <w:pStyle w:val="BodyText"/>
      </w:pPr>
      <w:r>
        <w:t xml:space="preserve">[9] L. Breiman,</w:t>
      </w:r>
      <w:r>
        <w:t xml:space="preserve"> </w:t>
      </w:r>
      <w:r>
        <w:t xml:space="preserve">“Random Forests,”</w:t>
      </w:r>
      <w:r>
        <w:t xml:space="preserve"> </w:t>
      </w:r>
      <w:r>
        <w:rPr>
          <w:i/>
          <w:iCs/>
        </w:rPr>
        <w:t xml:space="preserve">Machine Learning</w:t>
      </w:r>
      <w:r>
        <w:t xml:space="preserve">, vol. 45, no. 1, pp. 5–32, 2001.</w:t>
      </w:r>
    </w:p>
    <w:p>
      <w:pPr>
        <w:pStyle w:val="BodyText"/>
      </w:pPr>
      <w:r>
        <w:t xml:space="preserve">[10] D. W. Hosmer, S. Lemeshow, and R. X. Sturdivant,</w:t>
      </w:r>
      <w:r>
        <w:t xml:space="preserve"> </w:t>
      </w:r>
      <w:r>
        <w:rPr>
          <w:i/>
          <w:iCs/>
        </w:rPr>
        <w:t xml:space="preserve">Applied Logistic Regression</w:t>
      </w:r>
      <w:r>
        <w:t xml:space="preserve">, 3rd ed. Hoboken, NJ: Wiley, 2013.</w:t>
      </w:r>
    </w:p>
    <w:p>
      <w:r>
        <w:pict>
          <v:rect style="width:0;height:1.5pt" o:hralign="center" o:hrstd="t" o:hr="t"/>
        </w:pict>
      </w:r>
    </w:p>
    <w:bookmarkEnd w:id="81"/>
    <w:bookmarkStart w:id="84" w:name="附录"/>
    <w:p>
      <w:pPr>
        <w:pStyle w:val="Heading2"/>
      </w:pPr>
      <w:r>
        <w:rPr>
          <w:rFonts w:hint="eastAsia"/>
        </w:rPr>
        <w:t xml:space="preserve">附录</w:t>
      </w:r>
    </w:p>
    <w:p>
      <w:pPr>
        <w:pStyle w:val="FirstParagraph"/>
      </w:pPr>
      <w:r>
        <w:rPr>
          <w:rFonts w:hint="eastAsia"/>
        </w:rPr>
        <w:t xml:space="preserve">附录材料以独立</w:t>
      </w:r>
      <w:r>
        <w:t xml:space="preserve"> Markdown </w:t>
      </w:r>
      <w:r>
        <w:rPr>
          <w:rFonts w:hint="eastAsia"/>
        </w:rPr>
        <w:t xml:space="preserve">文档形式提供，便于在</w:t>
      </w:r>
      <w:r>
        <w:t xml:space="preserve"> </w:t>
      </w:r>
      <w:r>
        <w:rPr>
          <w:rStyle w:val="VerbatimChar"/>
        </w:rPr>
        <w:t xml:space="preserve">pandoc</w:t>
      </w:r>
      <w:r>
        <w:t xml:space="preserve"> </w:t>
      </w:r>
      <w:r>
        <w:rPr>
          <w:rFonts w:hint="eastAsia"/>
        </w:rPr>
        <w:t xml:space="preserve">转换到</w:t>
      </w:r>
      <w:r>
        <w:t xml:space="preserve"> docx </w:t>
      </w:r>
      <w:r>
        <w:rPr>
          <w:rFonts w:hint="eastAsia"/>
        </w:rPr>
        <w:t xml:space="preserve">时进行拆分与排版：实验结果汇总表见</w:t>
      </w:r>
      <w:r>
        <w:t xml:space="preserve"> </w:t>
      </w:r>
      <w:r>
        <w:rPr>
          <w:rStyle w:val="VerbatimChar"/>
        </w:rPr>
        <w:t xml:space="preserve">results.md</w:t>
      </w:r>
      <w:r>
        <w:rPr>
          <w:rFonts w:hint="eastAsia"/>
        </w:rPr>
        <w:t xml:space="preserve">，入侵检测规则与安全要点提取见</w:t>
      </w:r>
      <w:r>
        <w:t xml:space="preserve"> </w:t>
      </w:r>
      <w:r>
        <w:rPr>
          <w:rStyle w:val="VerbatimChar"/>
        </w:rPr>
        <w:t xml:space="preserve">rules.md</w:t>
      </w:r>
      <w:r>
        <w:rPr>
          <w:rFonts w:hint="eastAsia"/>
        </w:rPr>
        <w:t xml:space="preserve">，代码运行与数据准备说明见</w:t>
      </w:r>
      <w:r>
        <w:t xml:space="preserve"> </w:t>
      </w:r>
      <w:r>
        <w:rPr>
          <w:rStyle w:val="VerbatimChar"/>
        </w:rPr>
        <w:t xml:space="preserve">README.md</w:t>
      </w:r>
      <w:r>
        <w:rPr>
          <w:rFonts w:hint="eastAsia"/>
        </w:rPr>
        <w:t xml:space="preserve">。此外，本次实验生成的主要图表位于</w:t>
      </w:r>
      <w:r>
        <w:t xml:space="preserve"> </w:t>
      </w:r>
      <w:r>
        <w:rPr>
          <w:rStyle w:val="VerbatimChar"/>
        </w:rPr>
        <w:t xml:space="preserve">figures/</w:t>
      </w:r>
      <w:r>
        <w:t xml:space="preserve"> </w:t>
      </w:r>
      <w:r>
        <w:rPr>
          <w:rFonts w:hint="eastAsia"/>
        </w:rPr>
        <w:t xml:space="preserve">目录，可在正文分析中按需插入并配图说明。</w:t>
      </w:r>
    </w:p>
    <w:bookmarkStart w:id="82" w:name="附录-a图表清单"/>
    <w:p>
      <w:pPr>
        <w:pStyle w:val="Heading3"/>
      </w:pPr>
      <w:r>
        <w:rPr>
          <w:rFonts w:hint="eastAsia"/>
        </w:rPr>
        <w:t xml:space="preserve">附录</w:t>
      </w:r>
      <w:r>
        <w:t xml:space="preserve"> </w:t>
      </w:r>
      <w:r>
        <w:rPr>
          <w:rFonts w:hint="eastAsia"/>
        </w:rPr>
        <w:t xml:space="preserve">A：图表清单</w:t>
      </w:r>
    </w:p>
    <w:p>
      <w:pPr>
        <w:pStyle w:val="FirstParagraph"/>
      </w:pPr>
      <w:r>
        <w:rPr>
          <w:rFonts w:hint="eastAsia"/>
        </w:rPr>
        <w:t xml:space="preserve">本报告引用图表均位于</w:t>
      </w:r>
      <w:r>
        <w:t xml:space="preserve"> </w:t>
      </w:r>
      <w:r>
        <w:rPr>
          <w:rStyle w:val="VerbatimChar"/>
        </w:rPr>
        <w:t xml:space="preserve">figures/</w:t>
      </w:r>
      <w:r>
        <w:t xml:space="preserve"> </w:t>
      </w:r>
      <w:r>
        <w:rPr>
          <w:rFonts w:hint="eastAsia"/>
        </w:rPr>
        <w:t xml:space="preserve">目录，主要包括：清洗后类别分布图、PCA</w:t>
      </w:r>
      <w:r>
        <w:t xml:space="preserve"> </w:t>
      </w:r>
      <w:r>
        <w:rPr>
          <w:rFonts w:hint="eastAsia"/>
        </w:rPr>
        <w:t xml:space="preserve">信息保留率图、组合准确率对比图、FPR-FNR</w:t>
      </w:r>
      <w:r>
        <w:t xml:space="preserve"> </w:t>
      </w:r>
      <w:r>
        <w:rPr>
          <w:rFonts w:hint="eastAsia"/>
        </w:rPr>
        <w:t xml:space="preserve">权衡图、预测时延对比图、二维散点图以及多组混淆矩阵图。若需重新生成图表，可运行</w:t>
      </w:r>
      <w:r>
        <w:t xml:space="preserve"> </w:t>
      </w:r>
      <w:r>
        <w:rPr>
          <w:rStyle w:val="VerbatimChar"/>
        </w:rPr>
        <w:t xml:space="preserve">pixi run python code/plot_results.py</w:t>
      </w:r>
      <w:r>
        <w:t xml:space="preserve"> </w:t>
      </w:r>
      <w:r>
        <w:rPr>
          <w:rFonts w:hint="eastAsia"/>
        </w:rPr>
        <w:t xml:space="preserve">与</w:t>
      </w:r>
      <w:r>
        <w:t xml:space="preserve"> </w:t>
      </w:r>
      <w:r>
        <w:rPr>
          <w:rStyle w:val="VerbatimChar"/>
        </w:rPr>
        <w:t xml:space="preserve">pixi run python code/generate_confusion_matrices.py</w:t>
      </w:r>
      <w:r>
        <w:t xml:space="preserve">。</w:t>
      </w:r>
    </w:p>
    <w:bookmarkEnd w:id="82"/>
    <w:bookmarkStart w:id="83" w:name="附录-b代码与数据索引"/>
    <w:p>
      <w:pPr>
        <w:pStyle w:val="Heading3"/>
      </w:pPr>
      <w:r>
        <w:rPr>
          <w:rFonts w:hint="eastAsia"/>
        </w:rPr>
        <w:t xml:space="preserve">附录</w:t>
      </w:r>
      <w:r>
        <w:t xml:space="preserve"> </w:t>
      </w:r>
      <w:r>
        <w:rPr>
          <w:rFonts w:hint="eastAsia"/>
        </w:rPr>
        <w:t xml:space="preserve">B：代码与数据索引</w:t>
      </w:r>
    </w:p>
    <w:p>
      <w:pPr>
        <w:pStyle w:val="FirstParagraph"/>
      </w:pPr>
      <w:r>
        <w:rPr>
          <w:rFonts w:hint="eastAsia"/>
        </w:rPr>
        <w:t xml:space="preserve">代码目录为</w:t>
      </w:r>
      <w:r>
        <w:t xml:space="preserve"> </w:t>
      </w:r>
      <w:r>
        <w:rPr>
          <w:rStyle w:val="VerbatimChar"/>
        </w:rPr>
        <w:t xml:space="preserve">code/</w:t>
      </w:r>
      <w:r>
        <w:rPr>
          <w:rFonts w:hint="eastAsia"/>
        </w:rPr>
        <w:t xml:space="preserve">，其中主实验脚本为</w:t>
      </w:r>
      <w:r>
        <w:t xml:space="preserve"> </w:t>
      </w:r>
      <w:r>
        <w:rPr>
          <w:rStyle w:val="VerbatimChar"/>
        </w:rPr>
        <w:t xml:space="preserve">code/run_experiments_torch.py</w:t>
      </w:r>
      <w:r>
        <w:rPr>
          <w:rFonts w:hint="eastAsia"/>
        </w:rPr>
        <w:t xml:space="preserve">；预处理脚本为</w:t>
      </w:r>
      <w:r>
        <w:t xml:space="preserve"> </w:t>
      </w:r>
      <w:r>
        <w:rPr>
          <w:rStyle w:val="VerbatimChar"/>
        </w:rPr>
        <w:t xml:space="preserve">code/preprocess.py</w:t>
      </w:r>
      <w:r>
        <w:rPr>
          <w:rFonts w:hint="eastAsia"/>
        </w:rPr>
        <w:t xml:space="preserve">；降维与分类模块分别为</w:t>
      </w:r>
      <w:r>
        <w:t xml:space="preserve"> </w:t>
      </w:r>
      <w:r>
        <w:rPr>
          <w:rStyle w:val="VerbatimChar"/>
        </w:rPr>
        <w:t xml:space="preserve">code/torch_reducers.py</w:t>
      </w:r>
      <w:r>
        <w:t xml:space="preserve"> </w:t>
      </w:r>
      <w:r>
        <w:rPr>
          <w:rFonts w:hint="eastAsia"/>
        </w:rPr>
        <w:t xml:space="preserve">与</w:t>
      </w:r>
      <w:r>
        <w:t xml:space="preserve"> </w:t>
      </w:r>
      <w:r>
        <w:rPr>
          <w:rStyle w:val="VerbatimChar"/>
        </w:rPr>
        <w:t xml:space="preserve">code/torch_classifiers.py</w:t>
      </w:r>
      <w:r>
        <w:rPr>
          <w:rFonts w:hint="eastAsia"/>
        </w:rPr>
        <w:t xml:space="preserve">。预处理后的结果表位于</w:t>
      </w:r>
      <w:r>
        <w:t xml:space="preserve"> </w:t>
      </w:r>
      <w:r>
        <w:rPr>
          <w:rStyle w:val="VerbatimChar"/>
        </w:rPr>
        <w:t xml:space="preserve">data/processed/</w:t>
      </w:r>
      <w:r>
        <w:rPr>
          <w:rFonts w:hint="eastAsia"/>
        </w:rPr>
        <w:t xml:space="preserve">，包括</w:t>
      </w:r>
      <w:r>
        <w:t xml:space="preserve"> </w:t>
      </w:r>
      <w:r>
        <w:rPr>
          <w:rStyle w:val="VerbatimChar"/>
        </w:rPr>
        <w:t xml:space="preserve">metrics.csv</w:t>
      </w:r>
      <w:r>
        <w:t xml:space="preserve">、</w:t>
      </w:r>
      <w:r>
        <w:rPr>
          <w:rStyle w:val="VerbatimChar"/>
        </w:rPr>
        <w:t xml:space="preserve">reduction_metrics.csv</w:t>
      </w:r>
      <w:r>
        <w:t xml:space="preserve"> </w:t>
      </w:r>
      <w:r>
        <w:rPr>
          <w:rFonts w:hint="eastAsia"/>
        </w:rPr>
        <w:t xml:space="preserve">与</w:t>
      </w:r>
      <w:r>
        <w:t xml:space="preserve"> </w:t>
      </w:r>
      <w:r>
        <w:rPr>
          <w:rStyle w:val="VerbatimChar"/>
        </w:rPr>
        <w:t xml:space="preserve">attack_metrics.csv</w:t>
      </w:r>
      <w:r>
        <w:rPr>
          <w:rFonts w:hint="eastAsia"/>
        </w:rPr>
        <w:t xml:space="preserve">。这些产物与报告中的表格与图表一一对应，便于追溯与复现。</w:t>
      </w:r>
    </w:p>
    <w:bookmarkEnd w:id="83"/>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29" Target="media/rId29.png" /><Relationship Type="http://schemas.openxmlformats.org/officeDocument/2006/relationships/image" Id="rId67" Target="media/rId6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49" Target="media/rId49.png" /><Relationship Type="http://schemas.openxmlformats.org/officeDocument/2006/relationships/image" Id="rId35" Target="media/rId35.png" /><Relationship Type="http://schemas.openxmlformats.org/officeDocument/2006/relationships/image" Id="rId70" Target="media/rId70.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2026-01-03T06:14:00Z</dcterms:created>
  <dcterms:modified xsi:type="dcterms:W3CDTF">2026-01-03T06:14:00Z</dcterms:modified>
</cp:coreProperties>
</file>

<file path=docProps/custom.xml><?xml version="1.0" encoding="utf-8"?>
<Properties xmlns="http://schemas.openxmlformats.org/officeDocument/2006/custom-properties" xmlns:vt="http://schemas.openxmlformats.org/officeDocument/2006/docPropsVTypes"/>
</file>