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入侵检测规则提取"/>
    <w:p>
      <w:pPr>
        <w:pStyle w:val="Heading1"/>
      </w:pPr>
      <w:r>
        <w:rPr>
          <w:rFonts w:hint="eastAsia"/>
        </w:rPr>
        <w:t xml:space="preserve">入侵检测规则提取</w:t>
      </w:r>
    </w:p>
    <w:bookmarkStart w:id="20" w:name="最优模型选择"/>
    <w:p>
      <w:pPr>
        <w:pStyle w:val="Heading2"/>
      </w:pPr>
      <w:r>
        <w:t xml:space="preserve">1. </w:t>
      </w:r>
      <w:r>
        <w:rPr>
          <w:rFonts w:hint="eastAsia"/>
        </w:rPr>
        <w:t xml:space="preserve">最优模型选择</w:t>
      </w:r>
    </w:p>
    <w:p>
      <w:pPr>
        <w:pStyle w:val="FirstParagraph"/>
      </w:pPr>
      <w:r>
        <w:rPr>
          <w:rFonts w:hint="eastAsia"/>
          <w:b/>
          <w:bCs/>
        </w:rPr>
        <w:t xml:space="preserve">选定模型</w:t>
      </w:r>
      <w:r>
        <w:t xml:space="preserve">: t-SNE-2D + SVM </w:t>
      </w:r>
      <w:r>
        <w:rPr>
          <w:rFonts w:hint="eastAsia"/>
        </w:rPr>
        <w:t xml:space="preserve">(RBF核)</w:t>
      </w:r>
    </w:p>
    <w:p>
      <w:pPr>
        <w:pStyle w:val="BodyText"/>
      </w:pPr>
      <w:r>
        <w:rPr>
          <w:rFonts w:hint="eastAsia"/>
          <w:b/>
          <w:bCs/>
        </w:rPr>
        <w:t xml:space="preserve">选择理由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准确率最高</w:t>
      </w:r>
      <w:r>
        <w:t xml:space="preserve">: </w:t>
      </w:r>
      <w:r>
        <w:rPr>
          <w:rFonts w:hint="eastAsia"/>
        </w:rPr>
        <w:t xml:space="preserve">76.05%（所有15组实验中最佳）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误报率极低</w:t>
      </w:r>
      <w:r>
        <w:t xml:space="preserve">: </w:t>
      </w:r>
      <w:r>
        <w:rPr>
          <w:rFonts w:hint="eastAsia"/>
        </w:rPr>
        <w:t xml:space="preserve">仅1.03%，减少正常流量误拦截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攻击检测精确</w:t>
      </w:r>
      <w:r>
        <w:t xml:space="preserve">: Precision </w:t>
      </w:r>
      <w:r>
        <w:rPr>
          <w:rFonts w:hint="eastAsia"/>
        </w:rPr>
        <w:t xml:space="preserve">86.99%，检测到的攻击87%为真实攻击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适用场景</w:t>
      </w:r>
      <w:r>
        <w:t xml:space="preserve">: </w:t>
      </w:r>
      <w:r>
        <w:rPr>
          <w:rFonts w:hint="eastAsia"/>
        </w:rPr>
        <w:t xml:space="preserve">适合对误报敏感的环境（如企业网络），可容忍部分攻击漏检但不能频繁误报</w:t>
      </w:r>
    </w:p>
    <w:bookmarkEnd w:id="20"/>
    <w:bookmarkStart w:id="21" w:name="模型参数配置"/>
    <w:p>
      <w:pPr>
        <w:pStyle w:val="Heading2"/>
      </w:pPr>
      <w:r>
        <w:t xml:space="preserve">2. </w:t>
      </w:r>
      <w:r>
        <w:rPr>
          <w:rFonts w:hint="eastAsia"/>
        </w:rPr>
        <w:t xml:space="preserve">模型参数配置</w:t>
      </w:r>
    </w:p>
    <w:p>
      <w:pPr>
        <w:pStyle w:val="SourceCode"/>
      </w:pPr>
      <w:r>
        <w:rPr>
          <w:rStyle w:val="CommentTok"/>
        </w:rPr>
        <w:t xml:space="preserve"># 降维配置</w:t>
      </w:r>
      <w:r>
        <w:br/>
      </w:r>
      <w:r>
        <w:rPr>
          <w:rStyle w:val="NormalTok"/>
        </w:rPr>
        <w:t xml:space="preserve">reducer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</w:t>
      </w:r>
      <w:r>
        <w:br/>
      </w:r>
      <w:r>
        <w:rPr>
          <w:rStyle w:val="NormalTok"/>
        </w:rPr>
        <w:t xml:space="preserve">   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'pca'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分类器配置</w:t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SVC(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bookmarkEnd w:id="21"/>
    <w:bookmarkStart w:id="22" w:name="检测规则说明"/>
    <w:p>
      <w:pPr>
        <w:pStyle w:val="Heading2"/>
      </w:pPr>
      <w:r>
        <w:t xml:space="preserve">3. </w:t>
      </w:r>
      <w:r>
        <w:rPr>
          <w:rFonts w:hint="eastAsia"/>
        </w:rPr>
        <w:t xml:space="preserve">检测规则说明</w:t>
      </w:r>
    </w:p>
    <w:p>
      <w:pPr>
        <w:pStyle w:val="FirstParagraph"/>
      </w:pPr>
      <w:r>
        <w:rPr>
          <w:rFonts w:hint="eastAsia"/>
          <w:b/>
          <w:bCs/>
        </w:rPr>
        <w:t xml:space="preserve">工作流程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对输入流量特征进行Min-Max归一化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使用t-SNE降维至2维空间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使用SVM分类器判断（Benign</w:t>
      </w:r>
      <w:r>
        <w:t xml:space="preserve"> vs </w:t>
      </w:r>
      <w:r>
        <w:rPr>
          <w:rFonts w:hint="eastAsia"/>
        </w:rPr>
        <w:t xml:space="preserve">Infilteration）</w:t>
      </w:r>
      <w:r>
        <w:t xml:space="preserve"> </w:t>
      </w:r>
      <w:r>
        <w:t xml:space="preserve">4. </w:t>
      </w:r>
      <w:r>
        <w:rPr>
          <w:rFonts w:hint="eastAsia"/>
        </w:rPr>
        <w:t xml:space="preserve">输出检测结果及置信度</w:t>
      </w:r>
    </w:p>
    <w:p>
      <w:pPr>
        <w:pStyle w:val="BodyText"/>
      </w:pPr>
      <w:r>
        <w:rPr>
          <w:rFonts w:hint="eastAsia"/>
          <w:b/>
          <w:bCs/>
        </w:rPr>
        <w:t xml:space="preserve">性能特点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低误报</w:t>
      </w:r>
      <w:r>
        <w:t xml:space="preserve">: </w:t>
      </w:r>
      <w:r>
        <w:rPr>
          <w:rFonts w:hint="eastAsia"/>
        </w:rPr>
        <w:t xml:space="preserve">FPR=1.03%，每100个正常流量仅误报1个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高漏报</w:t>
      </w:r>
      <w:r>
        <w:t xml:space="preserve">: </w:t>
      </w:r>
      <w:r>
        <w:rPr>
          <w:rFonts w:hint="eastAsia"/>
        </w:rPr>
        <w:t xml:space="preserve">FNR=82.45%，约82%的攻击会被漏检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高精确度</w:t>
      </w:r>
      <w:r>
        <w:t xml:space="preserve">: </w:t>
      </w:r>
      <w:r>
        <w:rPr>
          <w:rFonts w:hint="eastAsia"/>
        </w:rPr>
        <w:t xml:space="preserve">Precision=86.99%，检测为攻击时87%正确</w:t>
      </w:r>
    </w:p>
    <w:bookmarkEnd w:id="22"/>
    <w:bookmarkStart w:id="23" w:name="部署建议"/>
    <w:p>
      <w:pPr>
        <w:pStyle w:val="Heading2"/>
      </w:pPr>
      <w:r>
        <w:t xml:space="preserve">4. </w:t>
      </w:r>
      <w:r>
        <w:rPr>
          <w:rFonts w:hint="eastAsia"/>
        </w:rPr>
        <w:t xml:space="preserve">部署建议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企业内网监控（不能频繁误报影响业务）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作为多层防御的一层（配合其他高召回率系统）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需要低误报的实时监控场景</w:t>
      </w:r>
    </w:p>
    <w:p>
      <w:pPr>
        <w:pStyle w:val="BodyText"/>
      </w:pPr>
      <w:r>
        <w:rPr>
          <w:rFonts w:hint="eastAsia"/>
          <w:b/>
          <w:bCs/>
        </w:rPr>
        <w:t xml:space="preserve">优化方向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增加训练样本量提升召回率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集成多个模型（高精确率+高召回率）</w:t>
      </w:r>
      <w:r>
        <w:t xml:space="preserve"> </w:t>
      </w:r>
      <w:r>
        <w:t xml:space="preserve">- </w:t>
      </w:r>
      <w:r>
        <w:rPr>
          <w:rFonts w:hint="eastAsia"/>
        </w:rPr>
        <w:t xml:space="preserve">针对不同攻击类型调整阈值</w:t>
      </w:r>
    </w:p>
    <w:bookmarkEnd w:id="23"/>
    <w:bookmarkStart w:id="24" w:name="infilteration-攻击特征"/>
    <w:p>
      <w:pPr>
        <w:pStyle w:val="Heading2"/>
      </w:pPr>
      <w:r>
        <w:t xml:space="preserve">5. Infilteration </w:t>
      </w:r>
      <w:r>
        <w:rPr>
          <w:rFonts w:hint="eastAsia"/>
        </w:rPr>
        <w:t xml:space="preserve">攻击特征</w:t>
      </w:r>
    </w:p>
    <w:p>
      <w:pPr>
        <w:pStyle w:val="FirstParagraph"/>
      </w:pPr>
      <w:r>
        <w:rPr>
          <w:rFonts w:hint="eastAsia"/>
        </w:rPr>
        <w:t xml:space="preserve">基于t-SNE降维后的2D空间：</w:t>
      </w:r>
      <w:r>
        <w:t xml:space="preserve"> </w:t>
      </w:r>
      <w:r>
        <w:t xml:space="preserve">- </w:t>
      </w:r>
      <w:r>
        <w:rPr>
          <w:rFonts w:hint="eastAsia"/>
        </w:rPr>
        <w:t xml:space="preserve">攻击流量在降维空间中形成较分散的分布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SVM决策边界能有效分离大部分正常流量</w:t>
      </w:r>
      <w:r>
        <w:t xml:space="preserve"> </w:t>
      </w:r>
      <w:r>
        <w:t xml:space="preserve">- </w:t>
      </w:r>
      <w:r>
        <w:rPr>
          <w:rFonts w:hint="eastAsia"/>
        </w:rPr>
        <w:t xml:space="preserve">少量攻击流量与正常流量混叠导致漏报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：结合规则引擎，对SVM不确定的样本进行二次检测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2026-01-02T04:00:32Z</dcterms:created>
  <dcterms:modified xsi:type="dcterms:W3CDTF">2026-01-02T04:00:32Z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