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E4E96">
      <w:pPr>
        <w:spacing w:before="480" w:after="480" w:line="288" w:lineRule="auto"/>
        <w:jc w:val="center"/>
        <w:rPr>
          <w:rFonts w:hint="eastAsia"/>
        </w:rPr>
      </w:pPr>
      <w:r>
        <w:rPr>
          <w:rFonts w:ascii="Arial" w:hAnsi="Arial" w:eastAsia="等线" w:cs="Arial"/>
          <w:b/>
          <w:sz w:val="52"/>
        </w:rPr>
        <w:t>《机器学习实践》课程设计</w:t>
      </w:r>
    </w:p>
    <w:p w14:paraId="6A59AF93">
      <w:pPr>
        <w:spacing w:before="320" w:after="120" w:line="288" w:lineRule="auto"/>
        <w:outlineLvl w:val="1"/>
        <w:rPr>
          <w:rFonts w:hint="eastAsia"/>
        </w:rPr>
      </w:pPr>
      <w:bookmarkStart w:id="0" w:name="heading_0"/>
      <w:r>
        <w:rPr>
          <w:rFonts w:ascii="Arial" w:hAnsi="Arial" w:eastAsia="等线" w:cs="Arial"/>
          <w:b/>
          <w:sz w:val="32"/>
        </w:rPr>
        <w:t>通用说明</w:t>
      </w:r>
      <w:bookmarkEnd w:id="0"/>
    </w:p>
    <w:p w14:paraId="0DB18780">
      <w:pPr>
        <w:spacing w:before="120" w:after="120" w:line="288" w:lineRule="auto"/>
        <w:rPr>
          <w:rFonts w:hint="eastAsia"/>
        </w:rPr>
      </w:pPr>
      <w:r>
        <w:rPr>
          <w:rFonts w:ascii="Arial" w:hAnsi="Arial" w:eastAsia="等线" w:cs="Arial"/>
          <w:b/>
        </w:rPr>
        <w:t>数据集提供方式</w:t>
      </w:r>
      <w:r>
        <w:rPr>
          <w:rFonts w:ascii="Arial" w:hAnsi="Arial" w:eastAsia="等线" w:cs="Arial"/>
        </w:rPr>
        <w:t>：所有题目涉及的数据集均优先选用公开标准数据集，可通过Scikit-learn库内置函数、UCI机器学习仓库（https://archive.ics.uci.edu/ml/）、Kaggle平台（https://www.kaggle.com/）</w:t>
      </w:r>
      <w:r>
        <w:rPr>
          <w:rFonts w:hint="eastAsia" w:ascii="Arial" w:hAnsi="Arial" w:eastAsia="等线" w:cs="Arial"/>
        </w:rPr>
        <w:t>、</w:t>
      </w:r>
      <w:r>
        <w:rPr>
          <w:rFonts w:ascii="Arial" w:hAnsi="Arial" w:eastAsia="等线" w:cs="Arial"/>
        </w:rPr>
        <w:t>网络安全公开数据集平台（如CSE-CIC-IDS2018官网）及工业大数据平台（如NASA预测与健康管理中心）获取，部分题目需对原始数据集进行场景化预处理（题目中会明确说明处理要求）。</w:t>
      </w:r>
    </w:p>
    <w:p w14:paraId="6EA7FEF5">
      <w:pPr>
        <w:spacing w:before="120" w:after="120" w:line="288" w:lineRule="auto"/>
        <w:rPr>
          <w:rFonts w:hint="eastAsia"/>
        </w:rPr>
      </w:pPr>
      <w:r>
        <w:rPr>
          <w:rFonts w:ascii="Arial" w:hAnsi="Arial" w:eastAsia="等线" w:cs="Arial"/>
          <w:b/>
        </w:rPr>
        <w:t>算法对比要求</w:t>
      </w:r>
      <w:r>
        <w:rPr>
          <w:rFonts w:ascii="Arial" w:hAnsi="Arial" w:eastAsia="等线" w:cs="Arial"/>
        </w:rPr>
        <w:t>：每套题目均需至少对比3种核心算法的性能，从准确率、效率、鲁棒性</w:t>
      </w:r>
      <w:r>
        <w:rPr>
          <w:rFonts w:hint="eastAsia" w:ascii="Arial" w:hAnsi="Arial" w:eastAsia="等线" w:cs="Arial"/>
        </w:rPr>
        <w:t>、场景适配性</w:t>
      </w:r>
      <w:r>
        <w:rPr>
          <w:rFonts w:ascii="Arial" w:hAnsi="Arial" w:eastAsia="等线" w:cs="Arial"/>
        </w:rPr>
        <w:t>等维度分析，结合业务场景说明各算法的适用范围及优缺点。</w:t>
      </w:r>
    </w:p>
    <w:p w14:paraId="219C1A0A">
      <w:pPr>
        <w:spacing w:before="120" w:after="120" w:line="288" w:lineRule="auto"/>
        <w:rPr>
          <w:rFonts w:hint="eastAsia"/>
        </w:rPr>
      </w:pPr>
      <w:r>
        <w:rPr>
          <w:rFonts w:ascii="Arial" w:hAnsi="Arial" w:eastAsia="等线" w:cs="Arial"/>
          <w:b/>
        </w:rPr>
        <w:t>设计报告格式</w:t>
      </w:r>
      <w:r>
        <w:rPr>
          <w:rFonts w:ascii="Arial" w:hAnsi="Arial" w:eastAsia="等线" w:cs="Arial"/>
        </w:rPr>
        <w:t>：统一包含“一、设计背景与需求”“二、数据集说明与预处理”“三、设计任务实现过程”“四、算法对比与结果分析”“五、总结与改进方向”“六、参考文献”</w:t>
      </w:r>
      <w:r>
        <w:rPr>
          <w:rFonts w:hint="eastAsia" w:ascii="Arial" w:hAnsi="Arial" w:eastAsia="等线" w:cs="Arial"/>
        </w:rPr>
        <w:t>“七、附录”七</w:t>
      </w:r>
      <w:r>
        <w:rPr>
          <w:rFonts w:ascii="Arial" w:hAnsi="Arial" w:eastAsia="等线" w:cs="Arial"/>
        </w:rPr>
        <w:t>个部分，正文需配数据分布图表、模型性能对比图、混淆矩阵等技术图表，网络安全类题目需增加“安全性能分析”小节，工业类题目需增加“工业场景适配性分析”小节。</w:t>
      </w:r>
    </w:p>
    <w:p w14:paraId="3DECE574">
      <w:pPr>
        <w:widowControl/>
        <w:rPr>
          <w:rFonts w:hint="eastAsia"/>
        </w:rPr>
      </w:pPr>
      <w:r>
        <w:rPr>
          <w:rFonts w:hint="eastAsia"/>
        </w:rPr>
        <w:br w:type="page"/>
      </w:r>
    </w:p>
    <w:p w14:paraId="442B7512">
      <w:pPr>
        <w:spacing w:before="380" w:after="140" w:line="288" w:lineRule="auto"/>
        <w:outlineLvl w:val="0"/>
        <w:rPr>
          <w:rFonts w:hint="eastAsia"/>
        </w:rPr>
      </w:pPr>
      <w:bookmarkStart w:id="1" w:name="heading_1"/>
      <w:r>
        <w:rPr>
          <w:rFonts w:ascii="Arial" w:hAnsi="Arial" w:eastAsia="等线" w:cs="Arial"/>
          <w:b/>
          <w:sz w:val="36"/>
        </w:rPr>
        <w:t>题目</w:t>
      </w:r>
      <w:r>
        <w:rPr>
          <w:rFonts w:hint="eastAsia" w:ascii="Arial" w:hAnsi="Arial" w:eastAsia="等线" w:cs="Arial"/>
          <w:b/>
          <w:sz w:val="36"/>
        </w:rPr>
        <w:t>1（基础级）</w:t>
      </w:r>
      <w:r>
        <w:rPr>
          <w:rFonts w:ascii="Arial" w:hAnsi="Arial" w:eastAsia="等线" w:cs="Arial"/>
          <w:b/>
          <w:sz w:val="36"/>
        </w:rPr>
        <w:t>：基于降维与分类的手写数字识别系统设计</w:t>
      </w:r>
      <w:bookmarkEnd w:id="1"/>
    </w:p>
    <w:p w14:paraId="52371CE3">
      <w:pPr>
        <w:spacing w:before="320" w:after="120" w:line="288" w:lineRule="auto"/>
        <w:outlineLvl w:val="1"/>
        <w:rPr>
          <w:rFonts w:hint="eastAsia"/>
        </w:rPr>
      </w:pPr>
      <w:bookmarkStart w:id="2" w:name="heading_2"/>
      <w:r>
        <w:rPr>
          <w:rFonts w:ascii="Arial" w:hAnsi="Arial" w:eastAsia="等线" w:cs="Arial"/>
          <w:b/>
          <w:sz w:val="32"/>
        </w:rPr>
        <w:t>一、设计背景和需求</w:t>
      </w:r>
      <w:bookmarkEnd w:id="2"/>
    </w:p>
    <w:p w14:paraId="275C1924">
      <w:pPr>
        <w:spacing w:before="120" w:after="120" w:line="288"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手写数字识别在票据处理、考试阅卷等场景中应用广泛，原始手写数字图像特征维度较高（如28×28像素图像展平后为784维），易导致模型计算复杂度高、泛化能力下降。本设计需通过降维技术降低特征维度，结合传统分类算法构建识别系统，在保证识别精度的同时提升模型效率，为低算力设备上的字符识别应用提供支撑。</w:t>
      </w:r>
    </w:p>
    <w:p w14:paraId="133D4A68">
      <w:pPr>
        <w:spacing w:before="320" w:after="120" w:line="288" w:lineRule="auto"/>
        <w:outlineLvl w:val="1"/>
        <w:rPr>
          <w:rFonts w:hint="eastAsia"/>
        </w:rPr>
      </w:pPr>
      <w:bookmarkStart w:id="3" w:name="heading_3"/>
      <w:r>
        <w:rPr>
          <w:rFonts w:ascii="Arial" w:hAnsi="Arial" w:eastAsia="等线" w:cs="Arial"/>
          <w:b/>
          <w:sz w:val="32"/>
        </w:rPr>
        <w:t>二、设计任务</w:t>
      </w:r>
      <w:bookmarkEnd w:id="3"/>
    </w:p>
    <w:p w14:paraId="315C2078">
      <w:pPr>
        <w:numPr>
          <w:ilvl w:val="0"/>
          <w:numId w:val="1"/>
        </w:numPr>
        <w:spacing w:before="120" w:after="120" w:line="288" w:lineRule="auto"/>
        <w:rPr>
          <w:rFonts w:hint="eastAsia"/>
        </w:rPr>
      </w:pPr>
      <w:r>
        <w:rPr>
          <w:rFonts w:ascii="Arial" w:hAnsi="Arial" w:eastAsia="等线" w:cs="Arial"/>
        </w:rPr>
        <w:t>数据集获取与预处理：获取MNIST手写数字数据集（60000张训练图、10000张测试图，28×28灰度图），将图像展平为784维特征向量，划分训练集（80%）和测试集（20%），对特征进行归一化处理。</w:t>
      </w:r>
    </w:p>
    <w:p w14:paraId="36566746">
      <w:pPr>
        <w:numPr>
          <w:ilvl w:val="0"/>
          <w:numId w:val="2"/>
        </w:numPr>
        <w:spacing w:before="120" w:after="120" w:line="288" w:lineRule="auto"/>
        <w:rPr>
          <w:rFonts w:hint="eastAsia"/>
        </w:rPr>
      </w:pPr>
      <w:r>
        <w:rPr>
          <w:rFonts w:ascii="Arial" w:hAnsi="Arial" w:eastAsia="等线" w:cs="Arial"/>
        </w:rPr>
        <w:t>降维模型构建与对比：分别采用PCA（主成分分析）、LDA（线性判别分析）、t-SNE三种降维算法，将784维特征降至20维、50维、100维，对比不同降维维度下的特征保留效果（通过重构误差、类内类间距离比评估）。</w:t>
      </w:r>
    </w:p>
    <w:p w14:paraId="2BC4AD71">
      <w:pPr>
        <w:numPr>
          <w:ilvl w:val="0"/>
          <w:numId w:val="3"/>
        </w:numPr>
        <w:spacing w:before="120" w:after="120" w:line="288" w:lineRule="auto"/>
        <w:rPr>
          <w:rFonts w:hint="eastAsia"/>
        </w:rPr>
      </w:pPr>
      <w:r>
        <w:rPr>
          <w:rFonts w:ascii="Arial" w:hAnsi="Arial" w:eastAsia="等线" w:cs="Arial"/>
        </w:rPr>
        <w:t>分类模型构建与训练：基于降维后的特征，构建</w:t>
      </w:r>
      <w:r>
        <w:rPr>
          <w:rFonts w:hint="eastAsia" w:ascii="Arial" w:hAnsi="Arial" w:eastAsia="等线" w:cs="Arial"/>
          <w:color w:val="C00000"/>
          <w:lang w:val="en-US" w:eastAsia="zh-CN"/>
        </w:rPr>
        <w:t>至少</w:t>
      </w:r>
      <w:r>
        <w:rPr>
          <w:rFonts w:ascii="Arial" w:hAnsi="Arial" w:eastAsia="等线" w:cs="Arial"/>
          <w:color w:val="C00000"/>
        </w:rPr>
        <w:t>三种</w:t>
      </w:r>
      <w:r>
        <w:rPr>
          <w:rFonts w:ascii="Arial" w:hAnsi="Arial" w:eastAsia="等线" w:cs="Arial"/>
        </w:rPr>
        <w:t>分类模型</w:t>
      </w:r>
      <w:r>
        <w:rPr>
          <w:rFonts w:hint="eastAsia" w:ascii="Arial" w:hAnsi="Arial" w:eastAsia="等线" w:cs="Arial"/>
          <w:lang w:eastAsia="zh-CN"/>
        </w:rPr>
        <w:t>（</w:t>
      </w:r>
      <w:r>
        <w:rPr>
          <w:rFonts w:hint="eastAsia" w:ascii="Arial" w:hAnsi="Arial" w:eastAsia="等线" w:cs="Arial"/>
          <w:lang w:val="en-US" w:eastAsia="zh-CN"/>
        </w:rPr>
        <w:t>如：KNN、决策树、随机森林、bagging、朴素贝叶斯分类器、半朴素贝叶斯分类器、逻辑回归、支持向量机等</w:t>
      </w:r>
      <w:r>
        <w:rPr>
          <w:rFonts w:hint="eastAsia" w:ascii="Arial" w:hAnsi="Arial" w:eastAsia="等线" w:cs="Arial"/>
          <w:lang w:eastAsia="zh-CN"/>
        </w:rPr>
        <w:t>）</w:t>
      </w:r>
      <w:r>
        <w:rPr>
          <w:rFonts w:ascii="Arial" w:hAnsi="Arial" w:eastAsia="等线" w:cs="Arial"/>
        </w:rPr>
        <w:t>，使用训练集训练模型，通过网格搜索优化超参数（如SVM的核函数、KNN的K值）。</w:t>
      </w:r>
    </w:p>
    <w:p w14:paraId="333E86B1">
      <w:pPr>
        <w:numPr>
          <w:ilvl w:val="0"/>
          <w:numId w:val="4"/>
        </w:numPr>
        <w:spacing w:before="120" w:after="120" w:line="288" w:lineRule="auto"/>
        <w:rPr>
          <w:rFonts w:hint="eastAsia"/>
        </w:rPr>
      </w:pPr>
      <w:r>
        <w:rPr>
          <w:rFonts w:ascii="Arial" w:hAnsi="Arial" w:eastAsia="等线" w:cs="Arial"/>
        </w:rPr>
        <w:t>综合评估与分析：对比不同降维算法-分类算法组合的测试集准确率、训练时间、预测时间，绘制降维后特征的二维可视化图（观察类别区分度），分析降维维度对模型性能的影响。</w:t>
      </w:r>
    </w:p>
    <w:p w14:paraId="00C20873">
      <w:pPr>
        <w:spacing w:before="320" w:after="120" w:line="288" w:lineRule="auto"/>
        <w:outlineLvl w:val="1"/>
        <w:rPr>
          <w:rFonts w:hint="eastAsia"/>
        </w:rPr>
      </w:pPr>
      <w:bookmarkStart w:id="4" w:name="heading_4"/>
      <w:r>
        <w:rPr>
          <w:rFonts w:ascii="Arial" w:hAnsi="Arial" w:eastAsia="等线" w:cs="Arial"/>
          <w:b/>
          <w:sz w:val="32"/>
        </w:rPr>
        <w:t>三、设计要求</w:t>
      </w:r>
      <w:bookmarkEnd w:id="4"/>
    </w:p>
    <w:p w14:paraId="2ECAD695">
      <w:pPr>
        <w:numPr>
          <w:ilvl w:val="0"/>
          <w:numId w:val="5"/>
        </w:numPr>
        <w:spacing w:before="120" w:after="120" w:line="288" w:lineRule="auto"/>
        <w:rPr>
          <w:rFonts w:hint="eastAsia"/>
        </w:rPr>
      </w:pPr>
      <w:r>
        <w:rPr>
          <w:rFonts w:ascii="Arial" w:hAnsi="Arial" w:eastAsia="等线" w:cs="Arial"/>
        </w:rPr>
        <w:t>预处理过程需记录归一化方法（如Min-Max归一化）及原因，降维过程需详细说明算法参数设置（如PCA的主成分数量选择依据）。</w:t>
      </w:r>
    </w:p>
    <w:p w14:paraId="3696CB73">
      <w:pPr>
        <w:numPr>
          <w:ilvl w:val="0"/>
          <w:numId w:val="6"/>
        </w:numPr>
        <w:spacing w:before="120" w:after="120" w:line="288" w:lineRule="auto"/>
        <w:rPr>
          <w:rFonts w:hint="eastAsia"/>
        </w:rPr>
      </w:pPr>
      <w:r>
        <w:rPr>
          <w:rFonts w:ascii="Arial" w:hAnsi="Arial" w:eastAsia="等线" w:cs="Arial"/>
        </w:rPr>
        <w:t>超参数调优需给出具体的参数范围和最优参数组合，如KNN的K值取1-20时的准确率变化曲线。</w:t>
      </w:r>
    </w:p>
    <w:p w14:paraId="5207DE65">
      <w:pPr>
        <w:numPr>
          <w:ilvl w:val="0"/>
          <w:numId w:val="7"/>
        </w:numPr>
        <w:spacing w:before="120" w:after="120" w:line="288" w:lineRule="auto"/>
        <w:rPr>
          <w:rFonts w:hint="eastAsia"/>
        </w:rPr>
      </w:pPr>
      <w:r>
        <w:rPr>
          <w:rFonts w:ascii="Arial" w:hAnsi="Arial" w:eastAsia="等线" w:cs="Arial"/>
        </w:rPr>
        <w:t>需构建至少9种（3种降维×3种分类）算法组合，从精度、效率两个核心维度对比，形成对比表格和可视化图表。</w:t>
      </w:r>
    </w:p>
    <w:p w14:paraId="12EBA229">
      <w:pPr>
        <w:numPr>
          <w:ilvl w:val="0"/>
          <w:numId w:val="8"/>
        </w:numPr>
        <w:spacing w:before="120" w:after="120" w:line="288" w:lineRule="auto"/>
        <w:rPr>
          <w:rFonts w:hint="eastAsia"/>
        </w:rPr>
      </w:pPr>
      <w:r>
        <w:rPr>
          <w:rFonts w:ascii="Arial" w:hAnsi="Arial" w:eastAsia="等线" w:cs="Arial"/>
        </w:rPr>
        <w:t>提交设计报告，</w:t>
      </w:r>
      <w:r>
        <w:rPr>
          <w:rFonts w:ascii="Arial" w:hAnsi="Arial" w:eastAsia="等线" w:cs="Arial"/>
          <w:color w:val="EE0000"/>
        </w:rPr>
        <w:t>完整代码、预处理后数据集、</w:t>
      </w:r>
      <w:r>
        <w:rPr>
          <w:rFonts w:hint="eastAsia" w:ascii="Arial" w:hAnsi="Arial" w:eastAsia="等线" w:cs="Arial"/>
          <w:color w:val="EE0000"/>
        </w:rPr>
        <w:t>代码</w:t>
      </w:r>
      <w:r>
        <w:rPr>
          <w:rFonts w:ascii="Arial" w:hAnsi="Arial" w:eastAsia="等线" w:cs="Arial"/>
          <w:color w:val="EE0000"/>
        </w:rPr>
        <w:t>需包含降维与分类的模块化函数，注释清晰</w:t>
      </w:r>
      <w:r>
        <w:rPr>
          <w:rFonts w:hint="eastAsia" w:ascii="Arial" w:hAnsi="Arial" w:eastAsia="等线" w:cs="Arial"/>
          <w:color w:val="EE0000"/>
        </w:rPr>
        <w:t>（红色部分作为附录）</w:t>
      </w:r>
      <w:r>
        <w:rPr>
          <w:rFonts w:ascii="Arial" w:hAnsi="Arial" w:eastAsia="等线" w:cs="Arial"/>
        </w:rPr>
        <w:t>。</w:t>
      </w:r>
    </w:p>
    <w:p w14:paraId="74B8ADB9">
      <w:pPr>
        <w:spacing w:before="320" w:after="120" w:line="288" w:lineRule="auto"/>
        <w:outlineLvl w:val="1"/>
        <w:rPr>
          <w:rFonts w:hint="eastAsia"/>
        </w:rPr>
      </w:pPr>
      <w:bookmarkStart w:id="5" w:name="heading_5"/>
      <w:r>
        <w:rPr>
          <w:rFonts w:ascii="Arial" w:hAnsi="Arial" w:eastAsia="等线" w:cs="Arial"/>
          <w:b/>
          <w:sz w:val="32"/>
        </w:rPr>
        <w:t>四、数据集说明</w:t>
      </w:r>
      <w:bookmarkEnd w:id="5"/>
    </w:p>
    <w:p w14:paraId="6BED8033">
      <w:pPr>
        <w:spacing w:before="120" w:after="120" w:line="288" w:lineRule="auto"/>
        <w:rPr>
          <w:rFonts w:hint="eastAsia"/>
        </w:rPr>
      </w:pPr>
      <w:r>
        <w:rPr>
          <w:rFonts w:ascii="Arial" w:hAnsi="Arial" w:eastAsia="等线" w:cs="Arial"/>
        </w:rPr>
        <w:t>采用MNIST手写数字数据集，可通过Scikit-learn的</w:t>
      </w:r>
      <w:r>
        <w:rPr>
          <w:rFonts w:ascii="Consolas" w:hAnsi="Consolas" w:eastAsia="Consolas" w:cs="Consolas"/>
          <w:shd w:val="clear" w:color="auto" w:fill="EFF0F1"/>
        </w:rPr>
        <w:t>sklearn.datasets.load_digits()</w:t>
      </w:r>
      <w:r>
        <w:rPr>
          <w:rFonts w:ascii="Arial" w:hAnsi="Arial" w:eastAsia="等线" w:cs="Arial"/>
        </w:rPr>
        <w:t>函数获取简化版（8×8像素），或通过TensorFlow的</w:t>
      </w:r>
      <w:r>
        <w:rPr>
          <w:rFonts w:ascii="Consolas" w:hAnsi="Consolas" w:eastAsia="Consolas" w:cs="Consolas"/>
          <w:shd w:val="clear" w:color="auto" w:fill="EFF0F1"/>
        </w:rPr>
        <w:t>tf.keras.datasets.mnist.load_data()</w:t>
      </w:r>
      <w:r>
        <w:rPr>
          <w:rFonts w:ascii="Arial" w:hAnsi="Arial" w:eastAsia="等线" w:cs="Arial"/>
        </w:rPr>
        <w:t>获取完整版（28×28像素），推荐使用完整版以体现降维的必要性。</w:t>
      </w:r>
    </w:p>
    <w:p w14:paraId="115C173F">
      <w:pPr>
        <w:spacing w:before="380" w:after="140" w:line="288" w:lineRule="auto"/>
        <w:outlineLvl w:val="0"/>
        <w:rPr>
          <w:rFonts w:hint="eastAsia"/>
        </w:rPr>
      </w:pPr>
      <w:bookmarkStart w:id="6" w:name="heading_6"/>
      <w:r>
        <w:rPr>
          <w:rFonts w:ascii="Arial" w:hAnsi="Arial" w:eastAsia="等线" w:cs="Arial"/>
          <w:b/>
          <w:sz w:val="36"/>
        </w:rPr>
        <w:t>题目</w:t>
      </w:r>
      <w:r>
        <w:rPr>
          <w:rFonts w:hint="eastAsia" w:ascii="Arial" w:hAnsi="Arial" w:eastAsia="等线" w:cs="Arial"/>
          <w:b/>
          <w:sz w:val="36"/>
        </w:rPr>
        <w:t>2（进阶级）</w:t>
      </w:r>
      <w:r>
        <w:rPr>
          <w:rFonts w:ascii="Arial" w:hAnsi="Arial" w:eastAsia="等线" w:cs="Arial"/>
          <w:b/>
          <w:sz w:val="36"/>
        </w:rPr>
        <w:t>：基于度量学习与聚类的客户消费行为分群系统设计</w:t>
      </w:r>
      <w:bookmarkEnd w:id="6"/>
    </w:p>
    <w:p w14:paraId="14F482F6">
      <w:pPr>
        <w:spacing w:before="320" w:after="120" w:line="288" w:lineRule="auto"/>
        <w:outlineLvl w:val="1"/>
        <w:rPr>
          <w:rFonts w:hint="eastAsia"/>
        </w:rPr>
      </w:pPr>
      <w:bookmarkStart w:id="7" w:name="heading_7"/>
      <w:r>
        <w:rPr>
          <w:rFonts w:ascii="Arial" w:hAnsi="Arial" w:eastAsia="等线" w:cs="Arial"/>
          <w:b/>
          <w:sz w:val="32"/>
        </w:rPr>
        <w:t>一、设计背景和需求</w:t>
      </w:r>
      <w:bookmarkEnd w:id="7"/>
    </w:p>
    <w:p w14:paraId="0350DE41">
      <w:pPr>
        <w:spacing w:before="120" w:after="120" w:line="288" w:lineRule="auto"/>
        <w:rPr>
          <w:rFonts w:hint="eastAsia"/>
        </w:rPr>
      </w:pPr>
      <w:r>
        <w:rPr>
          <w:rFonts w:ascii="Arial" w:hAnsi="Arial" w:eastAsia="等线" w:cs="Arial"/>
        </w:rPr>
        <w:t>电商平台需通过客户分群实现精准营销，客户消费数据（如消费金额、频次、品类偏好等）的特征尺度差异大，且传统聚类算法使用固定度量（如欧氏距离）难以有效捕捉客户间的真实相似性。本设计需通过度量学习优化特征距离度量方式，结合聚类算法实现客户精准分群，为差异化营销提供数据支撑。</w:t>
      </w:r>
    </w:p>
    <w:p w14:paraId="506B10A5">
      <w:pPr>
        <w:spacing w:before="320" w:after="120" w:line="288" w:lineRule="auto"/>
        <w:outlineLvl w:val="1"/>
        <w:rPr>
          <w:rFonts w:hint="eastAsia"/>
        </w:rPr>
      </w:pPr>
      <w:bookmarkStart w:id="8" w:name="heading_8"/>
      <w:r>
        <w:rPr>
          <w:rFonts w:ascii="Arial" w:hAnsi="Arial" w:eastAsia="等线" w:cs="Arial"/>
          <w:b/>
          <w:sz w:val="32"/>
        </w:rPr>
        <w:t>二、设计任务</w:t>
      </w:r>
      <w:bookmarkEnd w:id="8"/>
    </w:p>
    <w:p w14:paraId="366A6A27">
      <w:pPr>
        <w:numPr>
          <w:ilvl w:val="0"/>
          <w:numId w:val="9"/>
        </w:numPr>
        <w:spacing w:before="120" w:after="120" w:line="288" w:lineRule="auto"/>
        <w:rPr>
          <w:rFonts w:hint="eastAsia"/>
        </w:rPr>
      </w:pPr>
      <w:r>
        <w:rPr>
          <w:rFonts w:ascii="Arial" w:hAnsi="Arial" w:eastAsia="等线" w:cs="Arial"/>
        </w:rPr>
        <w:t>数据集获取与预处理：获取Online Retail II数据集（含客户ID、消费时间、商品编码、消费金额等信息），构建客户特征集（如近3个月消费总额、消费频次、平均客单价、热门品类占比等），处理缺失值（如删除无消费记录的客户）和异常值（如消费金额为负的退换货记录），对特征进行标准化。</w:t>
      </w:r>
    </w:p>
    <w:p w14:paraId="2B772D57">
      <w:pPr>
        <w:numPr>
          <w:ilvl w:val="0"/>
          <w:numId w:val="10"/>
        </w:numPr>
        <w:spacing w:before="120" w:after="120" w:line="288" w:lineRule="auto"/>
        <w:rPr>
          <w:rFonts w:hint="eastAsia"/>
        </w:rPr>
      </w:pPr>
      <w:r>
        <w:rPr>
          <w:rFonts w:ascii="Arial" w:hAnsi="Arial" w:eastAsia="等线" w:cs="Arial"/>
        </w:rPr>
        <w:t>度量学习模型构建：采用</w:t>
      </w:r>
      <w:r>
        <w:rPr>
          <w:rFonts w:hint="eastAsia" w:ascii="Arial" w:hAnsi="Arial" w:eastAsia="等线" w:cs="Arial"/>
          <w:color w:val="C00000"/>
          <w:lang w:val="en-US" w:eastAsia="zh-CN"/>
        </w:rPr>
        <w:t>至少三种</w:t>
      </w:r>
      <w:r>
        <w:rPr>
          <w:rFonts w:ascii="Arial" w:hAnsi="Arial" w:eastAsia="等线" w:cs="Arial"/>
        </w:rPr>
        <w:t>度量学习算法</w:t>
      </w:r>
      <w:r>
        <w:rPr>
          <w:rFonts w:hint="eastAsia" w:ascii="Arial" w:hAnsi="Arial" w:eastAsia="等线" w:cs="Arial"/>
          <w:lang w:eastAsia="zh-CN"/>
        </w:rPr>
        <w:t>（</w:t>
      </w:r>
      <w:r>
        <w:rPr>
          <w:rFonts w:hint="eastAsia" w:ascii="Arial" w:hAnsi="Arial" w:eastAsia="等线" w:cs="Arial"/>
          <w:lang w:val="en-US" w:eastAsia="zh-CN"/>
        </w:rPr>
        <w:t>如：</w:t>
      </w:r>
      <w:r>
        <w:rPr>
          <w:rFonts w:ascii="Arial" w:hAnsi="Arial" w:eastAsia="等线" w:cs="Arial"/>
        </w:rPr>
        <w:t>LMNN（大间隔最近邻）、ITML（信息论度量学习）、NCA（邻域成分分析）</w:t>
      </w:r>
      <w:r>
        <w:rPr>
          <w:rFonts w:hint="eastAsia" w:ascii="Arial" w:hAnsi="Arial" w:eastAsia="等线" w:cs="Arial"/>
          <w:lang w:eastAsia="zh-CN"/>
        </w:rPr>
        <w:t>）</w:t>
      </w:r>
      <w:r>
        <w:rPr>
          <w:rFonts w:ascii="Arial" w:hAnsi="Arial" w:eastAsia="等线" w:cs="Arial"/>
        </w:rPr>
        <w:t>，对客户特征进行度量优化，得到自定义距离度量矩阵。</w:t>
      </w:r>
    </w:p>
    <w:p w14:paraId="16132DE9">
      <w:pPr>
        <w:numPr>
          <w:ilvl w:val="0"/>
          <w:numId w:val="11"/>
        </w:numPr>
        <w:spacing w:before="120" w:after="120" w:line="288" w:lineRule="auto"/>
        <w:rPr>
          <w:rFonts w:hint="eastAsia"/>
        </w:rPr>
      </w:pPr>
      <w:r>
        <w:rPr>
          <w:rFonts w:ascii="Arial" w:hAnsi="Arial" w:eastAsia="等线" w:cs="Arial"/>
        </w:rPr>
        <w:t>聚类模型构建与优化：基于原始欧氏距离和度量学习优化后的距离，分别构建K-Means、DBSCAN、层次聚类</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三种聚类</w:t>
      </w:r>
      <w:r>
        <w:rPr>
          <w:rFonts w:ascii="Arial" w:hAnsi="Arial" w:eastAsia="等线" w:cs="Arial"/>
        </w:rPr>
        <w:t>模型。对K-Means采用肘部法则和轮廓系数确定最优聚类数（2-8类），对DBSCAN优化邻域半径ε和最小样本数MinPts。</w:t>
      </w:r>
    </w:p>
    <w:p w14:paraId="78D50C2C">
      <w:pPr>
        <w:numPr>
          <w:ilvl w:val="0"/>
          <w:numId w:val="12"/>
        </w:numPr>
        <w:spacing w:before="120" w:after="120" w:line="288" w:lineRule="auto"/>
        <w:rPr>
          <w:rFonts w:hint="eastAsia"/>
        </w:rPr>
      </w:pPr>
      <w:r>
        <w:rPr>
          <w:rFonts w:ascii="Arial" w:hAnsi="Arial" w:eastAsia="等线" w:cs="Arial"/>
        </w:rPr>
        <w:t>分群结果分析：统计各客户群体的特征均值，提炼客户画像（如高价值高频客户、低频刚需客户等），计算各聚类结果的轮廓系数、 Davies-Bouldin指数，对比度量学习前后聚类效果的差异，为各群体制定营销建议。</w:t>
      </w:r>
    </w:p>
    <w:p w14:paraId="2040ED98">
      <w:pPr>
        <w:spacing w:before="320" w:after="120" w:line="288" w:lineRule="auto"/>
        <w:outlineLvl w:val="1"/>
        <w:rPr>
          <w:rFonts w:hint="eastAsia"/>
        </w:rPr>
      </w:pPr>
      <w:bookmarkStart w:id="9" w:name="heading_9"/>
      <w:r>
        <w:rPr>
          <w:rFonts w:ascii="Arial" w:hAnsi="Arial" w:eastAsia="等线" w:cs="Arial"/>
          <w:b/>
          <w:sz w:val="32"/>
        </w:rPr>
        <w:t>三、设计要求</w:t>
      </w:r>
      <w:bookmarkEnd w:id="9"/>
    </w:p>
    <w:p w14:paraId="75E7B290">
      <w:pPr>
        <w:numPr>
          <w:ilvl w:val="0"/>
          <w:numId w:val="13"/>
        </w:numPr>
        <w:spacing w:before="120" w:after="120" w:line="288" w:lineRule="auto"/>
        <w:rPr>
          <w:rFonts w:hint="eastAsia"/>
        </w:rPr>
      </w:pPr>
      <w:r>
        <w:rPr>
          <w:rFonts w:ascii="Arial" w:hAnsi="Arial" w:eastAsia="等线" w:cs="Arial"/>
        </w:rPr>
        <w:t>特征构建需结合电商业务逻辑，说明各特征对客户分群的意义，如“热门品类占比反映客户消费偏好集中度”。</w:t>
      </w:r>
    </w:p>
    <w:p w14:paraId="54BA300D">
      <w:pPr>
        <w:numPr>
          <w:ilvl w:val="0"/>
          <w:numId w:val="14"/>
        </w:numPr>
        <w:spacing w:before="120" w:after="120" w:line="288" w:lineRule="auto"/>
        <w:rPr>
          <w:rFonts w:hint="eastAsia"/>
        </w:rPr>
      </w:pPr>
      <w:r>
        <w:rPr>
          <w:rFonts w:ascii="Arial" w:hAnsi="Arial" w:eastAsia="等线" w:cs="Arial"/>
        </w:rPr>
        <w:t>度量学习过程需记录算法迭代次数、收敛条件等参数，解释自定义距离度量的物理意义，如“LMNN优化后，消费频次与客单价相似的客户距离更近”。</w:t>
      </w:r>
    </w:p>
    <w:p w14:paraId="05D258BD">
      <w:pPr>
        <w:numPr>
          <w:ilvl w:val="0"/>
          <w:numId w:val="15"/>
        </w:numPr>
        <w:spacing w:before="120" w:after="120" w:line="288" w:lineRule="auto"/>
        <w:rPr>
          <w:rFonts w:hint="eastAsia"/>
        </w:rPr>
      </w:pPr>
      <w:r>
        <w:rPr>
          <w:rFonts w:ascii="Arial" w:hAnsi="Arial" w:eastAsia="等线" w:cs="Arial"/>
        </w:rPr>
        <w:t>聚类结果需通过二维散点图（采用PCA降维可视化）展示，对比不同距离度量下的聚类紧凑性和分离度，客户画像需量化描述（如“高价值群体平均月消费超500元，频次≥4次”）。</w:t>
      </w:r>
    </w:p>
    <w:p w14:paraId="71A3015B">
      <w:pPr>
        <w:numPr>
          <w:ilvl w:val="0"/>
          <w:numId w:val="16"/>
        </w:numPr>
        <w:spacing w:before="120" w:after="120" w:line="288" w:lineRule="auto"/>
        <w:rPr>
          <w:rFonts w:hint="eastAsia"/>
        </w:rPr>
      </w:pPr>
      <w:r>
        <w:rPr>
          <w:rFonts w:ascii="Arial" w:hAnsi="Arial" w:eastAsia="等线" w:cs="Arial"/>
        </w:rPr>
        <w:t>提交设计报告</w:t>
      </w:r>
      <w:r>
        <w:rPr>
          <w:rFonts w:hint="eastAsia" w:ascii="Arial" w:hAnsi="Arial" w:eastAsia="等线" w:cs="Arial"/>
        </w:rPr>
        <w:t>，</w:t>
      </w:r>
      <w:r>
        <w:rPr>
          <w:rFonts w:ascii="Arial" w:hAnsi="Arial" w:eastAsia="等线" w:cs="Arial"/>
          <w:color w:val="EE0000"/>
        </w:rPr>
        <w:t>代码、特征工程后的数据集、客户分群报告，代码需包含距离度量调用和聚类结果可视化模块。</w:t>
      </w:r>
      <w:r>
        <w:rPr>
          <w:rFonts w:hint="eastAsia" w:ascii="Arial" w:hAnsi="Arial" w:eastAsia="等线" w:cs="Arial"/>
          <w:color w:val="EE0000"/>
        </w:rPr>
        <w:t>（红色部分作为附录）</w:t>
      </w:r>
    </w:p>
    <w:p w14:paraId="1577F0D4">
      <w:pPr>
        <w:spacing w:before="320" w:after="120" w:line="288" w:lineRule="auto"/>
        <w:outlineLvl w:val="1"/>
        <w:rPr>
          <w:rFonts w:hint="eastAsia"/>
        </w:rPr>
      </w:pPr>
      <w:bookmarkStart w:id="10" w:name="heading_10"/>
      <w:r>
        <w:rPr>
          <w:rFonts w:ascii="Arial" w:hAnsi="Arial" w:eastAsia="等线" w:cs="Arial"/>
          <w:b/>
          <w:sz w:val="32"/>
        </w:rPr>
        <w:t>四、数据集说明</w:t>
      </w:r>
      <w:bookmarkEnd w:id="10"/>
    </w:p>
    <w:p w14:paraId="355EB6BB">
      <w:pPr>
        <w:spacing w:before="120" w:after="120" w:line="288" w:lineRule="auto"/>
        <w:rPr>
          <w:rFonts w:hint="eastAsia"/>
        </w:rPr>
      </w:pPr>
      <w:r>
        <w:rPr>
          <w:rFonts w:ascii="Arial" w:hAnsi="Arial" w:eastAsia="等线" w:cs="Arial"/>
        </w:rPr>
        <w:t>采用Online Retail II数据集，来源于UCI机器学习仓库（https://archive.ics.uci.edu/ml/datasets/Online+Retail+II），包含2010-2011年某英国电商的交易数据，需自行提取客户级特征（可参考RFM模型思路）。</w:t>
      </w:r>
    </w:p>
    <w:p w14:paraId="0D94E2E0">
      <w:pPr>
        <w:spacing w:before="380" w:after="140" w:line="288" w:lineRule="auto"/>
        <w:outlineLvl w:val="0"/>
        <w:rPr>
          <w:rFonts w:hint="eastAsia"/>
        </w:rPr>
      </w:pPr>
      <w:bookmarkStart w:id="11" w:name="heading_11"/>
      <w:r>
        <w:rPr>
          <w:rFonts w:ascii="Arial" w:hAnsi="Arial" w:eastAsia="等线" w:cs="Arial"/>
          <w:b/>
          <w:sz w:val="36"/>
        </w:rPr>
        <w:t>题目</w:t>
      </w:r>
      <w:r>
        <w:rPr>
          <w:rFonts w:hint="eastAsia" w:ascii="Arial" w:hAnsi="Arial" w:eastAsia="等线" w:cs="Arial"/>
          <w:b/>
          <w:sz w:val="36"/>
        </w:rPr>
        <w:t>3（</w:t>
      </w:r>
      <w:r>
        <w:rPr>
          <w:rFonts w:hint="eastAsia" w:ascii="Arial" w:hAnsi="Arial" w:eastAsia="等线" w:cs="Arial"/>
          <w:b/>
          <w:sz w:val="36"/>
          <w:lang w:val="en-US" w:eastAsia="zh-CN"/>
        </w:rPr>
        <w:t>基础</w:t>
      </w:r>
      <w:r>
        <w:rPr>
          <w:rFonts w:hint="eastAsia" w:ascii="Arial" w:hAnsi="Arial" w:eastAsia="等线" w:cs="Arial"/>
          <w:b/>
          <w:sz w:val="36"/>
        </w:rPr>
        <w:t>级）</w:t>
      </w:r>
      <w:r>
        <w:rPr>
          <w:rFonts w:ascii="Arial" w:hAnsi="Arial" w:eastAsia="等线" w:cs="Arial"/>
          <w:b/>
          <w:sz w:val="36"/>
        </w:rPr>
        <w:t>：基于的疾病诊断辅助系统设计</w:t>
      </w:r>
      <w:bookmarkEnd w:id="11"/>
    </w:p>
    <w:p w14:paraId="23D07508">
      <w:pPr>
        <w:spacing w:before="320" w:after="120" w:line="288" w:lineRule="auto"/>
        <w:outlineLvl w:val="1"/>
        <w:rPr>
          <w:rFonts w:hint="eastAsia"/>
        </w:rPr>
      </w:pPr>
      <w:bookmarkStart w:id="12" w:name="heading_12"/>
      <w:r>
        <w:rPr>
          <w:rFonts w:ascii="Arial" w:hAnsi="Arial" w:eastAsia="等线" w:cs="Arial"/>
          <w:b/>
          <w:sz w:val="32"/>
        </w:rPr>
        <w:t>一、设计背景和需求</w:t>
      </w:r>
      <w:bookmarkEnd w:id="12"/>
    </w:p>
    <w:p w14:paraId="0F267C97">
      <w:pPr>
        <w:spacing w:before="120" w:after="120" w:line="288" w:lineRule="auto"/>
        <w:rPr>
          <w:rFonts w:hint="eastAsia"/>
        </w:rPr>
      </w:pPr>
      <w:r>
        <w:rPr>
          <w:rFonts w:ascii="Arial" w:hAnsi="Arial" w:eastAsia="等线" w:cs="Arial"/>
        </w:rPr>
        <w:t>疾病诊断过程中，症状与疾病间存在复杂的因果关系，且医疗数据常存在缺失和不确定性。贝叶斯网络可通过概率图模型刻画变量间的因果关系，处理不确定性问题，为医生提供诊断辅助。本设计需基于疾病症状数据集构建贝叶斯网络，实现疾病的概率诊断，提升诊断的科学性和准确性。</w:t>
      </w:r>
    </w:p>
    <w:p w14:paraId="528667AC">
      <w:pPr>
        <w:spacing w:before="320" w:after="120" w:line="288" w:lineRule="auto"/>
        <w:outlineLvl w:val="1"/>
        <w:rPr>
          <w:rFonts w:hint="eastAsia"/>
        </w:rPr>
      </w:pPr>
      <w:bookmarkStart w:id="13" w:name="heading_13"/>
      <w:r>
        <w:rPr>
          <w:rFonts w:ascii="Arial" w:hAnsi="Arial" w:eastAsia="等线" w:cs="Arial"/>
          <w:b/>
          <w:sz w:val="32"/>
        </w:rPr>
        <w:t>二、设计任务</w:t>
      </w:r>
      <w:bookmarkEnd w:id="13"/>
    </w:p>
    <w:p w14:paraId="094421E1">
      <w:pPr>
        <w:numPr>
          <w:ilvl w:val="0"/>
          <w:numId w:val="17"/>
        </w:numPr>
        <w:spacing w:before="120" w:after="120" w:line="288" w:lineRule="auto"/>
        <w:rPr>
          <w:rFonts w:hint="eastAsia"/>
        </w:rPr>
      </w:pPr>
      <w:r>
        <w:rPr>
          <w:rFonts w:ascii="Arial" w:hAnsi="Arial" w:eastAsia="等线" w:cs="Arial"/>
        </w:rPr>
        <w:t>数据集获取与预处理：获取Heart Disease数据集（含年龄、性别、胸痛类型、血压、胆固醇、心电图结果等13个症状特征，标签为是否患心脏病及患病类型），处理缺失值（如采用均值填充数值型特征，众数填充分类特征），将分类特征转换为离散值（如胸痛类型分为0-3类），划分训练集（70%）和测试集（30%）。</w:t>
      </w:r>
    </w:p>
    <w:p w14:paraId="15D479E6">
      <w:pPr>
        <w:numPr>
          <w:ilvl w:val="0"/>
          <w:numId w:val="18"/>
        </w:numPr>
        <w:spacing w:before="120" w:after="120" w:line="288" w:lineRule="auto"/>
        <w:rPr>
          <w:rFonts w:hint="eastAsia"/>
        </w:rPr>
      </w:pPr>
      <w:r>
        <w:rPr>
          <w:rFonts w:ascii="Arial" w:hAnsi="Arial" w:eastAsia="等线" w:cs="Arial"/>
        </w:rPr>
        <w:t>贝叶斯网络结构学习与参数学习：分别采用评分搜索（如BIC评分）、约束学习（如PC算法）、混合学习三种方法构建贝叶斯网络结构，确定症状与疾病间的因果关系（如“胸痛类型→心脏病”“胆固醇→心脏病”）。基于训练集采用极大似然估计和贝叶斯估计两种方法学习网络参数（条件概率表）。</w:t>
      </w:r>
    </w:p>
    <w:p w14:paraId="13553922">
      <w:pPr>
        <w:numPr>
          <w:ilvl w:val="0"/>
          <w:numId w:val="19"/>
        </w:numPr>
        <w:spacing w:before="120" w:after="120" w:line="288" w:lineRule="auto"/>
        <w:rPr>
          <w:rFonts w:hint="eastAsia"/>
        </w:rPr>
      </w:pPr>
      <w:r>
        <w:rPr>
          <w:rFonts w:ascii="Arial" w:hAnsi="Arial" w:eastAsia="等线" w:cs="Arial"/>
        </w:rPr>
        <w:t>诊断模型构建与对比：基于不同结构和参数的贝叶斯网络，构建疾病诊断模型，计算测试集中每个样本的患病概率。同时构建逻辑回归、SVM、决策树</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w:t>
      </w:r>
      <w:r>
        <w:rPr>
          <w:rFonts w:ascii="Arial" w:hAnsi="Arial" w:eastAsia="等线" w:cs="Arial"/>
        </w:rPr>
        <w:t>传统分类模型作为对比，计算各模型的准确率、精确率、召回率、F1值。</w:t>
      </w:r>
    </w:p>
    <w:p w14:paraId="477D9941">
      <w:pPr>
        <w:numPr>
          <w:ilvl w:val="0"/>
          <w:numId w:val="20"/>
        </w:numPr>
        <w:spacing w:before="120" w:after="120" w:line="288" w:lineRule="auto"/>
        <w:rPr>
          <w:rFonts w:hint="eastAsia"/>
        </w:rPr>
      </w:pPr>
      <w:r>
        <w:rPr>
          <w:rFonts w:ascii="Arial" w:hAnsi="Arial" w:eastAsia="等线" w:cs="Arial"/>
        </w:rPr>
        <w:t>不确定性分析：模拟缺失1-3个关键症状特征的场景，测试贝叶斯网络和传统模型的诊断准确率变化，分析贝叶斯网络处理缺失数据的优势，绘制不同缺失率下的准确率对比曲线。</w:t>
      </w:r>
    </w:p>
    <w:p w14:paraId="386D2C87">
      <w:pPr>
        <w:spacing w:before="320" w:after="120" w:line="288" w:lineRule="auto"/>
        <w:outlineLvl w:val="1"/>
        <w:rPr>
          <w:rFonts w:hint="eastAsia"/>
        </w:rPr>
      </w:pPr>
      <w:bookmarkStart w:id="14" w:name="heading_14"/>
      <w:r>
        <w:rPr>
          <w:rFonts w:ascii="Arial" w:hAnsi="Arial" w:eastAsia="等线" w:cs="Arial"/>
          <w:b/>
          <w:sz w:val="32"/>
        </w:rPr>
        <w:t>三、设计要求</w:t>
      </w:r>
      <w:bookmarkEnd w:id="14"/>
    </w:p>
    <w:p w14:paraId="4F520FAF">
      <w:pPr>
        <w:numPr>
          <w:ilvl w:val="0"/>
          <w:numId w:val="21"/>
        </w:numPr>
        <w:spacing w:before="120" w:after="120" w:line="288" w:lineRule="auto"/>
        <w:rPr>
          <w:rFonts w:hint="eastAsia"/>
        </w:rPr>
      </w:pPr>
      <w:r>
        <w:rPr>
          <w:rFonts w:ascii="Arial" w:hAnsi="Arial" w:eastAsia="等线" w:cs="Arial"/>
        </w:rPr>
        <w:t>贝叶斯网络结构需通过有向无环图（DAG）可视化展示，标注关键因果关系及对应的条件概率，如“当胸痛类型为1时，患心脏病的概率为65%”。</w:t>
      </w:r>
    </w:p>
    <w:p w14:paraId="1A3081D8">
      <w:pPr>
        <w:numPr>
          <w:ilvl w:val="0"/>
          <w:numId w:val="22"/>
        </w:numPr>
        <w:spacing w:before="120" w:after="120" w:line="288" w:lineRule="auto"/>
        <w:rPr>
          <w:rFonts w:hint="eastAsia"/>
        </w:rPr>
      </w:pPr>
      <w:r>
        <w:rPr>
          <w:rFonts w:ascii="Arial" w:hAnsi="Arial" w:eastAsia="等线" w:cs="Arial"/>
        </w:rPr>
        <w:t>结构学习需对比不同方法的计算复杂度和结构合理性（结合医学常识判断，如“年龄应作为心脏病的前置因素，而非结果”），参数学习需说明估计方法的选择理由。</w:t>
      </w:r>
    </w:p>
    <w:p w14:paraId="51F20A11">
      <w:pPr>
        <w:numPr>
          <w:ilvl w:val="0"/>
          <w:numId w:val="23"/>
        </w:numPr>
        <w:spacing w:before="120" w:after="120" w:line="288" w:lineRule="auto"/>
        <w:rPr>
          <w:rFonts w:hint="eastAsia"/>
        </w:rPr>
      </w:pPr>
      <w:r>
        <w:rPr>
          <w:rFonts w:ascii="Arial" w:hAnsi="Arial" w:eastAsia="等线" w:cs="Arial"/>
        </w:rPr>
        <w:t>缺失数据测试需选择关键症状（如胸痛类型、胆固醇），分析贝叶斯网络通过因果推理弥补缺失信息的机制，对比结果需结合医疗场景解释，如“临床中部分患者无法提供完整症状，贝叶斯网络更适用”。</w:t>
      </w:r>
    </w:p>
    <w:p w14:paraId="3EA7D772">
      <w:pPr>
        <w:pStyle w:val="4"/>
        <w:numPr>
          <w:ilvl w:val="0"/>
          <w:numId w:val="23"/>
        </w:numPr>
        <w:spacing w:before="120" w:after="120" w:line="288" w:lineRule="auto"/>
        <w:ind w:firstLine="0" w:firstLineChars="0"/>
        <w:rPr>
          <w:rFonts w:hint="eastAsia"/>
        </w:rPr>
      </w:pPr>
      <w:r>
        <w:rPr>
          <w:rFonts w:ascii="Arial" w:hAnsi="Arial" w:eastAsia="等线" w:cs="Arial"/>
        </w:rPr>
        <w:t>提交设计报告</w:t>
      </w:r>
      <w:r>
        <w:rPr>
          <w:rFonts w:hint="eastAsia" w:ascii="Arial" w:hAnsi="Arial" w:eastAsia="等线" w:cs="Arial"/>
        </w:rPr>
        <w:t>，</w:t>
      </w:r>
      <w:r>
        <w:rPr>
          <w:rFonts w:ascii="Arial" w:hAnsi="Arial" w:eastAsia="等线" w:cs="Arial"/>
          <w:color w:val="EE0000"/>
        </w:rPr>
        <w:t>代码、预处理后数据集、贝叶斯网络结构可视化图，代码需包含网络结构学习、参数估计和概率推理的完整流程。</w:t>
      </w:r>
      <w:r>
        <w:rPr>
          <w:rFonts w:hint="eastAsia" w:ascii="Arial" w:hAnsi="Arial" w:eastAsia="等线" w:cs="Arial"/>
          <w:color w:val="EE0000"/>
        </w:rPr>
        <w:t>（红色部分作为附录）</w:t>
      </w:r>
    </w:p>
    <w:p w14:paraId="4D791CC5">
      <w:pPr>
        <w:spacing w:before="120" w:after="120" w:line="288" w:lineRule="auto"/>
        <w:rPr>
          <w:rFonts w:hint="eastAsia"/>
        </w:rPr>
      </w:pPr>
    </w:p>
    <w:p w14:paraId="3A518F4D">
      <w:pPr>
        <w:spacing w:before="320" w:after="120" w:line="288" w:lineRule="auto"/>
        <w:outlineLvl w:val="1"/>
        <w:rPr>
          <w:rFonts w:hint="eastAsia"/>
        </w:rPr>
      </w:pPr>
      <w:bookmarkStart w:id="15" w:name="heading_15"/>
      <w:r>
        <w:rPr>
          <w:rFonts w:ascii="Arial" w:hAnsi="Arial" w:eastAsia="等线" w:cs="Arial"/>
          <w:b/>
          <w:sz w:val="32"/>
        </w:rPr>
        <w:t>四、数据集说明</w:t>
      </w:r>
      <w:bookmarkEnd w:id="15"/>
    </w:p>
    <w:p w14:paraId="65F35FBA">
      <w:pPr>
        <w:spacing w:before="120" w:after="120" w:line="288" w:lineRule="auto"/>
        <w:rPr>
          <w:rFonts w:hint="eastAsia"/>
        </w:rPr>
      </w:pPr>
      <w:r>
        <w:rPr>
          <w:rFonts w:ascii="Arial" w:hAnsi="Arial" w:eastAsia="等线" w:cs="Arial"/>
        </w:rPr>
        <w:t>采用Heart Disease数据集，来源于UCI机器学习仓库（https://archive.ics.uci.edu/ml/datasets/Heart+Disease），包含303个样本，13个特征，标签为多分类（0=无病，1-4=不同患病类型），可简化为二分类任务（0=无病，1=患病）。</w:t>
      </w:r>
    </w:p>
    <w:p w14:paraId="44AC4BD8">
      <w:pPr>
        <w:spacing w:before="380" w:after="140" w:line="288" w:lineRule="auto"/>
        <w:outlineLvl w:val="0"/>
        <w:rPr>
          <w:rFonts w:hint="eastAsia"/>
        </w:rPr>
      </w:pPr>
      <w:bookmarkStart w:id="16" w:name="heading_16"/>
      <w:r>
        <w:rPr>
          <w:rFonts w:ascii="Arial" w:hAnsi="Arial" w:eastAsia="等线" w:cs="Arial"/>
          <w:b/>
          <w:sz w:val="36"/>
        </w:rPr>
        <w:t>题目</w:t>
      </w:r>
      <w:r>
        <w:rPr>
          <w:rFonts w:hint="eastAsia" w:ascii="Arial" w:hAnsi="Arial" w:eastAsia="等线" w:cs="Arial"/>
          <w:b/>
          <w:sz w:val="36"/>
        </w:rPr>
        <w:t>4（基础级）</w:t>
      </w:r>
      <w:r>
        <w:rPr>
          <w:rFonts w:ascii="Arial" w:hAnsi="Arial" w:eastAsia="等线" w:cs="Arial"/>
          <w:b/>
          <w:sz w:val="36"/>
        </w:rPr>
        <w:t>：基于回归与降维的房价预测系统设计</w:t>
      </w:r>
      <w:bookmarkEnd w:id="16"/>
    </w:p>
    <w:p w14:paraId="20E67F2D">
      <w:pPr>
        <w:spacing w:before="320" w:after="120" w:line="288" w:lineRule="auto"/>
        <w:outlineLvl w:val="1"/>
        <w:rPr>
          <w:rFonts w:hint="eastAsia"/>
        </w:rPr>
      </w:pPr>
      <w:bookmarkStart w:id="17" w:name="heading_17"/>
      <w:r>
        <w:rPr>
          <w:rFonts w:ascii="Arial" w:hAnsi="Arial" w:eastAsia="等线" w:cs="Arial"/>
          <w:b/>
          <w:sz w:val="32"/>
        </w:rPr>
        <w:t>一、设计背景和需求</w:t>
      </w:r>
      <w:bookmarkEnd w:id="17"/>
    </w:p>
    <w:p w14:paraId="45A9B5CB">
      <w:pPr>
        <w:spacing w:before="120" w:after="120" w:line="288" w:lineRule="auto"/>
        <w:rPr>
          <w:rFonts w:hint="eastAsia"/>
        </w:rPr>
      </w:pPr>
      <w:r>
        <w:rPr>
          <w:rFonts w:ascii="Arial" w:hAnsi="Arial" w:eastAsia="等线" w:cs="Arial"/>
        </w:rPr>
        <w:t>房价受地理位置、房屋属性、市场环境等多因素影响，特征间存在多重共线性（如房屋面积与卧室数量），易导致回归模型过拟合和系数解释性差。本设计需通过降维技术消除多重共线性，结合回归算法构建房价预测模型，提升预测精度并明确各因素对房价的影响权重，为房地产估值提供参考。</w:t>
      </w:r>
    </w:p>
    <w:p w14:paraId="1AAFFB6C">
      <w:pPr>
        <w:spacing w:before="320" w:after="120" w:line="288" w:lineRule="auto"/>
        <w:outlineLvl w:val="1"/>
        <w:rPr>
          <w:rFonts w:hint="eastAsia"/>
        </w:rPr>
      </w:pPr>
      <w:bookmarkStart w:id="18" w:name="heading_18"/>
      <w:r>
        <w:rPr>
          <w:rFonts w:ascii="Arial" w:hAnsi="Arial" w:eastAsia="等线" w:cs="Arial"/>
          <w:b/>
          <w:sz w:val="32"/>
        </w:rPr>
        <w:t>二、设计任务</w:t>
      </w:r>
      <w:bookmarkEnd w:id="18"/>
    </w:p>
    <w:p w14:paraId="6C4D2D6E">
      <w:pPr>
        <w:numPr>
          <w:ilvl w:val="0"/>
          <w:numId w:val="24"/>
        </w:numPr>
        <w:spacing w:before="120" w:after="120" w:line="288" w:lineRule="auto"/>
        <w:rPr>
          <w:rFonts w:hint="eastAsia"/>
        </w:rPr>
      </w:pPr>
      <w:r>
        <w:rPr>
          <w:rFonts w:ascii="Arial" w:hAnsi="Arial" w:eastAsia="等线" w:cs="Arial"/>
        </w:rPr>
        <w:t>数据集获取与预处理：获取Boston Housing或California Housing数据集，以California Housing为例（含人口、家庭数、 median收入、房屋年龄、房间数等特征，标签为median房价），处理异常值（如使用3σ准则删除房价极端值），对数值特征进行标准化，分析特征间的Pearson相关系数，识别多重共线性特征（相关系数绝对值≥0.7）。</w:t>
      </w:r>
    </w:p>
    <w:p w14:paraId="67D4D4F0">
      <w:pPr>
        <w:numPr>
          <w:ilvl w:val="0"/>
          <w:numId w:val="25"/>
        </w:numPr>
        <w:spacing w:before="120" w:after="120" w:line="288" w:lineRule="auto"/>
        <w:rPr>
          <w:rFonts w:hint="eastAsia"/>
        </w:rPr>
      </w:pPr>
      <w:r>
        <w:rPr>
          <w:rFonts w:ascii="Arial" w:hAnsi="Arial" w:eastAsia="等线" w:cs="Arial"/>
        </w:rPr>
        <w:t>降维与特征选择：分别采用PCA（降维）、Lasso（特征选择，保留关键特征）、因子分析（提取公共因子）</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w:t>
      </w:r>
      <w:r>
        <w:rPr>
          <w:rFonts w:ascii="Arial" w:hAnsi="Arial" w:eastAsia="等线" w:cs="Arial"/>
        </w:rPr>
        <w:t>方法处理特征，PCA和因子分析保留累计方差贡献率≥85%的维度/因子，Lasso通过交叉验证确定正则化参数α。</w:t>
      </w:r>
    </w:p>
    <w:p w14:paraId="6AF9DE51">
      <w:pPr>
        <w:numPr>
          <w:ilvl w:val="0"/>
          <w:numId w:val="26"/>
        </w:numPr>
        <w:spacing w:before="120" w:after="120" w:line="288" w:lineRule="auto"/>
        <w:rPr>
          <w:rFonts w:hint="eastAsia"/>
        </w:rPr>
      </w:pPr>
      <w:r>
        <w:rPr>
          <w:rFonts w:ascii="Arial" w:hAnsi="Arial" w:eastAsia="等线" w:cs="Arial"/>
        </w:rPr>
        <w:t>回归模型构建与训练：基于原始特征和处理后的特征，分别构建线性回归、 ridge回归、随机森林回归</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三种模型</w:t>
      </w:r>
      <w:r>
        <w:rPr>
          <w:rFonts w:ascii="Arial" w:hAnsi="Arial" w:eastAsia="等线" w:cs="Arial"/>
        </w:rPr>
        <w:t>，划分训练集（70%）、验证集（15%）、测试集（15%），使用验证集优化超参数（如ridge的α值、随机森林的树深度）。</w:t>
      </w:r>
    </w:p>
    <w:p w14:paraId="0ED2AF2F">
      <w:pPr>
        <w:numPr>
          <w:ilvl w:val="0"/>
          <w:numId w:val="27"/>
        </w:numPr>
        <w:spacing w:before="120" w:after="120" w:line="288" w:lineRule="auto"/>
        <w:rPr>
          <w:rFonts w:hint="eastAsia"/>
        </w:rPr>
      </w:pPr>
      <w:r>
        <w:rPr>
          <w:rFonts w:ascii="Arial" w:hAnsi="Arial" w:eastAsia="等线" w:cs="Arial"/>
        </w:rPr>
        <w:t>模型评估与解释：计算各模型的MAE、MSE、RMSE、R²，绘制预测值与真实值的对比散点图和残差分布图，分析降维/特征选择对模型精度和过拟合的影响。对线性模型计算特征系数，解释各因素对房价的影响（如“median收入每增加1单位，房价平均增加XX元”）。</w:t>
      </w:r>
    </w:p>
    <w:p w14:paraId="439744F6">
      <w:pPr>
        <w:spacing w:before="320" w:after="120" w:line="288" w:lineRule="auto"/>
        <w:outlineLvl w:val="1"/>
        <w:rPr>
          <w:rFonts w:hint="eastAsia"/>
        </w:rPr>
      </w:pPr>
      <w:bookmarkStart w:id="19" w:name="heading_19"/>
      <w:r>
        <w:rPr>
          <w:rFonts w:ascii="Arial" w:hAnsi="Arial" w:eastAsia="等线" w:cs="Arial"/>
          <w:b/>
          <w:sz w:val="32"/>
        </w:rPr>
        <w:t>三、设计要求</w:t>
      </w:r>
      <w:bookmarkEnd w:id="19"/>
    </w:p>
    <w:p w14:paraId="1D3D75A0">
      <w:pPr>
        <w:numPr>
          <w:ilvl w:val="0"/>
          <w:numId w:val="28"/>
        </w:numPr>
        <w:spacing w:before="120" w:after="120" w:line="288" w:lineRule="auto"/>
        <w:rPr>
          <w:rFonts w:hint="eastAsia"/>
        </w:rPr>
      </w:pPr>
      <w:r>
        <w:rPr>
          <w:rFonts w:ascii="Arial" w:hAnsi="Arial" w:eastAsia="等线" w:cs="Arial"/>
        </w:rPr>
        <w:t>多重共线性分析需绘制相关性热力图，明确标注高相关特征对，如“房间数与人口数相关系数0.82，存在强共线性”。</w:t>
      </w:r>
    </w:p>
    <w:p w14:paraId="59D62FF3">
      <w:pPr>
        <w:numPr>
          <w:ilvl w:val="0"/>
          <w:numId w:val="29"/>
        </w:numPr>
        <w:spacing w:before="120" w:after="120" w:line="288" w:lineRule="auto"/>
        <w:rPr>
          <w:rFonts w:hint="eastAsia"/>
        </w:rPr>
      </w:pPr>
      <w:r>
        <w:rPr>
          <w:rFonts w:ascii="Arial" w:hAnsi="Arial" w:eastAsia="等线" w:cs="Arial"/>
        </w:rPr>
        <w:t>降维与特征选择过程需记录关键指标，如PCA的主成分方差贡献率、Lasso筛选后的特征数量及名称，解释公共因子的含义（如因子1可解释为“居住密度因子”，包含人口和家庭数特征）。</w:t>
      </w:r>
    </w:p>
    <w:p w14:paraId="08FA594B">
      <w:pPr>
        <w:numPr>
          <w:ilvl w:val="0"/>
          <w:numId w:val="30"/>
        </w:numPr>
        <w:spacing w:before="120" w:after="120" w:line="288" w:lineRule="auto"/>
        <w:rPr>
          <w:rFonts w:hint="eastAsia"/>
        </w:rPr>
      </w:pPr>
      <w:r>
        <w:rPr>
          <w:rFonts w:ascii="Arial" w:hAnsi="Arial" w:eastAsia="等线" w:cs="Arial"/>
        </w:rPr>
        <w:t>模型对比需区分线性模型和非线性模型的性能差异，分析残差分布是否符合正态分布（判断模型假设合理性），特征解释需结合房地产常识，确保结论可信。</w:t>
      </w:r>
    </w:p>
    <w:p w14:paraId="074047D3">
      <w:pPr>
        <w:numPr>
          <w:ilvl w:val="0"/>
          <w:numId w:val="31"/>
        </w:numPr>
        <w:spacing w:before="120" w:after="120" w:line="288" w:lineRule="auto"/>
        <w:rPr>
          <w:rFonts w:hint="eastAsia"/>
        </w:rPr>
      </w:pPr>
      <w:r>
        <w:rPr>
          <w:rFonts w:ascii="Arial" w:hAnsi="Arial" w:eastAsia="等线" w:cs="Arial"/>
        </w:rPr>
        <w:t>提交设计报告</w:t>
      </w:r>
      <w:r>
        <w:rPr>
          <w:rFonts w:hint="eastAsia" w:ascii="Arial" w:hAnsi="Arial" w:eastAsia="等线" w:cs="Arial"/>
        </w:rPr>
        <w:t>，</w:t>
      </w:r>
      <w:r>
        <w:rPr>
          <w:rFonts w:ascii="Arial" w:hAnsi="Arial" w:eastAsia="等线" w:cs="Arial"/>
          <w:color w:val="EE0000"/>
        </w:rPr>
        <w:t>代码、处理后的特征数据集、模型预测结果表</w:t>
      </w:r>
      <w:bookmarkStart w:id="51" w:name="_GoBack"/>
      <w:bookmarkEnd w:id="51"/>
      <w:r>
        <w:rPr>
          <w:rFonts w:ascii="Arial" w:hAnsi="Arial" w:eastAsia="等线" w:cs="Arial"/>
          <w:color w:val="EE0000"/>
        </w:rPr>
        <w:t>，代码需包含共线性分析和残差可视化模块。</w:t>
      </w:r>
      <w:r>
        <w:rPr>
          <w:rFonts w:hint="eastAsia" w:ascii="Arial" w:hAnsi="Arial" w:eastAsia="等线" w:cs="Arial"/>
          <w:color w:val="EE0000"/>
        </w:rPr>
        <w:t>（红色部分作为附录）</w:t>
      </w:r>
    </w:p>
    <w:p w14:paraId="48101842">
      <w:pPr>
        <w:spacing w:before="320" w:after="120" w:line="288" w:lineRule="auto"/>
        <w:outlineLvl w:val="1"/>
        <w:rPr>
          <w:rFonts w:hint="eastAsia"/>
        </w:rPr>
      </w:pPr>
      <w:bookmarkStart w:id="20" w:name="heading_20"/>
      <w:r>
        <w:rPr>
          <w:rFonts w:ascii="Arial" w:hAnsi="Arial" w:eastAsia="等线" w:cs="Arial"/>
          <w:b/>
          <w:sz w:val="32"/>
        </w:rPr>
        <w:t>四、数据集说明</w:t>
      </w:r>
      <w:bookmarkEnd w:id="20"/>
    </w:p>
    <w:p w14:paraId="2C7F7511">
      <w:pPr>
        <w:spacing w:before="120" w:after="120" w:line="288" w:lineRule="auto"/>
        <w:rPr>
          <w:rFonts w:hint="eastAsia"/>
        </w:rPr>
      </w:pPr>
      <w:r>
        <w:rPr>
          <w:rFonts w:ascii="Arial" w:hAnsi="Arial" w:eastAsia="等线" w:cs="Arial"/>
        </w:rPr>
        <w:t>推荐采用California Housing数据集，可通过Scikit-learn的</w:t>
      </w:r>
      <w:r>
        <w:rPr>
          <w:rFonts w:ascii="Consolas" w:hAnsi="Consolas" w:eastAsia="Consolas" w:cs="Consolas"/>
          <w:shd w:val="clear" w:color="auto" w:fill="EFF0F1"/>
        </w:rPr>
        <w:t>sklearn.datasets.fetch_california_housing()</w:t>
      </w:r>
      <w:r>
        <w:rPr>
          <w:rFonts w:ascii="Arial" w:hAnsi="Arial" w:eastAsia="等线" w:cs="Arial"/>
        </w:rPr>
        <w:t>直接获取，包含20640个样本，8个特征，数据量充足且多重共线性明显，适合降维实验；也可采用Boston Housing数据集（经典老数据集，含506个样本），需注意部分特征存在种族相关争议，使用时可删除相关特征。</w:t>
      </w:r>
    </w:p>
    <w:p w14:paraId="30BAE5E4">
      <w:pPr>
        <w:spacing w:before="380" w:after="140" w:line="288" w:lineRule="auto"/>
        <w:outlineLvl w:val="0"/>
        <w:rPr>
          <w:rFonts w:hint="eastAsia"/>
        </w:rPr>
      </w:pPr>
      <w:bookmarkStart w:id="21" w:name="heading_21"/>
      <w:r>
        <w:rPr>
          <w:rFonts w:ascii="Arial" w:hAnsi="Arial" w:eastAsia="等线" w:cs="Arial"/>
          <w:b/>
          <w:sz w:val="36"/>
        </w:rPr>
        <w:t>题目</w:t>
      </w:r>
      <w:r>
        <w:rPr>
          <w:rFonts w:hint="eastAsia" w:ascii="Arial" w:hAnsi="Arial" w:eastAsia="等线" w:cs="Arial"/>
          <w:b/>
          <w:sz w:val="36"/>
        </w:rPr>
        <w:t>5（进阶级）</w:t>
      </w:r>
      <w:r>
        <w:rPr>
          <w:rFonts w:ascii="Arial" w:hAnsi="Arial" w:eastAsia="等线" w:cs="Arial"/>
          <w:b/>
          <w:sz w:val="36"/>
        </w:rPr>
        <w:t>：基于隐马尔科夫模型的词性标注系统设计</w:t>
      </w:r>
      <w:bookmarkEnd w:id="21"/>
    </w:p>
    <w:p w14:paraId="0D123811">
      <w:pPr>
        <w:spacing w:before="320" w:after="120" w:line="288" w:lineRule="auto"/>
        <w:outlineLvl w:val="1"/>
        <w:rPr>
          <w:rFonts w:hint="eastAsia"/>
        </w:rPr>
      </w:pPr>
      <w:bookmarkStart w:id="22" w:name="heading_22"/>
      <w:r>
        <w:rPr>
          <w:rFonts w:ascii="Arial" w:hAnsi="Arial" w:eastAsia="等线" w:cs="Arial"/>
          <w:b/>
          <w:sz w:val="32"/>
        </w:rPr>
        <w:t>一、设计背景和需求</w:t>
      </w:r>
      <w:bookmarkEnd w:id="22"/>
    </w:p>
    <w:p w14:paraId="0EFDAEA8">
      <w:pPr>
        <w:spacing w:before="120" w:after="120" w:line="288" w:lineRule="auto"/>
        <w:rPr>
          <w:rFonts w:hint="eastAsia"/>
        </w:rPr>
      </w:pPr>
      <w:r>
        <w:rPr>
          <w:rFonts w:ascii="Arial" w:hAnsi="Arial" w:eastAsia="等线" w:cs="Arial"/>
        </w:rPr>
        <w:t>词性标注是自然语言处理的基础任务，用于给文本中的每个词语标注词性（如名词、动词、形容词），为句法分析、机器翻译等上层任务提供支撑。文本序列中词性存在上下文依赖关系（如“副词+动词”为常见搭配），隐马尔科夫模型（HMM）可通过状态转移刻画序列依赖，实现词性的高效标注。本设计需构建HMM词性标注系统，对比传统统计方法的标注效果。</w:t>
      </w:r>
    </w:p>
    <w:p w14:paraId="35222BA3">
      <w:pPr>
        <w:spacing w:before="320" w:after="120" w:line="288" w:lineRule="auto"/>
        <w:outlineLvl w:val="1"/>
        <w:rPr>
          <w:rFonts w:hint="eastAsia"/>
        </w:rPr>
      </w:pPr>
      <w:bookmarkStart w:id="23" w:name="heading_23"/>
      <w:r>
        <w:rPr>
          <w:rFonts w:ascii="Arial" w:hAnsi="Arial" w:eastAsia="等线" w:cs="Arial"/>
          <w:b/>
          <w:sz w:val="32"/>
        </w:rPr>
        <w:t>二、设计任务</w:t>
      </w:r>
      <w:bookmarkEnd w:id="23"/>
    </w:p>
    <w:p w14:paraId="7AF0E66D">
      <w:pPr>
        <w:numPr>
          <w:ilvl w:val="0"/>
          <w:numId w:val="32"/>
        </w:numPr>
        <w:spacing w:before="120" w:after="120" w:line="288" w:lineRule="auto"/>
        <w:rPr>
          <w:rFonts w:hint="eastAsia"/>
        </w:rPr>
      </w:pPr>
      <w:r>
        <w:rPr>
          <w:rFonts w:ascii="Arial" w:hAnsi="Arial" w:eastAsia="等线" w:cs="Arial"/>
        </w:rPr>
        <w:t>数据集获取与预处理：获取Penn Treebank或CTB（中文树库）数据集，以英文为例采用Penn Treebank的WSJ子集，包含已标注词性的句子。对数据进行清洗（删除特殊符号、数字），构建词表和词性表，将词语和词性映射为整数ID。划分训练集（80%）、开发集（10%）、测试集（10%）。</w:t>
      </w:r>
    </w:p>
    <w:p w14:paraId="06C4D81D">
      <w:pPr>
        <w:numPr>
          <w:ilvl w:val="0"/>
          <w:numId w:val="33"/>
        </w:numPr>
        <w:spacing w:before="120" w:after="120" w:line="288" w:lineRule="auto"/>
        <w:rPr>
          <w:rFonts w:hint="eastAsia"/>
        </w:rPr>
      </w:pPr>
      <w:r>
        <w:rPr>
          <w:rFonts w:ascii="Arial" w:hAnsi="Arial" w:eastAsia="等线" w:cs="Arial"/>
        </w:rPr>
        <w:t>HMM模型构建与参数学习：基于训练集，采用极大似然估计学习HMM的三大参数：初始状态概率（各词性作为句首的概率）、状态转移概率（词性A转移到词性B的概率）、观测概率（词性A对应词语B的概率）。为解决数据稀疏问题，采用加1平滑处理观测概率。</w:t>
      </w:r>
    </w:p>
    <w:p w14:paraId="48A39565">
      <w:pPr>
        <w:numPr>
          <w:ilvl w:val="0"/>
          <w:numId w:val="34"/>
        </w:numPr>
        <w:spacing w:before="120" w:after="120" w:line="288" w:lineRule="auto"/>
        <w:rPr>
          <w:rFonts w:hint="eastAsia"/>
        </w:rPr>
      </w:pPr>
      <w:r>
        <w:rPr>
          <w:rFonts w:ascii="Arial" w:hAnsi="Arial" w:eastAsia="等线" w:cs="Arial"/>
        </w:rPr>
        <w:t>标注算法实现与优化：分别实现Viterbi算法（动态规划求解最优词性序列）和前向-后向算法（计算序列概率），在开发集上测试标注准确率，优化平滑参数（如调整加1平滑的权重）。</w:t>
      </w:r>
    </w:p>
    <w:p w14:paraId="46A71AC2">
      <w:pPr>
        <w:numPr>
          <w:ilvl w:val="0"/>
          <w:numId w:val="35"/>
        </w:numPr>
        <w:spacing w:before="120" w:after="120" w:line="288" w:lineRule="auto"/>
        <w:rPr>
          <w:rFonts w:hint="eastAsia"/>
        </w:rPr>
      </w:pPr>
      <w:r>
        <w:rPr>
          <w:rFonts w:ascii="Arial" w:hAnsi="Arial" w:eastAsia="等线" w:cs="Arial"/>
        </w:rPr>
        <w:t>模型对比与分析：构建朴素贝叶斯（忽略上下文依赖）、最大熵模型（考虑局部特征）两种对比模型，在测试集上计算各模型的词性标注准确率（整体准确率和关键词性如动词、名词的准确率），分析HMM在处理序列依赖上的优势。针对歧义句（如“打”可作动词或量词），统计各模型的标注正确率。</w:t>
      </w:r>
    </w:p>
    <w:p w14:paraId="13BA60DE">
      <w:pPr>
        <w:spacing w:before="320" w:after="120" w:line="288" w:lineRule="auto"/>
        <w:outlineLvl w:val="1"/>
        <w:rPr>
          <w:rFonts w:hint="eastAsia"/>
        </w:rPr>
      </w:pPr>
      <w:bookmarkStart w:id="24" w:name="heading_24"/>
      <w:r>
        <w:rPr>
          <w:rFonts w:ascii="Arial" w:hAnsi="Arial" w:eastAsia="等线" w:cs="Arial"/>
          <w:b/>
          <w:sz w:val="32"/>
        </w:rPr>
        <w:t>三、设计要求</w:t>
      </w:r>
      <w:bookmarkEnd w:id="24"/>
    </w:p>
    <w:p w14:paraId="7022D6B3">
      <w:pPr>
        <w:numPr>
          <w:ilvl w:val="0"/>
          <w:numId w:val="36"/>
        </w:numPr>
        <w:spacing w:before="120" w:after="120" w:line="288" w:lineRule="auto"/>
        <w:rPr>
          <w:rFonts w:hint="eastAsia"/>
        </w:rPr>
      </w:pPr>
      <w:r>
        <w:rPr>
          <w:rFonts w:ascii="Arial" w:hAnsi="Arial" w:eastAsia="等线" w:cs="Arial"/>
        </w:rPr>
        <w:t>数据预处理需记录词表大小、词性种类数量（如Penn Treebank含36种常见词性），对低频词（出现次数≤5）进行替换（如替换为“UNK”），说明处理原因（减少数据稀疏性）。</w:t>
      </w:r>
    </w:p>
    <w:p w14:paraId="039377C2">
      <w:pPr>
        <w:numPr>
          <w:ilvl w:val="0"/>
          <w:numId w:val="37"/>
        </w:numPr>
        <w:spacing w:before="120" w:after="120" w:line="288" w:lineRule="auto"/>
        <w:rPr>
          <w:rFonts w:hint="eastAsia"/>
        </w:rPr>
      </w:pPr>
      <w:r>
        <w:rPr>
          <w:rFonts w:ascii="Arial" w:hAnsi="Arial" w:eastAsia="等线" w:cs="Arial"/>
        </w:rPr>
        <w:t>HMM参数需以矩阵形式展示关键部分，如状态转移概率矩阵中“名词→动词”“动词→名词”的转移概率，解释常见转移模式的合理性（如“形容词→名词”转移概率高，符合“形容词修饰名词”的语法规则）。</w:t>
      </w:r>
    </w:p>
    <w:p w14:paraId="4B660227">
      <w:pPr>
        <w:numPr>
          <w:ilvl w:val="0"/>
          <w:numId w:val="38"/>
        </w:numPr>
        <w:spacing w:before="120" w:after="120" w:line="288" w:lineRule="auto"/>
        <w:rPr>
          <w:rFonts w:hint="eastAsia"/>
        </w:rPr>
      </w:pPr>
      <w:r>
        <w:rPr>
          <w:rFonts w:ascii="Arial" w:hAnsi="Arial" w:eastAsia="等线" w:cs="Arial"/>
        </w:rPr>
        <w:t>Viterbi算法需给出具体的动态规划递推公式和实例计算过程（如对句子“我 爱 学习”的标注步骤），歧义句分析需列举3-5个典型例子，对比各模型的标注结果并解释原因。</w:t>
      </w:r>
    </w:p>
    <w:p w14:paraId="236D603F">
      <w:pPr>
        <w:pStyle w:val="4"/>
        <w:numPr>
          <w:ilvl w:val="0"/>
          <w:numId w:val="38"/>
        </w:numPr>
        <w:spacing w:before="120" w:after="120" w:line="288" w:lineRule="auto"/>
        <w:ind w:firstLineChars="0"/>
        <w:rPr>
          <w:rFonts w:hint="eastAsia"/>
        </w:rPr>
      </w:pPr>
      <w:r>
        <w:rPr>
          <w:rFonts w:ascii="Arial" w:hAnsi="Arial" w:eastAsia="等线" w:cs="Arial"/>
        </w:rPr>
        <w:t>提交设计报告，</w:t>
      </w:r>
      <w:r>
        <w:rPr>
          <w:rFonts w:ascii="Arial" w:hAnsi="Arial" w:eastAsia="等线" w:cs="Arial"/>
          <w:color w:val="EE0000"/>
        </w:rPr>
        <w:t>代码、预处理后的数据集（词表、词性表、标注句子）、标注结果对比表</w:t>
      </w:r>
      <w:r>
        <w:rPr>
          <w:rFonts w:hint="eastAsia" w:ascii="Arial" w:hAnsi="Arial" w:eastAsia="等线" w:cs="Arial"/>
          <w:color w:val="EE0000"/>
        </w:rPr>
        <w:t>，</w:t>
      </w:r>
      <w:r>
        <w:rPr>
          <w:rFonts w:ascii="Arial" w:hAnsi="Arial" w:eastAsia="等线" w:cs="Arial"/>
          <w:color w:val="EE0000"/>
        </w:rPr>
        <w:t>代码需包含HMM参数学习和Viterbi算法的完整实现。</w:t>
      </w:r>
      <w:r>
        <w:rPr>
          <w:rFonts w:hint="eastAsia" w:ascii="Arial" w:hAnsi="Arial" w:eastAsia="等线" w:cs="Arial"/>
          <w:color w:val="EE0000"/>
        </w:rPr>
        <w:t>（红色部分作为附录）</w:t>
      </w:r>
    </w:p>
    <w:p w14:paraId="36120EB4">
      <w:pPr>
        <w:spacing w:before="320" w:after="120" w:line="288" w:lineRule="auto"/>
        <w:outlineLvl w:val="1"/>
        <w:rPr>
          <w:rFonts w:hint="eastAsia"/>
        </w:rPr>
      </w:pPr>
      <w:bookmarkStart w:id="25" w:name="heading_25"/>
      <w:r>
        <w:rPr>
          <w:rFonts w:ascii="Arial" w:hAnsi="Arial" w:eastAsia="等线" w:cs="Arial"/>
          <w:b/>
          <w:sz w:val="32"/>
        </w:rPr>
        <w:t>四、数据集说明</w:t>
      </w:r>
      <w:bookmarkEnd w:id="25"/>
    </w:p>
    <w:p w14:paraId="6DCAE39C">
      <w:pPr>
        <w:spacing w:before="120" w:after="120" w:line="288" w:lineRule="auto"/>
        <w:rPr>
          <w:rFonts w:hint="eastAsia"/>
        </w:rPr>
      </w:pPr>
      <w:r>
        <w:rPr>
          <w:rFonts w:ascii="Arial" w:hAnsi="Arial" w:eastAsia="等线" w:cs="Arial"/>
        </w:rPr>
        <w:t>英文推荐采用Penn Treebank的WSJ（Wall Street Journal）子集，可通过NLTK库的</w:t>
      </w:r>
      <w:r>
        <w:rPr>
          <w:rFonts w:ascii="Consolas" w:hAnsi="Consolas" w:eastAsia="Consolas" w:cs="Consolas"/>
          <w:shd w:val="clear" w:color="auto" w:fill="EFF0F1"/>
        </w:rPr>
        <w:t>nltk.corpus.treebank</w:t>
      </w:r>
      <w:r>
        <w:rPr>
          <w:rFonts w:ascii="Arial" w:hAnsi="Arial" w:eastAsia="等线" w:cs="Arial"/>
        </w:rPr>
        <w:t>获取，包含数千个标注句子；中文推荐采用CTB（Chinese Treebank）数据集，需通过LDC（Linguistic Data Consortium）授权获取，或使用开源的SIGHAN中文分词标注数据集（含词性标注），可从Kaggle搜索获取。</w:t>
      </w:r>
    </w:p>
    <w:p w14:paraId="1B8AB7CF">
      <w:pPr>
        <w:spacing w:before="380" w:after="140" w:line="288" w:lineRule="auto"/>
        <w:outlineLvl w:val="0"/>
        <w:rPr>
          <w:rFonts w:hint="eastAsia"/>
        </w:rPr>
      </w:pPr>
      <w:bookmarkStart w:id="26" w:name="heading_26"/>
      <w:r>
        <w:rPr>
          <w:rFonts w:ascii="Arial" w:hAnsi="Arial" w:eastAsia="等线" w:cs="Arial"/>
          <w:b/>
          <w:sz w:val="36"/>
        </w:rPr>
        <w:t>题目</w:t>
      </w:r>
      <w:r>
        <w:rPr>
          <w:rFonts w:hint="eastAsia" w:ascii="Arial" w:hAnsi="Arial" w:eastAsia="等线" w:cs="Arial"/>
          <w:b/>
          <w:sz w:val="36"/>
        </w:rPr>
        <w:t>6（进阶级）</w:t>
      </w:r>
      <w:r>
        <w:rPr>
          <w:rFonts w:ascii="Arial" w:hAnsi="Arial" w:eastAsia="等线" w:cs="Arial"/>
          <w:b/>
          <w:sz w:val="36"/>
        </w:rPr>
        <w:t>：基于降维与度量学习的图像检索系统设计</w:t>
      </w:r>
      <w:bookmarkEnd w:id="26"/>
    </w:p>
    <w:p w14:paraId="33BA3579">
      <w:pPr>
        <w:spacing w:before="320" w:after="120" w:line="288" w:lineRule="auto"/>
        <w:outlineLvl w:val="1"/>
        <w:rPr>
          <w:rFonts w:hint="eastAsia"/>
        </w:rPr>
      </w:pPr>
      <w:bookmarkStart w:id="27" w:name="heading_27"/>
      <w:r>
        <w:rPr>
          <w:rFonts w:ascii="Arial" w:hAnsi="Arial" w:eastAsia="等线" w:cs="Arial"/>
          <w:b/>
          <w:sz w:val="32"/>
        </w:rPr>
        <w:t>一、设计背景和需求</w:t>
      </w:r>
      <w:bookmarkEnd w:id="27"/>
    </w:p>
    <w:p w14:paraId="09A2426B">
      <w:pPr>
        <w:spacing w:before="120" w:after="120" w:line="288" w:lineRule="auto"/>
        <w:rPr>
          <w:rFonts w:hint="eastAsia"/>
        </w:rPr>
      </w:pPr>
      <w:r>
        <w:rPr>
          <w:rFonts w:ascii="Arial" w:hAnsi="Arial" w:eastAsia="等线" w:cs="Arial"/>
        </w:rPr>
        <w:t>图像检索在相册管理、商品搜索等场景中应用广泛，原始图像特征（如像素值）维度高、冗余度大，且传统检索基于欧氏距离难以准确匹配语义相似图像（如不同角度的同一物体）。本设计需通过降维压缩特征维度，结合度量学习优化相似性判断，构建高效准确的图像检索系统，实现“输入一张图像，返回Top-K相似图像”的功能。</w:t>
      </w:r>
    </w:p>
    <w:p w14:paraId="30DAC615">
      <w:pPr>
        <w:spacing w:before="320" w:after="120" w:line="288" w:lineRule="auto"/>
        <w:outlineLvl w:val="1"/>
        <w:rPr>
          <w:rFonts w:hint="eastAsia"/>
        </w:rPr>
      </w:pPr>
      <w:bookmarkStart w:id="28" w:name="heading_28"/>
      <w:r>
        <w:rPr>
          <w:rFonts w:ascii="Arial" w:hAnsi="Arial" w:eastAsia="等线" w:cs="Arial"/>
          <w:b/>
          <w:sz w:val="32"/>
        </w:rPr>
        <w:t>二、设计任务</w:t>
      </w:r>
      <w:bookmarkEnd w:id="28"/>
    </w:p>
    <w:p w14:paraId="53EDEAD8">
      <w:pPr>
        <w:numPr>
          <w:ilvl w:val="0"/>
          <w:numId w:val="39"/>
        </w:numPr>
        <w:spacing w:before="120" w:after="120" w:line="288" w:lineRule="auto"/>
        <w:rPr>
          <w:rFonts w:hint="eastAsia"/>
        </w:rPr>
      </w:pPr>
      <w:r>
        <w:rPr>
          <w:rFonts w:ascii="Arial" w:hAnsi="Arial" w:eastAsia="等线" w:cs="Arial"/>
        </w:rPr>
        <w:t>数据集获取与预处理：获取CIFAR-10或Oxford Flowers 17数据集，以CIFAR-10为例（含10类物体图像，32×32×3 RGB图），提取图像特征（如HOG特征、GIST特征、颜色直方图特征），将多类型特征拼接为高维特征向量（如HOG+颜色直方图共数百维），划分检索库（90%样本）和查询集（10%样本），对特征进行归一化。</w:t>
      </w:r>
    </w:p>
    <w:p w14:paraId="69574ACA">
      <w:pPr>
        <w:numPr>
          <w:ilvl w:val="0"/>
          <w:numId w:val="40"/>
        </w:numPr>
        <w:spacing w:before="120" w:after="120" w:line="288" w:lineRule="auto"/>
        <w:rPr>
          <w:rFonts w:hint="eastAsia"/>
        </w:rPr>
      </w:pPr>
      <w:r>
        <w:rPr>
          <w:rFonts w:ascii="Arial" w:hAnsi="Arial" w:eastAsia="等线" w:cs="Arial"/>
        </w:rPr>
        <w:t>降维与度量学习：分别采用PCA、LDA、NCA</w:t>
      </w:r>
      <w:r>
        <w:rPr>
          <w:rFonts w:hint="eastAsia" w:ascii="Arial" w:hAnsi="Arial" w:eastAsia="等线" w:cs="Arial"/>
          <w:color w:val="C00000"/>
          <w:lang w:val="en-US" w:eastAsia="zh-CN"/>
        </w:rPr>
        <w:t>至少</w:t>
      </w:r>
      <w:r>
        <w:rPr>
          <w:rFonts w:ascii="Arial" w:hAnsi="Arial" w:eastAsia="等线" w:cs="Arial"/>
          <w:color w:val="C00000"/>
        </w:rPr>
        <w:t>三种</w:t>
      </w:r>
      <w:r>
        <w:rPr>
          <w:rFonts w:ascii="Arial" w:hAnsi="Arial" w:eastAsia="等线" w:cs="Arial"/>
        </w:rPr>
        <w:t>算法处理特征，PCA和LDA降至50维、100维，NCA优化为适应检索任务的距离度量。计算降维后特征的检索库特征矩阵。</w:t>
      </w:r>
    </w:p>
    <w:p w14:paraId="54DD1DEB">
      <w:pPr>
        <w:numPr>
          <w:ilvl w:val="0"/>
          <w:numId w:val="41"/>
        </w:numPr>
        <w:spacing w:before="120" w:after="120" w:line="288" w:lineRule="auto"/>
        <w:rPr>
          <w:rFonts w:hint="eastAsia"/>
        </w:rPr>
      </w:pPr>
      <w:r>
        <w:rPr>
          <w:rFonts w:ascii="Arial" w:hAnsi="Arial" w:eastAsia="等线" w:cs="Arial"/>
        </w:rPr>
        <w:t>检索系统构建：基于原始特征和处理后特征，分别采用欧氏距离、曼哈顿距离、余弦相似度三种度量方式计算查询图像与检索库图像的相似度，返回Top-5、Top-10相似图像。</w:t>
      </w:r>
    </w:p>
    <w:p w14:paraId="41D1A7D9">
      <w:pPr>
        <w:numPr>
          <w:ilvl w:val="0"/>
          <w:numId w:val="42"/>
        </w:numPr>
        <w:spacing w:before="120" w:after="120" w:line="288" w:lineRule="auto"/>
        <w:rPr>
          <w:rFonts w:hint="eastAsia"/>
        </w:rPr>
      </w:pPr>
      <w:r>
        <w:rPr>
          <w:rFonts w:ascii="Arial" w:hAnsi="Arial" w:eastAsia="等线" w:cs="Arial"/>
        </w:rPr>
        <w:t>系统评估：计算各方案的平均准确率（mAP）、检索耗时（单张查询时间），统计Top-10检索中正确匹配（同类别）的图像数量占比。对比不同降维算法、度量方式的检索性能，分析特征维度对检索效率和精度的影响，可视化展示典型查询案例的检索结果（正确与错误案例）。</w:t>
      </w:r>
    </w:p>
    <w:p w14:paraId="232103C1">
      <w:pPr>
        <w:spacing w:before="320" w:after="120" w:line="288" w:lineRule="auto"/>
        <w:outlineLvl w:val="1"/>
        <w:rPr>
          <w:rFonts w:hint="eastAsia"/>
        </w:rPr>
      </w:pPr>
      <w:bookmarkStart w:id="29" w:name="heading_29"/>
      <w:r>
        <w:rPr>
          <w:rFonts w:ascii="Arial" w:hAnsi="Arial" w:eastAsia="等线" w:cs="Arial"/>
          <w:b/>
          <w:sz w:val="32"/>
        </w:rPr>
        <w:t>三、设计要求</w:t>
      </w:r>
      <w:bookmarkEnd w:id="29"/>
    </w:p>
    <w:p w14:paraId="4499C75F">
      <w:pPr>
        <w:numPr>
          <w:ilvl w:val="0"/>
          <w:numId w:val="43"/>
        </w:numPr>
        <w:spacing w:before="120" w:after="120" w:line="288" w:lineRule="auto"/>
        <w:rPr>
          <w:rFonts w:hint="eastAsia"/>
        </w:rPr>
      </w:pPr>
      <w:r>
        <w:rPr>
          <w:rFonts w:ascii="Arial" w:hAnsi="Arial" w:eastAsia="等线" w:cs="Arial"/>
        </w:rPr>
        <w:t>特征提取需说明各特征的含义，如“HOG特征捕捉图像边缘和纹理信息，适合物体形状识别”，特征拼接需说明权重分配方式（如等权重拼接）。</w:t>
      </w:r>
    </w:p>
    <w:p w14:paraId="5A82738F">
      <w:pPr>
        <w:numPr>
          <w:ilvl w:val="0"/>
          <w:numId w:val="44"/>
        </w:numPr>
        <w:spacing w:before="120" w:after="120" w:line="288" w:lineRule="auto"/>
        <w:rPr>
          <w:rFonts w:hint="eastAsia"/>
        </w:rPr>
      </w:pPr>
      <w:r>
        <w:rPr>
          <w:rFonts w:ascii="Arial" w:hAnsi="Arial" w:eastAsia="等线" w:cs="Arial"/>
        </w:rPr>
        <w:t>降维过程需记录特征压缩率和信息保留率（如PCA降至100维保留92%方差），度量学习需解释优化后的距离度量如何提升语义相似性匹配，如“NCA优化后，同一类别的飞机图像距离更近，与汽车图像距离更远”。</w:t>
      </w:r>
    </w:p>
    <w:p w14:paraId="59980BF1">
      <w:pPr>
        <w:numPr>
          <w:ilvl w:val="0"/>
          <w:numId w:val="45"/>
        </w:numPr>
        <w:spacing w:before="120" w:after="120" w:line="288" w:lineRule="auto"/>
        <w:rPr>
          <w:rFonts w:hint="eastAsia"/>
        </w:rPr>
      </w:pPr>
      <w:r>
        <w:rPr>
          <w:rFonts w:ascii="Arial" w:hAnsi="Arial" w:eastAsia="等线" w:cs="Arial"/>
        </w:rPr>
        <w:t>检索评估需采用定量指标（mAP、耗时）和定性分析（案例展示）结合的方式，对比不同方案时需控制单一变量（如固定降维维度对比不同度量方式），确保对比公平性。</w:t>
      </w:r>
    </w:p>
    <w:p w14:paraId="390EF1F8">
      <w:pPr>
        <w:pStyle w:val="4"/>
        <w:numPr>
          <w:ilvl w:val="0"/>
          <w:numId w:val="45"/>
        </w:numPr>
        <w:spacing w:before="120" w:after="120" w:line="288" w:lineRule="auto"/>
        <w:ind w:left="0" w:leftChars="0" w:firstLine="0" w:firstLineChars="0"/>
        <w:rPr>
          <w:rFonts w:hint="eastAsia"/>
        </w:rPr>
      </w:pPr>
      <w:r>
        <w:rPr>
          <w:rFonts w:ascii="Arial" w:hAnsi="Arial" w:eastAsia="等线" w:cs="Arial"/>
        </w:rPr>
        <w:t>提交设计报告，</w:t>
      </w:r>
      <w:r>
        <w:rPr>
          <w:rFonts w:ascii="Arial" w:hAnsi="Arial" w:eastAsia="等线" w:cs="Arial"/>
          <w:color w:val="EE0000"/>
        </w:rPr>
        <w:t>代码、特征向量数据集、检索结果案例图</w:t>
      </w:r>
      <w:r>
        <w:rPr>
          <w:rFonts w:hint="eastAsia" w:ascii="Arial" w:hAnsi="Arial" w:eastAsia="等线" w:cs="Arial"/>
          <w:color w:val="EE0000"/>
        </w:rPr>
        <w:t>，</w:t>
      </w:r>
      <w:r>
        <w:rPr>
          <w:rFonts w:ascii="Arial" w:hAnsi="Arial" w:eastAsia="等线" w:cs="Arial"/>
          <w:color w:val="EE0000"/>
        </w:rPr>
        <w:t>代码需包含特征提取、相似度计算和检索结果展示模块。</w:t>
      </w:r>
      <w:r>
        <w:rPr>
          <w:rFonts w:hint="eastAsia" w:ascii="Arial" w:hAnsi="Arial" w:eastAsia="等线" w:cs="Arial"/>
          <w:color w:val="EE0000"/>
        </w:rPr>
        <w:t>（红色部分作为附录）</w:t>
      </w:r>
    </w:p>
    <w:p w14:paraId="0D6593A2">
      <w:pPr>
        <w:spacing w:before="320" w:after="120" w:line="288" w:lineRule="auto"/>
        <w:outlineLvl w:val="1"/>
        <w:rPr>
          <w:rFonts w:hint="eastAsia"/>
        </w:rPr>
      </w:pPr>
      <w:bookmarkStart w:id="30" w:name="heading_30"/>
      <w:r>
        <w:rPr>
          <w:rFonts w:ascii="Arial" w:hAnsi="Arial" w:eastAsia="等线" w:cs="Arial"/>
          <w:b/>
          <w:sz w:val="32"/>
        </w:rPr>
        <w:t>四、数据集说明</w:t>
      </w:r>
      <w:bookmarkEnd w:id="30"/>
    </w:p>
    <w:p w14:paraId="0CDD6DD8">
      <w:pPr>
        <w:spacing w:before="120" w:after="120" w:line="288" w:lineRule="auto"/>
        <w:rPr>
          <w:rFonts w:hint="eastAsia"/>
        </w:rPr>
      </w:pPr>
      <w:r>
        <w:rPr>
          <w:rFonts w:ascii="Arial" w:hAnsi="Arial" w:eastAsia="等线" w:cs="Arial"/>
        </w:rPr>
        <w:t>推荐采用CIFAR-10数据集，可通过TensorFlow的</w:t>
      </w:r>
      <w:r>
        <w:rPr>
          <w:rFonts w:ascii="Consolas" w:hAnsi="Consolas" w:eastAsia="Consolas" w:cs="Consolas"/>
          <w:shd w:val="clear" w:color="auto" w:fill="EFF0F1"/>
        </w:rPr>
        <w:t>tf.keras.datasets.cifar10.load_data()</w:t>
      </w:r>
      <w:r>
        <w:rPr>
          <w:rFonts w:ascii="Arial" w:hAnsi="Arial" w:eastAsia="等线" w:cs="Arial"/>
        </w:rPr>
        <w:t>直接获取，包含50000张训练图和10000张测试图，类别清晰（飞机、汽车、鸟等），适合检索性能评估；Oxford Flowers 17数据集（17类花卉，每类80张图）更侧重细分类别检索，难度更高，可根据学生水平选择。</w:t>
      </w:r>
    </w:p>
    <w:p w14:paraId="25CBAF98">
      <w:pPr>
        <w:spacing w:before="380" w:after="140" w:line="288" w:lineRule="auto"/>
        <w:outlineLvl w:val="0"/>
        <w:rPr>
          <w:rFonts w:hint="eastAsia"/>
        </w:rPr>
      </w:pPr>
      <w:bookmarkStart w:id="31" w:name="heading_31"/>
      <w:r>
        <w:rPr>
          <w:rFonts w:ascii="Arial" w:hAnsi="Arial" w:eastAsia="等线" w:cs="Arial"/>
          <w:b/>
          <w:sz w:val="36"/>
        </w:rPr>
        <w:t>题目</w:t>
      </w:r>
      <w:r>
        <w:rPr>
          <w:rFonts w:hint="eastAsia" w:ascii="Arial" w:hAnsi="Arial" w:eastAsia="等线" w:cs="Arial"/>
          <w:b/>
          <w:sz w:val="36"/>
        </w:rPr>
        <w:t>7（</w:t>
      </w:r>
      <w:r>
        <w:rPr>
          <w:rFonts w:hint="eastAsia" w:ascii="Arial" w:hAnsi="Arial" w:eastAsia="等线" w:cs="Arial"/>
          <w:b/>
          <w:sz w:val="36"/>
          <w:lang w:val="en-US" w:eastAsia="zh-CN"/>
        </w:rPr>
        <w:t>进阶</w:t>
      </w:r>
      <w:r>
        <w:rPr>
          <w:rFonts w:hint="eastAsia" w:ascii="Arial" w:hAnsi="Arial" w:eastAsia="等线" w:cs="Arial"/>
          <w:b/>
          <w:sz w:val="36"/>
        </w:rPr>
        <w:t>级）</w:t>
      </w:r>
      <w:r>
        <w:rPr>
          <w:rFonts w:ascii="Arial" w:hAnsi="Arial" w:eastAsia="等线" w:cs="Arial"/>
          <w:b/>
          <w:sz w:val="36"/>
        </w:rPr>
        <w:t>：基于贝叶斯网络的信用风险评估系统设计</w:t>
      </w:r>
      <w:bookmarkEnd w:id="31"/>
    </w:p>
    <w:p w14:paraId="121C0F92">
      <w:pPr>
        <w:spacing w:before="320" w:after="120" w:line="288" w:lineRule="auto"/>
        <w:outlineLvl w:val="1"/>
        <w:rPr>
          <w:rFonts w:hint="eastAsia"/>
        </w:rPr>
      </w:pPr>
      <w:bookmarkStart w:id="32" w:name="heading_32"/>
      <w:r>
        <w:rPr>
          <w:rFonts w:ascii="Arial" w:hAnsi="Arial" w:eastAsia="等线" w:cs="Arial"/>
          <w:b/>
          <w:sz w:val="32"/>
        </w:rPr>
        <w:t>一、设计背景和需求</w:t>
      </w:r>
      <w:bookmarkEnd w:id="32"/>
    </w:p>
    <w:p w14:paraId="598E141A">
      <w:pPr>
        <w:spacing w:before="120" w:after="120" w:line="288" w:lineRule="auto"/>
        <w:rPr>
          <w:rFonts w:hint="eastAsia"/>
        </w:rPr>
      </w:pPr>
      <w:r>
        <w:rPr>
          <w:rFonts w:ascii="Arial" w:hAnsi="Arial" w:eastAsia="等线" w:cs="Arial"/>
        </w:rPr>
        <w:t>金融机构在信贷审批中需评估借款人的信用风险（即违约概率），信用风险受收入、负债、信用历史、职业等多因素影响，且因素间存在因果关联（如“收入低→负债高→违约风险高”）。贝叶斯网络可建模变量间的因果关系，处理缺失的信用数据（如部分借款人无历史信贷记录），为信贷审批提供概率化风险评估。本设计需构建信用风险评估系统，对比传统分类算法的评估效果。</w:t>
      </w:r>
    </w:p>
    <w:p w14:paraId="3AA60EE6">
      <w:pPr>
        <w:spacing w:before="320" w:after="120" w:line="288" w:lineRule="auto"/>
        <w:outlineLvl w:val="1"/>
        <w:rPr>
          <w:rFonts w:hint="eastAsia"/>
        </w:rPr>
      </w:pPr>
      <w:bookmarkStart w:id="33" w:name="heading_33"/>
      <w:r>
        <w:rPr>
          <w:rFonts w:ascii="Arial" w:hAnsi="Arial" w:eastAsia="等线" w:cs="Arial"/>
          <w:b/>
          <w:sz w:val="32"/>
        </w:rPr>
        <w:t>二、设计任务</w:t>
      </w:r>
      <w:bookmarkEnd w:id="33"/>
    </w:p>
    <w:p w14:paraId="0F966526">
      <w:pPr>
        <w:numPr>
          <w:ilvl w:val="0"/>
          <w:numId w:val="46"/>
        </w:numPr>
        <w:spacing w:before="120" w:after="120" w:line="288" w:lineRule="auto"/>
        <w:rPr>
          <w:rFonts w:hint="eastAsia"/>
        </w:rPr>
      </w:pPr>
      <w:r>
        <w:rPr>
          <w:rFonts w:ascii="Arial" w:hAnsi="Arial" w:eastAsia="等线" w:cs="Arial"/>
        </w:rPr>
        <w:t>数据集获取与预处理：获取German Credit Data数据集（含年龄、性别、职业、收入、信贷期限、信用历史、是否违约等20个特征，标签为“好信用”或“坏信用”），处理缺失值（如采用贝叶斯估计填充收入缺失值），将分类特征（如职业）转换为离散值，对数值特征（如收入）进行分箱（如低收入、中等收入、高收入），划分训练集（70%）和测试集（30%）。</w:t>
      </w:r>
    </w:p>
    <w:p w14:paraId="17B3233F">
      <w:pPr>
        <w:numPr>
          <w:ilvl w:val="0"/>
          <w:numId w:val="47"/>
        </w:numPr>
        <w:spacing w:before="120" w:after="120" w:line="288" w:lineRule="auto"/>
        <w:rPr>
          <w:rFonts w:hint="eastAsia"/>
        </w:rPr>
      </w:pPr>
      <w:r>
        <w:rPr>
          <w:rFonts w:ascii="Arial" w:hAnsi="Arial" w:eastAsia="等线" w:cs="Arial"/>
        </w:rPr>
        <w:t>贝叶斯网络构建：采用PC算法学习网络结构，识别信用风险相关的关键因果链（如“信用历史→信贷期限→违约风险”），基于训练集采用贝叶斯估计学习条件概率表（避免极大似然估计的零概率问题）。构建不同复杂度的网络（如简化版仅保留8个关键特征，完整版保留20个特征）。</w:t>
      </w:r>
    </w:p>
    <w:p w14:paraId="4E5BE374">
      <w:pPr>
        <w:numPr>
          <w:ilvl w:val="0"/>
          <w:numId w:val="48"/>
        </w:numPr>
        <w:spacing w:before="120" w:after="120" w:line="288" w:lineRule="auto"/>
        <w:rPr>
          <w:rFonts w:hint="eastAsia"/>
        </w:rPr>
      </w:pPr>
      <w:r>
        <w:rPr>
          <w:rFonts w:ascii="Arial" w:hAnsi="Arial" w:eastAsia="等线" w:cs="Arial"/>
        </w:rPr>
        <w:t>风险评估与对比：基于贝叶斯网络计算测试集中每个借款人的违约概率，设定不同阈值（如0.3、0.5、0.7）划分风险等级（低、中、高）。同时构建逻辑回归、随机森林、SVM</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w:t>
      </w:r>
      <w:r>
        <w:rPr>
          <w:rFonts w:ascii="Arial" w:hAnsi="Arial" w:eastAsia="等线" w:cs="Arial"/>
        </w:rPr>
        <w:t>分类模型，计算各模型的准确率、精确率、召回率、AUC值，对比贝叶斯网络与传统模型在风险评估中的性能差异。</w:t>
      </w:r>
    </w:p>
    <w:p w14:paraId="3631C27E">
      <w:pPr>
        <w:numPr>
          <w:ilvl w:val="0"/>
          <w:numId w:val="49"/>
        </w:numPr>
        <w:spacing w:before="120" w:after="120" w:line="288" w:lineRule="auto"/>
        <w:rPr>
          <w:rFonts w:hint="eastAsia"/>
        </w:rPr>
      </w:pPr>
      <w:r>
        <w:rPr>
          <w:rFonts w:ascii="Arial" w:hAnsi="Arial" w:eastAsia="等线" w:cs="Arial"/>
        </w:rPr>
        <w:t>敏感性分析：通过贝叶斯网络的因果推理，分析关键特征变化对违约概率的影响（如“收入从中等提升到高，违约概率下降多少”），为金融机构制定风险控制策略提供建议（如“对低收入且无信用历史的借款人，建议缩短信贷期限”）。</w:t>
      </w:r>
    </w:p>
    <w:p w14:paraId="2DFF1E16">
      <w:pPr>
        <w:spacing w:before="320" w:after="120" w:line="288" w:lineRule="auto"/>
        <w:outlineLvl w:val="1"/>
        <w:rPr>
          <w:rFonts w:hint="eastAsia"/>
        </w:rPr>
      </w:pPr>
      <w:bookmarkStart w:id="34" w:name="heading_34"/>
      <w:r>
        <w:rPr>
          <w:rFonts w:ascii="Arial" w:hAnsi="Arial" w:eastAsia="等线" w:cs="Arial"/>
          <w:b/>
          <w:sz w:val="32"/>
        </w:rPr>
        <w:t>三、设计要求</w:t>
      </w:r>
      <w:bookmarkEnd w:id="34"/>
    </w:p>
    <w:p w14:paraId="2F320251">
      <w:pPr>
        <w:numPr>
          <w:ilvl w:val="0"/>
          <w:numId w:val="50"/>
        </w:numPr>
        <w:spacing w:before="120" w:after="120" w:line="288" w:lineRule="auto"/>
        <w:rPr>
          <w:rFonts w:hint="eastAsia"/>
        </w:rPr>
      </w:pPr>
      <w:r>
        <w:rPr>
          <w:rFonts w:ascii="Arial" w:hAnsi="Arial" w:eastAsia="等线" w:cs="Arial"/>
        </w:rPr>
        <w:t>特征预处理需说明分箱依据，如“收入分箱参考当地人均收入水平，确保每箱样本数量均衡”，分类特征编码需记录编码规则（如“信用历史：0=无记录，1=无违约，2=有违约”）。</w:t>
      </w:r>
    </w:p>
    <w:p w14:paraId="2C8FAC7A">
      <w:pPr>
        <w:numPr>
          <w:ilvl w:val="0"/>
          <w:numId w:val="51"/>
        </w:numPr>
        <w:spacing w:before="120" w:after="120" w:line="288" w:lineRule="auto"/>
        <w:rPr>
          <w:rFonts w:hint="eastAsia"/>
        </w:rPr>
      </w:pPr>
      <w:r>
        <w:rPr>
          <w:rFonts w:ascii="Arial" w:hAnsi="Arial" w:eastAsia="等线" w:cs="Arial"/>
        </w:rPr>
        <w:t>贝叶斯网络结构需可视化展示关键因果链，标注各节点的条件概率，如“当信用历史为1（无违约）且收入为高时，违约概率为0.12”。不同复杂度网络的对比需说明特征筛选方法（如基于互信息）。</w:t>
      </w:r>
    </w:p>
    <w:p w14:paraId="1ED89000">
      <w:pPr>
        <w:numPr>
          <w:ilvl w:val="0"/>
          <w:numId w:val="52"/>
        </w:numPr>
        <w:spacing w:before="120" w:after="120" w:line="288" w:lineRule="auto"/>
        <w:rPr>
          <w:rFonts w:hint="eastAsia"/>
        </w:rPr>
      </w:pPr>
      <w:r>
        <w:rPr>
          <w:rFonts w:ascii="Arial" w:hAnsi="Arial" w:eastAsia="等线" w:cs="Arial"/>
        </w:rPr>
        <w:t>风险等级划分需结合金融业务实际，分析不同阈值下的误判成本（如将“好信用”误判为“坏信用”的机会成本，将“坏信用”误判为“好信用”的违约损失），敏感性分析需量化特征影响幅度。</w:t>
      </w:r>
    </w:p>
    <w:p w14:paraId="75191502">
      <w:pPr>
        <w:pStyle w:val="4"/>
        <w:numPr>
          <w:ilvl w:val="0"/>
          <w:numId w:val="52"/>
        </w:numPr>
        <w:spacing w:before="120" w:after="120" w:line="288" w:lineRule="auto"/>
        <w:ind w:firstLineChars="0"/>
        <w:rPr>
          <w:rFonts w:hint="eastAsia"/>
        </w:rPr>
      </w:pPr>
      <w:r>
        <w:rPr>
          <w:rFonts w:ascii="Arial" w:hAnsi="Arial" w:eastAsia="等线" w:cs="Arial"/>
        </w:rPr>
        <w:t>提交设计报告，</w:t>
      </w:r>
      <w:r>
        <w:rPr>
          <w:rFonts w:ascii="Arial" w:hAnsi="Arial" w:eastAsia="等线" w:cs="Arial"/>
          <w:color w:val="EE0000"/>
        </w:rPr>
        <w:t>代码、预处理后的数据集、风险评估报告（含阈值建议）</w:t>
      </w:r>
      <w:r>
        <w:rPr>
          <w:rFonts w:hint="eastAsia" w:ascii="Arial" w:hAnsi="Arial" w:eastAsia="等线" w:cs="Arial"/>
          <w:color w:val="EE0000"/>
        </w:rPr>
        <w:t>，</w:t>
      </w:r>
      <w:r>
        <w:rPr>
          <w:rFonts w:ascii="Arial" w:hAnsi="Arial" w:eastAsia="等线" w:cs="Arial"/>
          <w:color w:val="EE0000"/>
        </w:rPr>
        <w:t>代码需包含贝叶斯网络推理和敏感性分析模块。</w:t>
      </w:r>
      <w:r>
        <w:rPr>
          <w:rFonts w:hint="eastAsia" w:ascii="Arial" w:hAnsi="Arial" w:eastAsia="等线" w:cs="Arial"/>
          <w:color w:val="EE0000"/>
        </w:rPr>
        <w:t>（红色部分作为附录）</w:t>
      </w:r>
    </w:p>
    <w:p w14:paraId="5E47D2BA">
      <w:pPr>
        <w:spacing w:before="320" w:after="120" w:line="288" w:lineRule="auto"/>
        <w:outlineLvl w:val="1"/>
        <w:rPr>
          <w:rFonts w:hint="eastAsia"/>
        </w:rPr>
      </w:pPr>
      <w:bookmarkStart w:id="35" w:name="heading_35"/>
      <w:r>
        <w:rPr>
          <w:rFonts w:ascii="Arial" w:hAnsi="Arial" w:eastAsia="等线" w:cs="Arial"/>
          <w:b/>
          <w:sz w:val="32"/>
        </w:rPr>
        <w:t>四、数据集说明</w:t>
      </w:r>
      <w:bookmarkEnd w:id="35"/>
    </w:p>
    <w:p w14:paraId="046C2415">
      <w:pPr>
        <w:spacing w:before="120" w:after="120" w:line="288" w:lineRule="auto"/>
        <w:rPr>
          <w:rFonts w:hint="eastAsia"/>
        </w:rPr>
      </w:pPr>
      <w:r>
        <w:rPr>
          <w:rFonts w:ascii="Arial" w:hAnsi="Arial" w:eastAsia="等线" w:cs="Arial"/>
        </w:rPr>
        <w:t>采用German Credit Data数据集，来源于UCI机器学习仓库（https://archive.ics.uci.edu/ml/datasets/Statlog+%28German+Credit+Data%29），包含1000个样本，20个特征，标签分布为700个“好信用”和300个“坏信用”，存在一定数据不平衡，符合实际信贷场景。</w:t>
      </w:r>
    </w:p>
    <w:p w14:paraId="43B0EC6E">
      <w:pPr>
        <w:spacing w:before="380" w:after="140" w:line="288" w:lineRule="auto"/>
        <w:outlineLvl w:val="0"/>
        <w:rPr>
          <w:rFonts w:hint="eastAsia"/>
        </w:rPr>
      </w:pPr>
      <w:bookmarkStart w:id="36" w:name="heading_36"/>
      <w:r>
        <w:rPr>
          <w:rFonts w:ascii="Arial" w:hAnsi="Arial" w:eastAsia="等线" w:cs="Arial"/>
          <w:b/>
          <w:sz w:val="36"/>
        </w:rPr>
        <w:t>题目</w:t>
      </w:r>
      <w:r>
        <w:rPr>
          <w:rFonts w:hint="eastAsia" w:ascii="Arial" w:hAnsi="Arial" w:eastAsia="等线" w:cs="Arial"/>
          <w:b/>
          <w:sz w:val="36"/>
        </w:rPr>
        <w:t>8（</w:t>
      </w:r>
      <w:r>
        <w:rPr>
          <w:rFonts w:hint="eastAsia" w:ascii="Arial" w:hAnsi="Arial" w:eastAsia="等线" w:cs="Arial"/>
          <w:b/>
          <w:sz w:val="36"/>
          <w:lang w:val="en-US" w:eastAsia="zh-CN"/>
        </w:rPr>
        <w:t>基础</w:t>
      </w:r>
      <w:r>
        <w:rPr>
          <w:rFonts w:hint="eastAsia" w:ascii="Arial" w:hAnsi="Arial" w:eastAsia="等线" w:cs="Arial"/>
          <w:b/>
          <w:sz w:val="36"/>
        </w:rPr>
        <w:t>级）</w:t>
      </w:r>
      <w:r>
        <w:rPr>
          <w:rFonts w:ascii="Arial" w:hAnsi="Arial" w:eastAsia="等线" w:cs="Arial"/>
          <w:b/>
          <w:sz w:val="36"/>
        </w:rPr>
        <w:t>：基于回归与聚类的交通流量预测系统设计</w:t>
      </w:r>
      <w:bookmarkEnd w:id="36"/>
    </w:p>
    <w:p w14:paraId="756B17A4">
      <w:pPr>
        <w:spacing w:before="320" w:after="120" w:line="288" w:lineRule="auto"/>
        <w:outlineLvl w:val="1"/>
        <w:rPr>
          <w:rFonts w:hint="eastAsia"/>
        </w:rPr>
      </w:pPr>
      <w:bookmarkStart w:id="37" w:name="heading_37"/>
      <w:r>
        <w:rPr>
          <w:rFonts w:ascii="Arial" w:hAnsi="Arial" w:eastAsia="等线" w:cs="Arial"/>
          <w:b/>
          <w:sz w:val="32"/>
        </w:rPr>
        <w:t>一、设计背景和需求</w:t>
      </w:r>
      <w:bookmarkEnd w:id="37"/>
    </w:p>
    <w:p w14:paraId="2876ED0F">
      <w:pPr>
        <w:spacing w:before="120" w:after="120" w:line="288" w:lineRule="auto"/>
        <w:rPr>
          <w:rFonts w:hint="eastAsia"/>
        </w:rPr>
      </w:pPr>
      <w:r>
        <w:rPr>
          <w:rFonts w:ascii="Arial" w:hAnsi="Arial" w:eastAsia="等线" w:cs="Arial"/>
        </w:rPr>
        <w:t>交通流量预测是智能交通系统的核心任务，可为交通疏导、信号灯调控提供依据。交通流量受时间（如早晚高峰、工作日/周末）、天气、节假日等多因素影响，且不同路段的流量模式存在差异（如主干道vs支路）。本设计需通过聚类划分交通流量模式相似的路段，结合回归算法预测各路段的短期流量，提升预测精度。</w:t>
      </w:r>
    </w:p>
    <w:p w14:paraId="7571234D">
      <w:pPr>
        <w:spacing w:before="320" w:after="120" w:line="288" w:lineRule="auto"/>
        <w:outlineLvl w:val="1"/>
        <w:rPr>
          <w:rFonts w:hint="eastAsia"/>
        </w:rPr>
      </w:pPr>
      <w:bookmarkStart w:id="38" w:name="heading_38"/>
      <w:r>
        <w:rPr>
          <w:rFonts w:ascii="Arial" w:hAnsi="Arial" w:eastAsia="等线" w:cs="Arial"/>
          <w:b/>
          <w:sz w:val="32"/>
        </w:rPr>
        <w:t>二、设计任务</w:t>
      </w:r>
      <w:bookmarkEnd w:id="38"/>
    </w:p>
    <w:p w14:paraId="10642C6C">
      <w:pPr>
        <w:numPr>
          <w:ilvl w:val="0"/>
          <w:numId w:val="53"/>
        </w:numPr>
        <w:spacing w:before="120" w:after="120" w:line="288" w:lineRule="auto"/>
        <w:rPr>
          <w:rFonts w:hint="eastAsia"/>
        </w:rPr>
      </w:pPr>
      <w:r>
        <w:rPr>
          <w:rFonts w:ascii="Arial" w:hAnsi="Arial" w:eastAsia="等线" w:cs="Arial"/>
        </w:rPr>
        <w:t>数据集获取与预处理：获取PEMS-SF或Taxi Traffic数据集，以PEMS-SF为例（含旧金山湾区325个路段的每5分钟交通流量数据，共7天），构建路段特征集（如各时段平均流量、流量标准差、高峰流量、高峰时段等），处理缺失值（如采用线性插值填充设备故障导致的缺失数据），对特征进行标准化。</w:t>
      </w:r>
    </w:p>
    <w:p w14:paraId="6E08F0FD">
      <w:pPr>
        <w:numPr>
          <w:ilvl w:val="0"/>
          <w:numId w:val="54"/>
        </w:numPr>
        <w:spacing w:before="120" w:after="120" w:line="288" w:lineRule="auto"/>
        <w:rPr>
          <w:rFonts w:hint="eastAsia"/>
        </w:rPr>
      </w:pPr>
      <w:r>
        <w:rPr>
          <w:rFonts w:ascii="Arial" w:hAnsi="Arial" w:eastAsia="等线" w:cs="Arial"/>
        </w:rPr>
        <w:t>路段聚类与模式分析：采用K-Means、层次聚类、DBSCAN</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w:t>
      </w:r>
      <w:r>
        <w:rPr>
          <w:rFonts w:ascii="Arial" w:hAnsi="Arial" w:eastAsia="等线" w:cs="Arial"/>
        </w:rPr>
        <w:t>聚类算法，将325个路段划分为不同流量模式集群（如高峰拥堵型、平稳流量型、低流量型）。采用轮廓系数确定K-Means最优聚类数（3-8类），分析各集群的时段流量曲线（如“集群1在早7-9点和晚17-19点出现双高峰”）。</w:t>
      </w:r>
    </w:p>
    <w:p w14:paraId="68121E3B">
      <w:pPr>
        <w:numPr>
          <w:ilvl w:val="0"/>
          <w:numId w:val="55"/>
        </w:numPr>
        <w:spacing w:before="120" w:after="120" w:line="288" w:lineRule="auto"/>
        <w:rPr>
          <w:rFonts w:hint="eastAsia"/>
        </w:rPr>
      </w:pPr>
      <w:r>
        <w:rPr>
          <w:rFonts w:ascii="Arial" w:hAnsi="Arial" w:eastAsia="等线" w:cs="Arial"/>
        </w:rPr>
        <w:t>回归预测模型构建：对每个路段集群，分别构建线性回归、ARIMA（时间序列回归）、梯度提升树（GBR）</w:t>
      </w:r>
      <w:r>
        <w:rPr>
          <w:rFonts w:hint="eastAsia" w:ascii="Arial" w:hAnsi="Arial" w:eastAsia="等线" w:cs="Arial"/>
          <w:color w:val="C00000"/>
          <w:lang w:val="en-US" w:eastAsia="zh-CN"/>
        </w:rPr>
        <w:t>等至少</w:t>
      </w:r>
      <w:r>
        <w:rPr>
          <w:rFonts w:ascii="Arial" w:hAnsi="Arial" w:eastAsia="等线" w:cs="Arial"/>
          <w:color w:val="C00000"/>
        </w:rPr>
        <w:t>三种</w:t>
      </w:r>
      <w:r>
        <w:rPr>
          <w:rFonts w:ascii="Arial" w:hAnsi="Arial" w:eastAsia="等线" w:cs="Arial"/>
        </w:rPr>
        <w:t>预测模型。以过去1小时的流量数据、时段、星期几为输入特征，预测未来15分钟、30分钟、60分钟的交通流量。划分训练集（前5天）和测试集（后2天），优化模型超参数（如ARIMA的p,d,q值、GBR的树深度）。</w:t>
      </w:r>
    </w:p>
    <w:p w14:paraId="1A1EB53F">
      <w:pPr>
        <w:numPr>
          <w:ilvl w:val="0"/>
          <w:numId w:val="56"/>
        </w:numPr>
        <w:spacing w:before="120" w:after="120" w:line="288" w:lineRule="auto"/>
        <w:rPr>
          <w:rFonts w:hint="eastAsia"/>
        </w:rPr>
      </w:pPr>
      <w:r>
        <w:rPr>
          <w:rFonts w:ascii="Arial" w:hAnsi="Arial" w:eastAsia="等线" w:cs="Arial"/>
        </w:rPr>
        <w:t>预测结果评估：计算各集群、各预测时长的MAE、RMSE、MAPE，对比不同聚类-回归组合的预测效果，分析“先聚类后预测”相比“直接全路段预测”的精度提升幅度。可视化展示典型路段的预测值与真实值曲线，分析预测误差较大的场景（如突发事故导致的流量突变）。</w:t>
      </w:r>
    </w:p>
    <w:p w14:paraId="271BF65F">
      <w:pPr>
        <w:spacing w:before="320" w:after="120" w:line="288" w:lineRule="auto"/>
        <w:outlineLvl w:val="1"/>
        <w:rPr>
          <w:rFonts w:hint="eastAsia"/>
        </w:rPr>
      </w:pPr>
      <w:bookmarkStart w:id="39" w:name="heading_39"/>
      <w:r>
        <w:rPr>
          <w:rFonts w:ascii="Arial" w:hAnsi="Arial" w:eastAsia="等线" w:cs="Arial"/>
          <w:b/>
          <w:sz w:val="32"/>
        </w:rPr>
        <w:t>三、设计要求</w:t>
      </w:r>
      <w:bookmarkEnd w:id="39"/>
    </w:p>
    <w:p w14:paraId="76C77519">
      <w:pPr>
        <w:numPr>
          <w:ilvl w:val="0"/>
          <w:numId w:val="57"/>
        </w:numPr>
        <w:spacing w:before="120" w:after="120" w:line="288" w:lineRule="auto"/>
        <w:rPr>
          <w:rFonts w:hint="eastAsia"/>
        </w:rPr>
      </w:pPr>
      <w:r>
        <w:rPr>
          <w:rFonts w:ascii="Arial" w:hAnsi="Arial" w:eastAsia="等线" w:cs="Arial"/>
        </w:rPr>
        <w:t>特征构建需体现时间维度特性，如“高峰流量”定义为一天中流量Top5的平均值，“高峰时段”为流量超过均值1.5倍的连续时段，说明特征对流量模式划分的意义。</w:t>
      </w:r>
    </w:p>
    <w:p w14:paraId="5CE43113">
      <w:pPr>
        <w:numPr>
          <w:ilvl w:val="0"/>
          <w:numId w:val="58"/>
        </w:numPr>
        <w:spacing w:before="120" w:after="120" w:line="288" w:lineRule="auto"/>
        <w:rPr>
          <w:rFonts w:hint="eastAsia"/>
        </w:rPr>
      </w:pPr>
      <w:r>
        <w:rPr>
          <w:rFonts w:ascii="Arial" w:hAnsi="Arial" w:eastAsia="等线" w:cs="Arial"/>
        </w:rPr>
        <w:t>聚类结果需通过时段流量曲线图对比展示，每个集群选择2-3个代表性路段，描述其流量模式差异，如“集群2为支路，全天流量平稳，标准差仅为集群1（主干道）的1/3”。</w:t>
      </w:r>
    </w:p>
    <w:p w14:paraId="393B7C72">
      <w:pPr>
        <w:numPr>
          <w:ilvl w:val="0"/>
          <w:numId w:val="59"/>
        </w:numPr>
        <w:spacing w:before="120" w:after="120" w:line="288" w:lineRule="auto"/>
        <w:rPr>
          <w:rFonts w:hint="eastAsia"/>
        </w:rPr>
      </w:pPr>
      <w:r>
        <w:rPr>
          <w:rFonts w:ascii="Arial" w:hAnsi="Arial" w:eastAsia="等线" w:cs="Arial"/>
        </w:rPr>
        <w:t>回归预测需区分不同时段（如高峰vs非高峰）的预测精度，分析ARIMA对时间序列趋势的捕捉能力和GBR对非线性因素（如天气，若数据包含）的拟合能力，误差分析需结合交通场景解释原因。</w:t>
      </w:r>
    </w:p>
    <w:p w14:paraId="2DEB1664">
      <w:pPr>
        <w:pStyle w:val="4"/>
        <w:numPr>
          <w:ilvl w:val="0"/>
          <w:numId w:val="59"/>
        </w:numPr>
        <w:spacing w:before="120" w:after="120" w:line="288" w:lineRule="auto"/>
        <w:ind w:firstLineChars="0"/>
        <w:rPr>
          <w:rFonts w:hint="eastAsia"/>
        </w:rPr>
      </w:pPr>
      <w:r>
        <w:rPr>
          <w:rFonts w:ascii="Arial" w:hAnsi="Arial" w:eastAsia="等线" w:cs="Arial"/>
        </w:rPr>
        <w:t>提交设计报告，</w:t>
      </w:r>
      <w:r>
        <w:rPr>
          <w:rFonts w:ascii="Arial" w:hAnsi="Arial" w:eastAsia="等线" w:cs="Arial"/>
          <w:color w:val="EE0000"/>
        </w:rPr>
        <w:t>代码、路段特征数据集、各集群预测模型</w:t>
      </w:r>
      <w:r>
        <w:rPr>
          <w:rFonts w:hint="eastAsia" w:ascii="Arial" w:hAnsi="Arial" w:eastAsia="等线" w:cs="Arial"/>
          <w:color w:val="EE0000"/>
        </w:rPr>
        <w:t>，</w:t>
      </w:r>
      <w:r>
        <w:rPr>
          <w:rFonts w:ascii="Arial" w:hAnsi="Arial" w:eastAsia="等线" w:cs="Arial"/>
          <w:color w:val="EE0000"/>
        </w:rPr>
        <w:t>代码需包含聚类结果可视化和多时段预测模块。</w:t>
      </w:r>
      <w:r>
        <w:rPr>
          <w:rFonts w:hint="eastAsia" w:ascii="Arial" w:hAnsi="Arial" w:eastAsia="等线" w:cs="Arial"/>
          <w:color w:val="EE0000"/>
        </w:rPr>
        <w:t>（红色部分作为附录）</w:t>
      </w:r>
    </w:p>
    <w:p w14:paraId="3A21F363">
      <w:pPr>
        <w:spacing w:before="120" w:after="120" w:line="288" w:lineRule="auto"/>
        <w:rPr>
          <w:rFonts w:hint="eastAsia"/>
          <w:color w:val="EE0000"/>
        </w:rPr>
      </w:pPr>
    </w:p>
    <w:p w14:paraId="4382EBDD">
      <w:pPr>
        <w:spacing w:before="320" w:after="120" w:line="288" w:lineRule="auto"/>
        <w:outlineLvl w:val="1"/>
        <w:rPr>
          <w:rFonts w:hint="eastAsia"/>
        </w:rPr>
      </w:pPr>
      <w:bookmarkStart w:id="40" w:name="heading_40"/>
      <w:r>
        <w:rPr>
          <w:rFonts w:ascii="Arial" w:hAnsi="Arial" w:eastAsia="等线" w:cs="Arial"/>
          <w:b/>
          <w:sz w:val="32"/>
        </w:rPr>
        <w:t>四、数据集说明</w:t>
      </w:r>
      <w:bookmarkEnd w:id="40"/>
    </w:p>
    <w:p w14:paraId="109F6164">
      <w:pPr>
        <w:spacing w:before="120" w:after="120" w:line="288" w:lineRule="auto"/>
        <w:rPr>
          <w:rFonts w:hint="eastAsia"/>
        </w:rPr>
      </w:pPr>
      <w:r>
        <w:rPr>
          <w:rFonts w:ascii="Arial" w:hAnsi="Arial" w:eastAsia="等线" w:cs="Arial"/>
        </w:rPr>
        <w:t>采用PEMS-SF数据集，来源于加州大学伯克利分校交通实验室（https://pems.berkeley.edu/），需注册后获取，包含325个路段7天的流量数据（共2016个时间点），数据质量高且包含明确的路段标识，适合聚类和分群预测；也可采用公开的Taxi Traffic数据集（如纽约出租车流量数据），从Kaggle搜索获取。</w:t>
      </w:r>
    </w:p>
    <w:p w14:paraId="4D680694">
      <w:pPr>
        <w:spacing w:before="380" w:after="140" w:line="288" w:lineRule="auto"/>
        <w:outlineLvl w:val="0"/>
        <w:rPr>
          <w:rFonts w:hint="eastAsia"/>
        </w:rPr>
      </w:pPr>
      <w:bookmarkStart w:id="41" w:name="heading_41"/>
      <w:r>
        <w:rPr>
          <w:rFonts w:ascii="Arial" w:hAnsi="Arial" w:eastAsia="等线" w:cs="Arial"/>
          <w:b/>
          <w:sz w:val="36"/>
        </w:rPr>
        <w:t>题目</w:t>
      </w:r>
      <w:r>
        <w:rPr>
          <w:rFonts w:hint="eastAsia" w:ascii="Arial" w:hAnsi="Arial" w:eastAsia="等线" w:cs="Arial"/>
          <w:b/>
          <w:sz w:val="36"/>
        </w:rPr>
        <w:t>9（</w:t>
      </w:r>
      <w:r>
        <w:rPr>
          <w:rFonts w:hint="eastAsia" w:ascii="Arial" w:hAnsi="Arial" w:eastAsia="等线" w:cs="Arial"/>
          <w:b/>
          <w:sz w:val="36"/>
          <w:lang w:val="en-US" w:eastAsia="zh-CN"/>
        </w:rPr>
        <w:t>基础</w:t>
      </w:r>
      <w:r>
        <w:rPr>
          <w:rFonts w:hint="eastAsia" w:ascii="Arial" w:hAnsi="Arial" w:eastAsia="等线" w:cs="Arial"/>
          <w:b/>
          <w:sz w:val="36"/>
        </w:rPr>
        <w:t>级）</w:t>
      </w:r>
      <w:r>
        <w:rPr>
          <w:rFonts w:ascii="Arial" w:hAnsi="Arial" w:eastAsia="等线" w:cs="Arial"/>
          <w:b/>
          <w:sz w:val="36"/>
        </w:rPr>
        <w:t>：基于度量学习与分类的人脸识别系统设计</w:t>
      </w:r>
      <w:bookmarkEnd w:id="41"/>
    </w:p>
    <w:p w14:paraId="2AD14005">
      <w:pPr>
        <w:spacing w:before="320" w:after="120" w:line="288" w:lineRule="auto"/>
        <w:outlineLvl w:val="1"/>
        <w:rPr>
          <w:rFonts w:hint="eastAsia"/>
        </w:rPr>
      </w:pPr>
      <w:bookmarkStart w:id="42" w:name="heading_42"/>
      <w:r>
        <w:rPr>
          <w:rFonts w:ascii="Arial" w:hAnsi="Arial" w:eastAsia="等线" w:cs="Arial"/>
          <w:b/>
          <w:sz w:val="32"/>
        </w:rPr>
        <w:t>一、设计背景和需求</w:t>
      </w:r>
      <w:bookmarkEnd w:id="42"/>
    </w:p>
    <w:p w14:paraId="3891DB01">
      <w:pPr>
        <w:spacing w:before="120" w:after="120" w:line="288" w:lineRule="auto"/>
        <w:rPr>
          <w:rFonts w:hint="eastAsia"/>
        </w:rPr>
      </w:pPr>
      <w:r>
        <w:rPr>
          <w:rFonts w:ascii="Arial" w:hAnsi="Arial" w:eastAsia="等线" w:cs="Arial"/>
        </w:rPr>
        <w:t>人脸识别在身份验证、安防监控等场景中应用广泛，核心挑战是在不同姿态、光照、表情下准确匹配人脸特征。传统人脸识别基于固定距离度量（如欧氏距离），难以区分相似人脸和处理姿态变化。本设计需通过度量学习优化人脸特征的距离度量，结合分类算法构建人脸识别系统，提升复杂场景下的识别精度。</w:t>
      </w:r>
    </w:p>
    <w:p w14:paraId="4E8B9160">
      <w:pPr>
        <w:spacing w:before="320" w:after="120" w:line="288" w:lineRule="auto"/>
        <w:outlineLvl w:val="1"/>
        <w:rPr>
          <w:rFonts w:hint="eastAsia"/>
        </w:rPr>
      </w:pPr>
      <w:bookmarkStart w:id="43" w:name="heading_43"/>
      <w:r>
        <w:rPr>
          <w:rFonts w:ascii="Arial" w:hAnsi="Arial" w:eastAsia="等线" w:cs="Arial"/>
          <w:b/>
          <w:sz w:val="32"/>
        </w:rPr>
        <w:t>二、设计任务</w:t>
      </w:r>
      <w:bookmarkEnd w:id="43"/>
    </w:p>
    <w:p w14:paraId="5B54EBD0">
      <w:pPr>
        <w:numPr>
          <w:ilvl w:val="0"/>
          <w:numId w:val="60"/>
        </w:numPr>
        <w:spacing w:before="120" w:after="120" w:line="288" w:lineRule="auto"/>
        <w:rPr>
          <w:rFonts w:hint="eastAsia"/>
        </w:rPr>
      </w:pPr>
      <w:r>
        <w:rPr>
          <w:rFonts w:ascii="Arial" w:hAnsi="Arial" w:eastAsia="等线" w:cs="Arial"/>
        </w:rPr>
        <w:t>数据集获取与预处理：获取Yale Face或ORL数据集，以ORL为例（含40人，每人10张不同姿态、表情的灰度图，92×112像素），提取人脸特征（如PCA特征、LBP特征、Gabor特征），将图像展平后与手工特征拼接为高维特征向量，划分训练集（每人6张图）和测试集（每人4张图），对特征进行归一化。</w:t>
      </w:r>
    </w:p>
    <w:p w14:paraId="63E75F88">
      <w:pPr>
        <w:numPr>
          <w:ilvl w:val="0"/>
          <w:numId w:val="61"/>
        </w:numPr>
        <w:spacing w:before="120" w:after="120" w:line="288" w:lineRule="auto"/>
        <w:rPr>
          <w:rFonts w:hint="eastAsia"/>
        </w:rPr>
      </w:pPr>
      <w:r>
        <w:rPr>
          <w:rFonts w:ascii="Arial" w:hAnsi="Arial" w:eastAsia="等线" w:cs="Arial"/>
        </w:rPr>
        <w:t>度量学习模型构建：分别采用LMNN、ITML、Triplet Loss（传统实现，非深度学习）三种度量学习算法，对人脸特征进行优化，使同一人的不同人脸特征距离更近，不同人的特征距离更远。</w:t>
      </w:r>
    </w:p>
    <w:p w14:paraId="3E48BD7F">
      <w:pPr>
        <w:numPr>
          <w:ilvl w:val="0"/>
          <w:numId w:val="62"/>
        </w:numPr>
        <w:spacing w:before="120" w:after="120" w:line="288" w:lineRule="auto"/>
        <w:rPr>
          <w:rFonts w:hint="eastAsia"/>
        </w:rPr>
      </w:pPr>
      <w:r>
        <w:rPr>
          <w:rFonts w:ascii="Arial" w:hAnsi="Arial" w:eastAsia="等线" w:cs="Arial"/>
        </w:rPr>
        <w:t>识别模型构建与测试：基于原始特征和度量学习优化后的特征，分别构建KNN（K=1,3,5）、SVM（一对一多分类）、朴素贝叶斯</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三种分类模型</w:t>
      </w:r>
      <w:r>
        <w:rPr>
          <w:rFonts w:ascii="Arial" w:hAnsi="Arial" w:eastAsia="等线" w:cs="Arial"/>
        </w:rPr>
        <w:t>。采用留一法交叉验证测试识别准确率，统计不同姿态（如正面、侧面）、表情下的识别准确率，对比度量学习前后的性能提升。</w:t>
      </w:r>
    </w:p>
    <w:p w14:paraId="079A89DB">
      <w:pPr>
        <w:numPr>
          <w:ilvl w:val="0"/>
          <w:numId w:val="63"/>
        </w:numPr>
        <w:spacing w:before="120" w:after="120" w:line="288" w:lineRule="auto"/>
        <w:rPr>
          <w:rFonts w:hint="eastAsia"/>
        </w:rPr>
      </w:pPr>
      <w:r>
        <w:rPr>
          <w:rFonts w:ascii="Arial" w:hAnsi="Arial" w:eastAsia="等线" w:cs="Arial"/>
        </w:rPr>
        <w:t>特征可视化与分析：将原始特征和优化后的特征通过PCA降至二维，绘制散点图，观察同一人和不同人特征的聚集效果。分析度量学习对姿态、表情变化的鲁棒性，如“LMNN优化后，同一人侧面图与正面图的距离缩短30%”。</w:t>
      </w:r>
    </w:p>
    <w:p w14:paraId="4EA74C6E">
      <w:pPr>
        <w:spacing w:before="320" w:after="120" w:line="288" w:lineRule="auto"/>
        <w:outlineLvl w:val="1"/>
        <w:rPr>
          <w:rFonts w:hint="eastAsia"/>
        </w:rPr>
      </w:pPr>
      <w:bookmarkStart w:id="44" w:name="heading_44"/>
      <w:r>
        <w:rPr>
          <w:rFonts w:ascii="Arial" w:hAnsi="Arial" w:eastAsia="等线" w:cs="Arial"/>
          <w:b/>
          <w:sz w:val="32"/>
        </w:rPr>
        <w:t>三、设计要求</w:t>
      </w:r>
      <w:bookmarkEnd w:id="44"/>
    </w:p>
    <w:p w14:paraId="032C08CF">
      <w:pPr>
        <w:numPr>
          <w:ilvl w:val="0"/>
          <w:numId w:val="64"/>
        </w:numPr>
        <w:spacing w:before="120" w:after="120" w:line="288" w:lineRule="auto"/>
        <w:rPr>
          <w:rFonts w:hint="eastAsia"/>
        </w:rPr>
      </w:pPr>
      <w:r>
        <w:rPr>
          <w:rFonts w:ascii="Arial" w:hAnsi="Arial" w:eastAsia="等线" w:cs="Arial"/>
        </w:rPr>
        <w:t>特征提取需说明各特征的优势，如“LBP特征对光照变化鲁棒，适合处理不同光照下的人脸图像”，特征拼接需说明维度和权重分配（如PCA特征占60%，LBP特征占40%）。</w:t>
      </w:r>
    </w:p>
    <w:p w14:paraId="4B5A8F71">
      <w:pPr>
        <w:numPr>
          <w:ilvl w:val="0"/>
          <w:numId w:val="65"/>
        </w:numPr>
        <w:spacing w:before="120" w:after="120" w:line="288" w:lineRule="auto"/>
        <w:rPr>
          <w:rFonts w:hint="eastAsia"/>
        </w:rPr>
      </w:pPr>
      <w:r>
        <w:rPr>
          <w:rFonts w:ascii="Arial" w:hAnsi="Arial" w:eastAsia="等线" w:cs="Arial"/>
        </w:rPr>
        <w:t>度量学习过程需记录训练样本对/三元组的构建方式（如LMNN的正样本对为同一人不同图，负样本对为不同人图），迭代次数和收敛条件，量化说明距离优化效果（如同一人类内距离均值下降幅度）。</w:t>
      </w:r>
    </w:p>
    <w:p w14:paraId="6C3DBC44">
      <w:pPr>
        <w:numPr>
          <w:ilvl w:val="0"/>
          <w:numId w:val="66"/>
        </w:numPr>
        <w:spacing w:before="120" w:after="120" w:line="288" w:lineRule="auto"/>
        <w:rPr>
          <w:rFonts w:hint="eastAsia"/>
        </w:rPr>
      </w:pPr>
      <w:r>
        <w:rPr>
          <w:rFonts w:ascii="Arial" w:hAnsi="Arial" w:eastAsia="等线" w:cs="Arial"/>
        </w:rPr>
        <w:t>识别结果需按姿态、表情分组统计准确率，绘制混淆矩阵（重点展示易混淆的人脸），特征可视化需清晰标注不同人的特征点，体现聚集效果差异。</w:t>
      </w:r>
    </w:p>
    <w:p w14:paraId="7982F63D">
      <w:pPr>
        <w:pStyle w:val="4"/>
        <w:numPr>
          <w:ilvl w:val="0"/>
          <w:numId w:val="66"/>
        </w:numPr>
        <w:spacing w:before="120" w:after="120" w:line="288" w:lineRule="auto"/>
        <w:ind w:left="0" w:leftChars="0" w:firstLine="0" w:firstLineChars="0"/>
        <w:rPr>
          <w:rFonts w:hint="eastAsia"/>
        </w:rPr>
      </w:pPr>
      <w:r>
        <w:rPr>
          <w:rFonts w:ascii="Arial" w:hAnsi="Arial" w:eastAsia="等线" w:cs="Arial"/>
        </w:rPr>
        <w:t>提交设计报告，</w:t>
      </w:r>
      <w:r>
        <w:rPr>
          <w:rFonts w:ascii="Arial" w:hAnsi="Arial" w:eastAsia="等线" w:cs="Arial"/>
          <w:color w:val="EE0000"/>
        </w:rPr>
        <w:t>代码、人脸特征数据集、识别准确率统计表</w:t>
      </w:r>
      <w:r>
        <w:rPr>
          <w:rFonts w:hint="eastAsia" w:ascii="Arial" w:hAnsi="Arial" w:eastAsia="等线" w:cs="Arial"/>
          <w:color w:val="EE0000"/>
        </w:rPr>
        <w:t>，</w:t>
      </w:r>
      <w:r>
        <w:rPr>
          <w:rFonts w:ascii="Arial" w:hAnsi="Arial" w:eastAsia="等线" w:cs="Arial"/>
          <w:color w:val="EE0000"/>
        </w:rPr>
        <w:t>代码需包含特征提取、度量学习训练和可视化模块。</w:t>
      </w:r>
      <w:r>
        <w:rPr>
          <w:rFonts w:hint="eastAsia" w:ascii="Arial" w:hAnsi="Arial" w:eastAsia="等线" w:cs="Arial"/>
          <w:color w:val="EE0000"/>
        </w:rPr>
        <w:t>（红色部分作为附录）</w:t>
      </w:r>
    </w:p>
    <w:p w14:paraId="176C61DC">
      <w:pPr>
        <w:spacing w:before="120" w:after="120" w:line="288" w:lineRule="auto"/>
        <w:rPr>
          <w:rFonts w:hint="eastAsia"/>
        </w:rPr>
      </w:pPr>
    </w:p>
    <w:p w14:paraId="33F2F0CA">
      <w:pPr>
        <w:spacing w:before="320" w:after="120" w:line="288" w:lineRule="auto"/>
        <w:outlineLvl w:val="1"/>
        <w:rPr>
          <w:rFonts w:hint="eastAsia"/>
        </w:rPr>
      </w:pPr>
      <w:bookmarkStart w:id="45" w:name="heading_45"/>
      <w:r>
        <w:rPr>
          <w:rFonts w:ascii="Arial" w:hAnsi="Arial" w:eastAsia="等线" w:cs="Arial"/>
          <w:b/>
          <w:sz w:val="32"/>
        </w:rPr>
        <w:t>四、数据集说明</w:t>
      </w:r>
      <w:bookmarkEnd w:id="45"/>
    </w:p>
    <w:p w14:paraId="0A0C543F">
      <w:pPr>
        <w:spacing w:before="120" w:after="120" w:line="288" w:lineRule="auto"/>
        <w:rPr>
          <w:rFonts w:hint="eastAsia"/>
        </w:rPr>
      </w:pPr>
      <w:r>
        <w:rPr>
          <w:rFonts w:ascii="Arial" w:hAnsi="Arial" w:eastAsia="等线" w:cs="Arial"/>
        </w:rPr>
        <w:t>推荐采用ORL（Olivetti Research Laboratory）人脸数据集，可通过Scikit-learn的</w:t>
      </w:r>
      <w:r>
        <w:rPr>
          <w:rFonts w:ascii="Consolas" w:hAnsi="Consolas" w:eastAsia="Consolas" w:cs="Consolas"/>
          <w:shd w:val="clear" w:color="auto" w:fill="EFF0F1"/>
        </w:rPr>
        <w:t>sklearn.datasets.fetch_olivetti_faces()</w:t>
      </w:r>
      <w:r>
        <w:rPr>
          <w:rFonts w:ascii="Arial" w:hAnsi="Arial" w:eastAsia="等线" w:cs="Arial"/>
        </w:rPr>
        <w:t>直接获取，包含400张图像（40人×10张），图像预处理简单，适合入门级人脸识别实验；Yale Face数据集（15人×11张）包含更丰富的表情和光照变化，难度稍高，可根据学生水平选择。</w:t>
      </w:r>
    </w:p>
    <w:p w14:paraId="1608A6B8">
      <w:pPr>
        <w:spacing w:before="380" w:after="140" w:line="288" w:lineRule="auto"/>
        <w:outlineLvl w:val="0"/>
        <w:rPr>
          <w:rFonts w:hint="eastAsia"/>
        </w:rPr>
      </w:pPr>
      <w:bookmarkStart w:id="46" w:name="heading_46"/>
      <w:r>
        <w:rPr>
          <w:rFonts w:ascii="Arial" w:hAnsi="Arial" w:eastAsia="等线" w:cs="Arial"/>
          <w:b/>
          <w:sz w:val="36"/>
        </w:rPr>
        <w:t>题目</w:t>
      </w:r>
      <w:r>
        <w:rPr>
          <w:rFonts w:hint="eastAsia" w:ascii="Arial" w:hAnsi="Arial" w:eastAsia="等线" w:cs="Arial"/>
          <w:b/>
          <w:sz w:val="36"/>
        </w:rPr>
        <w:t>10（</w:t>
      </w:r>
      <w:r>
        <w:rPr>
          <w:rFonts w:hint="eastAsia" w:ascii="Arial" w:hAnsi="Arial" w:eastAsia="等线" w:cs="Arial"/>
          <w:b/>
          <w:sz w:val="36"/>
          <w:lang w:val="en-US" w:eastAsia="zh-CN"/>
        </w:rPr>
        <w:t>进阶</w:t>
      </w:r>
      <w:r>
        <w:rPr>
          <w:rFonts w:hint="eastAsia" w:ascii="Arial" w:hAnsi="Arial" w:eastAsia="等线" w:cs="Arial"/>
          <w:b/>
          <w:sz w:val="36"/>
        </w:rPr>
        <w:t>级）</w:t>
      </w:r>
      <w:r>
        <w:rPr>
          <w:rFonts w:ascii="Arial" w:hAnsi="Arial" w:eastAsia="等线" w:cs="Arial"/>
          <w:b/>
          <w:sz w:val="36"/>
        </w:rPr>
        <w:t>：基于贝叶斯网络与聚类的故障诊断系统设计</w:t>
      </w:r>
      <w:bookmarkEnd w:id="46"/>
    </w:p>
    <w:p w14:paraId="64F08C4D">
      <w:pPr>
        <w:spacing w:before="320" w:after="120" w:line="288" w:lineRule="auto"/>
        <w:outlineLvl w:val="1"/>
        <w:rPr>
          <w:rFonts w:hint="eastAsia"/>
        </w:rPr>
      </w:pPr>
      <w:bookmarkStart w:id="47" w:name="heading_47"/>
      <w:r>
        <w:rPr>
          <w:rFonts w:ascii="Arial" w:hAnsi="Arial" w:eastAsia="等线" w:cs="Arial"/>
          <w:b/>
          <w:sz w:val="32"/>
        </w:rPr>
        <w:t>一、设计背景和需求</w:t>
      </w:r>
      <w:bookmarkEnd w:id="47"/>
    </w:p>
    <w:p w14:paraId="7B434D4C">
      <w:pPr>
        <w:spacing w:before="120" w:after="120" w:line="288" w:lineRule="auto"/>
        <w:rPr>
          <w:rFonts w:hint="eastAsia"/>
        </w:rPr>
      </w:pPr>
      <w:r>
        <w:rPr>
          <w:rFonts w:ascii="Arial" w:hAnsi="Arial" w:eastAsia="等线" w:cs="Arial"/>
        </w:rPr>
        <w:t>工业设备故障诊断对保障生产安全、减少停机损失至关重要。设备故障与运行参数（如温度、压力、振动频率）存在因果关联，且不同故障类型对应不同的参数异常模式。本设计需通过聚类划分参数异常模式，结合贝叶斯网络构建故障诊断模型，实现“根据运行参数异常判断故障类型”的功能，提升诊断准确率。</w:t>
      </w:r>
    </w:p>
    <w:p w14:paraId="5FF948F4">
      <w:pPr>
        <w:spacing w:before="320" w:after="120" w:line="288" w:lineRule="auto"/>
        <w:outlineLvl w:val="1"/>
        <w:rPr>
          <w:rFonts w:hint="eastAsia"/>
        </w:rPr>
      </w:pPr>
      <w:bookmarkStart w:id="48" w:name="heading_48"/>
      <w:r>
        <w:rPr>
          <w:rFonts w:ascii="Arial" w:hAnsi="Arial" w:eastAsia="等线" w:cs="Arial"/>
          <w:b/>
          <w:sz w:val="32"/>
        </w:rPr>
        <w:t>二、设计任务</w:t>
      </w:r>
      <w:bookmarkEnd w:id="48"/>
    </w:p>
    <w:p w14:paraId="7970ABA7">
      <w:pPr>
        <w:numPr>
          <w:ilvl w:val="0"/>
          <w:numId w:val="67"/>
        </w:numPr>
        <w:spacing w:before="120" w:after="120" w:line="288" w:lineRule="auto"/>
        <w:rPr>
          <w:rFonts w:hint="eastAsia"/>
        </w:rPr>
      </w:pPr>
      <w:r>
        <w:rPr>
          <w:rFonts w:ascii="Arial" w:hAnsi="Arial" w:eastAsia="等线" w:cs="Arial"/>
        </w:rPr>
        <w:t>数据集获取与预处理：获取NASA Turbofan Engine Degradation或Gearbox Fault Diagnosis数据集，以NASA数据集为例（含4台发动机的运行参数数据，如风扇转速、压气机温度、燃油流量等21个参数，标签为正常或不同故障类型），处理缺失值（如删除参数缺失率超过10%的样本），对参数进行标准化，提取故障前100个时间点的参数均值、标准差、峰值作为特征。</w:t>
      </w:r>
    </w:p>
    <w:p w14:paraId="72761EE6">
      <w:pPr>
        <w:numPr>
          <w:ilvl w:val="0"/>
          <w:numId w:val="68"/>
        </w:numPr>
        <w:spacing w:before="120" w:after="120" w:line="288" w:lineRule="auto"/>
        <w:rPr>
          <w:rFonts w:hint="eastAsia"/>
        </w:rPr>
      </w:pPr>
      <w:r>
        <w:rPr>
          <w:rFonts w:ascii="Arial" w:hAnsi="Arial" w:eastAsia="等线" w:cs="Arial"/>
        </w:rPr>
        <w:t>异常模式聚类：采用K-Means、DBSCAN、层次聚类</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w:t>
      </w:r>
      <w:r>
        <w:rPr>
          <w:rFonts w:ascii="Arial" w:hAnsi="Arial" w:eastAsia="等线" w:cs="Arial"/>
        </w:rPr>
        <w:t>算法，对故障样本的特征进行聚类，划分不同的异常模式集群（如温度异常型、振动异常型、多参数综合异常型）。采用轮廓系数确定K-Means最优聚类数（2-6类），分析各集群的参数异常特征（如“集群1的压气机温度标准差比正常样本高2倍”）。</w:t>
      </w:r>
    </w:p>
    <w:p w14:paraId="388C59DD">
      <w:pPr>
        <w:numPr>
          <w:ilvl w:val="0"/>
          <w:numId w:val="69"/>
        </w:numPr>
        <w:spacing w:before="120" w:after="120" w:line="288" w:lineRule="auto"/>
        <w:rPr>
          <w:rFonts w:hint="eastAsia"/>
        </w:rPr>
      </w:pPr>
      <w:r>
        <w:rPr>
          <w:rFonts w:ascii="Arial" w:hAnsi="Arial" w:eastAsia="等线" w:cs="Arial"/>
        </w:rPr>
        <w:t>贝叶斯网络故障诊断模型构建：基于聚类得到的异常模式，构建贝叶斯网络结构（如“振动频率异常→轴承故障”“温度异常→密封故障”），采用极大似然估计学习条件概率表。同时构建决策树、随机森林、SVM</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w:t>
      </w:r>
      <w:r>
        <w:rPr>
          <w:rFonts w:ascii="Arial" w:hAnsi="Arial" w:eastAsia="等线" w:cs="Arial"/>
        </w:rPr>
        <w:t>分类模型作为对比，划分训练集（70%）和测试集（30%）。</w:t>
      </w:r>
    </w:p>
    <w:p w14:paraId="7B6033F2">
      <w:pPr>
        <w:numPr>
          <w:ilvl w:val="0"/>
          <w:numId w:val="70"/>
        </w:numPr>
        <w:spacing w:before="120" w:after="120" w:line="288" w:lineRule="auto"/>
        <w:rPr>
          <w:rFonts w:hint="eastAsia"/>
        </w:rPr>
      </w:pPr>
      <w:r>
        <w:rPr>
          <w:rFonts w:ascii="Arial" w:hAnsi="Arial" w:eastAsia="等线" w:cs="Arial"/>
        </w:rPr>
        <w:t>诊断结果评估：计算各模型的诊断准确率、精确率、召回率、F1值，对比贝叶斯网络与传统模型在不同故障类型（如常见故障vs罕见故障）下的诊断效果。通过贝叶斯网络推理，分析关键参数异常对故障诊断的影响（如“振动频率超过阈值时，轴承故障的后验概率提升多少”），为设备维护提供建议。</w:t>
      </w:r>
    </w:p>
    <w:p w14:paraId="34B5C1C0">
      <w:pPr>
        <w:spacing w:before="320" w:after="120" w:line="288" w:lineRule="auto"/>
        <w:outlineLvl w:val="1"/>
        <w:rPr>
          <w:rFonts w:hint="eastAsia"/>
        </w:rPr>
      </w:pPr>
      <w:bookmarkStart w:id="49" w:name="heading_49"/>
      <w:r>
        <w:rPr>
          <w:rFonts w:ascii="Arial" w:hAnsi="Arial" w:eastAsia="等线" w:cs="Arial"/>
          <w:b/>
          <w:sz w:val="32"/>
        </w:rPr>
        <w:t>三、设计要求</w:t>
      </w:r>
      <w:bookmarkEnd w:id="49"/>
    </w:p>
    <w:p w14:paraId="3BD6BFE3">
      <w:pPr>
        <w:numPr>
          <w:ilvl w:val="0"/>
          <w:numId w:val="71"/>
        </w:numPr>
        <w:spacing w:before="120" w:after="120" w:line="288" w:lineRule="auto"/>
        <w:rPr>
          <w:rFonts w:hint="eastAsia"/>
        </w:rPr>
      </w:pPr>
      <w:r>
        <w:rPr>
          <w:rFonts w:ascii="Arial" w:hAnsi="Arial" w:eastAsia="等线" w:cs="Arial"/>
        </w:rPr>
        <w:t>特征提取需结合设备运行原理，说明各特征对故障诊断的意义，如“故障前参数峰值反映异常程度，标准差反映异常稳定性”，对时间序列数据的处理需说明窗口选择依据（如100个时间点覆盖故障发展的关键阶段）。</w:t>
      </w:r>
    </w:p>
    <w:p w14:paraId="388C38D6">
      <w:pPr>
        <w:numPr>
          <w:ilvl w:val="0"/>
          <w:numId w:val="72"/>
        </w:numPr>
        <w:spacing w:before="120" w:after="120" w:line="288" w:lineRule="auto"/>
        <w:rPr>
          <w:rFonts w:hint="eastAsia"/>
        </w:rPr>
      </w:pPr>
      <w:r>
        <w:rPr>
          <w:rFonts w:ascii="Arial" w:hAnsi="Arial" w:eastAsia="等线" w:cs="Arial"/>
        </w:rPr>
        <w:t>聚类结果需通过参数异常曲线对比展示，每个集群选择2-3个代表性样本，描述其与正常样本的差异，如“集群2为轴承故障样本，振动频率参数波动幅度显著大于其他集群”。</w:t>
      </w:r>
    </w:p>
    <w:p w14:paraId="766D4D9E">
      <w:pPr>
        <w:numPr>
          <w:ilvl w:val="0"/>
          <w:numId w:val="73"/>
        </w:numPr>
        <w:spacing w:before="120" w:after="120" w:line="288" w:lineRule="auto"/>
        <w:rPr>
          <w:rFonts w:hint="eastAsia"/>
        </w:rPr>
      </w:pPr>
      <w:r>
        <w:rPr>
          <w:rFonts w:ascii="Arial" w:hAnsi="Arial" w:eastAsia="等线" w:cs="Arial"/>
        </w:rPr>
        <w:t>贝叶斯网络结构需可视化展示故障与参数异常的因果关系，标注关键条件概率，如“当振动频率异常且温度正常时，轴承故障概率为0.85”。诊断结果需分析模型对罕见故障的识别能力，解释贝叶斯网络处理小样本故障的优势。</w:t>
      </w:r>
    </w:p>
    <w:p w14:paraId="59E6ADD5">
      <w:pPr>
        <w:pStyle w:val="4"/>
        <w:numPr>
          <w:ilvl w:val="0"/>
          <w:numId w:val="73"/>
        </w:numPr>
        <w:spacing w:before="120" w:after="120" w:line="288" w:lineRule="auto"/>
        <w:ind w:firstLineChars="0"/>
        <w:rPr>
          <w:rFonts w:hint="eastAsia"/>
        </w:rPr>
      </w:pPr>
      <w:r>
        <w:rPr>
          <w:rFonts w:ascii="Arial" w:hAnsi="Arial" w:eastAsia="等线" w:cs="Arial"/>
        </w:rPr>
        <w:t>提交设计报告，代码、特征工程后的数据集、故障诊断报告（含维护建议）</w:t>
      </w:r>
      <w:r>
        <w:rPr>
          <w:rFonts w:hint="eastAsia" w:ascii="Arial" w:hAnsi="Arial" w:eastAsia="等线" w:cs="Arial"/>
        </w:rPr>
        <w:t>，</w:t>
      </w:r>
      <w:r>
        <w:rPr>
          <w:rFonts w:ascii="Arial" w:hAnsi="Arial" w:eastAsia="等线" w:cs="Arial"/>
        </w:rPr>
        <w:t>代码需包含聚类结果分析和贝叶斯网络推理模块。</w:t>
      </w:r>
      <w:r>
        <w:rPr>
          <w:rFonts w:hint="eastAsia" w:ascii="Arial" w:hAnsi="Arial" w:eastAsia="等线" w:cs="Arial"/>
          <w:color w:val="EE0000"/>
        </w:rPr>
        <w:t>（红色部分作为附录）</w:t>
      </w:r>
    </w:p>
    <w:p w14:paraId="5A47AB78">
      <w:pPr>
        <w:spacing w:before="120" w:after="120" w:line="288" w:lineRule="auto"/>
        <w:rPr>
          <w:rFonts w:hint="eastAsia"/>
        </w:rPr>
      </w:pPr>
    </w:p>
    <w:p w14:paraId="0A8A0B37">
      <w:pPr>
        <w:spacing w:before="320" w:after="120" w:line="288" w:lineRule="auto"/>
        <w:outlineLvl w:val="1"/>
        <w:rPr>
          <w:rFonts w:hint="eastAsia"/>
        </w:rPr>
      </w:pPr>
      <w:bookmarkStart w:id="50" w:name="heading_50"/>
      <w:r>
        <w:rPr>
          <w:rFonts w:ascii="Arial" w:hAnsi="Arial" w:eastAsia="等线" w:cs="Arial"/>
          <w:b/>
          <w:sz w:val="32"/>
        </w:rPr>
        <w:t>四、数据集说明</w:t>
      </w:r>
      <w:bookmarkEnd w:id="50"/>
    </w:p>
    <w:p w14:paraId="6CDCF0AE">
      <w:pPr>
        <w:spacing w:before="120" w:after="120" w:line="288" w:lineRule="auto"/>
        <w:rPr>
          <w:rFonts w:ascii="Arial" w:hAnsi="Arial" w:eastAsia="等线" w:cs="Arial"/>
        </w:rPr>
      </w:pPr>
      <w:r>
        <w:rPr>
          <w:rFonts w:ascii="Arial" w:hAnsi="Arial" w:eastAsia="等线" w:cs="Arial"/>
        </w:rPr>
        <w:t>采用NASA Turbofan Engine Degradation数据集，来源于NASA预测与健康管理中心（https://ti.arc.nasa.gov/tech/dash/groups/pcoe/prognostic-data-repository/），包含4台发动机的全生命周期运行数据，故障类型明确，参数丰富（21个运行参数），适合构建故障与参数的因果关系模型；Gearbox Fault Diagnosis数据集（齿轮箱故障数据）更侧重机械故障，可根据专业方向选择。</w:t>
      </w:r>
    </w:p>
    <w:p w14:paraId="36FF03D4">
      <w:pPr>
        <w:spacing w:before="380" w:after="140" w:line="288" w:lineRule="auto"/>
        <w:outlineLvl w:val="0"/>
        <w:rPr>
          <w:rFonts w:hint="eastAsia"/>
        </w:rPr>
      </w:pPr>
      <w:r>
        <w:rPr>
          <w:rFonts w:ascii="Arial" w:hAnsi="Arial" w:eastAsia="等线" w:cs="Arial"/>
          <w:b/>
          <w:sz w:val="36"/>
        </w:rPr>
        <w:t>题目</w:t>
      </w:r>
      <w:r>
        <w:rPr>
          <w:rFonts w:hint="eastAsia" w:ascii="Arial" w:hAnsi="Arial" w:eastAsia="等线" w:cs="Arial"/>
          <w:b/>
          <w:sz w:val="36"/>
        </w:rPr>
        <w:t>11（</w:t>
      </w:r>
      <w:r>
        <w:rPr>
          <w:rFonts w:hint="eastAsia" w:ascii="Arial" w:hAnsi="Arial" w:eastAsia="等线" w:cs="Arial"/>
          <w:b/>
          <w:sz w:val="36"/>
          <w:lang w:val="en-US" w:eastAsia="zh-CN"/>
        </w:rPr>
        <w:t>进阶</w:t>
      </w:r>
      <w:r>
        <w:rPr>
          <w:rFonts w:hint="eastAsia" w:ascii="Arial" w:hAnsi="Arial" w:eastAsia="等线" w:cs="Arial"/>
          <w:b/>
          <w:sz w:val="36"/>
        </w:rPr>
        <w:t>级）</w:t>
      </w:r>
      <w:r>
        <w:rPr>
          <w:rFonts w:ascii="Arial" w:hAnsi="Arial" w:eastAsia="等线" w:cs="Arial"/>
          <w:b/>
          <w:sz w:val="36"/>
        </w:rPr>
        <w:t>：基于降维与分类的网络入侵检测系统设计</w:t>
      </w:r>
    </w:p>
    <w:p w14:paraId="7042B092">
      <w:pPr>
        <w:spacing w:before="320" w:after="120" w:line="288" w:lineRule="auto"/>
        <w:outlineLvl w:val="1"/>
        <w:rPr>
          <w:rFonts w:hint="eastAsia"/>
        </w:rPr>
      </w:pPr>
      <w:r>
        <w:rPr>
          <w:rFonts w:ascii="Arial" w:hAnsi="Arial" w:eastAsia="等线" w:cs="Arial"/>
          <w:b/>
          <w:sz w:val="32"/>
        </w:rPr>
        <w:t>一、设计背景和需求</w:t>
      </w:r>
    </w:p>
    <w:p w14:paraId="497CBD63">
      <w:pPr>
        <w:spacing w:before="120" w:after="120" w:line="288" w:lineRule="auto"/>
        <w:rPr>
          <w:rFonts w:hint="eastAsia"/>
        </w:rPr>
      </w:pPr>
      <w:r>
        <w:rPr>
          <w:rFonts w:ascii="Arial" w:hAnsi="Arial" w:eastAsia="等线" w:cs="Arial"/>
        </w:rPr>
        <w:t>网络入侵检测是网络安全的核心防线，用于识别恶意网络行为（如DDoS攻击、端口扫描、SQL注入等）。网络流量数据维度极高（如包含源IP、目的IP、端口号、数据包大小、传输频率等数十种特征），易导致模型计算冗余且泛化能力差。本设计需通过降维技术精简特征维度，结合分类算法构建入侵检测系统，在保证检测精度的同时提升实时性，为中小型企业网络防护提供支撑。</w:t>
      </w:r>
    </w:p>
    <w:p w14:paraId="517A4B9E">
      <w:pPr>
        <w:spacing w:before="320" w:after="120" w:line="288" w:lineRule="auto"/>
        <w:outlineLvl w:val="1"/>
        <w:rPr>
          <w:rFonts w:hint="eastAsia"/>
        </w:rPr>
      </w:pPr>
      <w:r>
        <w:rPr>
          <w:rFonts w:ascii="Arial" w:hAnsi="Arial" w:eastAsia="等线" w:cs="Arial"/>
          <w:b/>
          <w:sz w:val="32"/>
        </w:rPr>
        <w:t>二、设计任务</w:t>
      </w:r>
    </w:p>
    <w:p w14:paraId="5BB3BF45">
      <w:pPr>
        <w:numPr>
          <w:ilvl w:val="0"/>
          <w:numId w:val="74"/>
        </w:numPr>
        <w:spacing w:before="120" w:after="120" w:line="288" w:lineRule="auto"/>
        <w:rPr>
          <w:rFonts w:hint="eastAsia"/>
        </w:rPr>
      </w:pPr>
      <w:r>
        <w:rPr>
          <w:rFonts w:ascii="Arial" w:hAnsi="Arial" w:eastAsia="等线" w:cs="Arial"/>
        </w:rPr>
        <w:t>数据集获取与预处理：获取CSE-CIC-IDS2018数据集（含正常流量及DDoS、Brute Force、Port Scan等10种入侵行为数据），提取流量特征集（如数据包平均大小、每秒数据包数、TCP连接建立时间、重传率等30种核心特征），处理异常值（如删除数据包大小为0的无效数据），对特征进行归一化，划分训练集（80%）和测试集（20%）。</w:t>
      </w:r>
    </w:p>
    <w:p w14:paraId="19BD8FDD">
      <w:pPr>
        <w:numPr>
          <w:ilvl w:val="0"/>
          <w:numId w:val="75"/>
        </w:numPr>
        <w:spacing w:before="120" w:after="120" w:line="288" w:lineRule="auto"/>
        <w:rPr>
          <w:rFonts w:hint="eastAsia"/>
        </w:rPr>
      </w:pPr>
      <w:r>
        <w:rPr>
          <w:rFonts w:ascii="Arial" w:hAnsi="Arial" w:eastAsia="等线" w:cs="Arial"/>
        </w:rPr>
        <w:t>降维模型构建与对比：分别采用PCA（主成分分析）、LDA（线性判别分析）、t-SNE</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w:t>
      </w:r>
      <w:r>
        <w:rPr>
          <w:rFonts w:ascii="Arial" w:hAnsi="Arial" w:eastAsia="等线" w:cs="Arial"/>
        </w:rPr>
        <w:t>降维算法，将30维特征降至10维、15维、20维，对比不同降维维度的特征保留效果（通过重构误差、入侵行为类内类间距离比评估）。</w:t>
      </w:r>
    </w:p>
    <w:p w14:paraId="1844C3F0">
      <w:pPr>
        <w:numPr>
          <w:ilvl w:val="0"/>
          <w:numId w:val="76"/>
        </w:numPr>
        <w:spacing w:before="120" w:after="120" w:line="288" w:lineRule="auto"/>
        <w:rPr>
          <w:rFonts w:hint="eastAsia"/>
        </w:rPr>
      </w:pPr>
      <w:r>
        <w:rPr>
          <w:rFonts w:ascii="Arial" w:hAnsi="Arial" w:eastAsia="等线" w:cs="Arial"/>
        </w:rPr>
        <w:t>分类模型构建与训练：基于降维后的特征，分别构建SVM（支持向量机）、随机森林、逻辑回归</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三种分</w:t>
      </w:r>
      <w:r>
        <w:rPr>
          <w:rFonts w:ascii="Arial" w:hAnsi="Arial" w:eastAsia="等线" w:cs="Arial"/>
        </w:rPr>
        <w:t>类模型，使用训练集训练模型，通过网格搜索优化超参数（如SVM的核函数选择、随机森林的树深度）。</w:t>
      </w:r>
    </w:p>
    <w:p w14:paraId="211D9FF0">
      <w:pPr>
        <w:numPr>
          <w:ilvl w:val="0"/>
          <w:numId w:val="77"/>
        </w:numPr>
        <w:spacing w:before="120" w:after="120" w:line="288" w:lineRule="auto"/>
        <w:rPr>
          <w:rFonts w:hint="eastAsia"/>
        </w:rPr>
      </w:pPr>
      <w:r>
        <w:rPr>
          <w:rFonts w:ascii="Arial" w:hAnsi="Arial" w:eastAsia="等线" w:cs="Arial"/>
        </w:rPr>
        <w:t>综合评估与安全分析：对比不同降维-分类算法组合的测试集准确率、误报率、漏报率及检测耗时，绘制降维后特征的二维可视化图（观察入侵行为与正常流量的区分度）。重点分析漏报率（避免遗漏恶意行为）和误报率（减少正常流量误拦截），结合网络安全场景说明最优算法组合的选择理由。</w:t>
      </w:r>
    </w:p>
    <w:p w14:paraId="088D7430">
      <w:pPr>
        <w:spacing w:before="320" w:after="120" w:line="288" w:lineRule="auto"/>
        <w:outlineLvl w:val="1"/>
        <w:rPr>
          <w:rFonts w:hint="eastAsia"/>
        </w:rPr>
      </w:pPr>
      <w:r>
        <w:rPr>
          <w:rFonts w:ascii="Arial" w:hAnsi="Arial" w:eastAsia="等线" w:cs="Arial"/>
          <w:b/>
          <w:sz w:val="32"/>
        </w:rPr>
        <w:t>三、设计要求</w:t>
      </w:r>
    </w:p>
    <w:p w14:paraId="35AEF92E">
      <w:pPr>
        <w:numPr>
          <w:ilvl w:val="0"/>
          <w:numId w:val="78"/>
        </w:numPr>
        <w:spacing w:before="120" w:after="120" w:line="288" w:lineRule="auto"/>
        <w:rPr>
          <w:rFonts w:hint="eastAsia"/>
        </w:rPr>
      </w:pPr>
      <w:r>
        <w:rPr>
          <w:rFonts w:ascii="Arial" w:hAnsi="Arial" w:eastAsia="等线" w:cs="Arial"/>
        </w:rPr>
        <w:t>预处理需明确特征筛选依据，如“剔除源IP、目的IP等易伪造特征，保留数据包传输特性等核心特征”，归一化方法需说明选择原因（如Min-Max归一化适配流量数据的数值范围特性）。</w:t>
      </w:r>
    </w:p>
    <w:p w14:paraId="149A25D7">
      <w:pPr>
        <w:numPr>
          <w:ilvl w:val="0"/>
          <w:numId w:val="79"/>
        </w:numPr>
        <w:spacing w:before="120" w:after="120" w:line="288" w:lineRule="auto"/>
        <w:rPr>
          <w:rFonts w:hint="eastAsia"/>
        </w:rPr>
      </w:pPr>
      <w:r>
        <w:rPr>
          <w:rFonts w:ascii="Arial" w:hAnsi="Arial" w:eastAsia="等线" w:cs="Arial"/>
        </w:rPr>
        <w:t>降维过程需记录关键指标，如PCA各主成分的方差贡献率、LDA的类间分离度，说明不同降维维度对入侵检测精度的影响规律，如“降至15维时既保证92%的信息保留率，又使检测耗时降低40%”。</w:t>
      </w:r>
    </w:p>
    <w:p w14:paraId="78AA718F">
      <w:pPr>
        <w:numPr>
          <w:ilvl w:val="0"/>
          <w:numId w:val="80"/>
        </w:numPr>
        <w:spacing w:before="120" w:after="120" w:line="288" w:lineRule="auto"/>
        <w:rPr>
          <w:rFonts w:hint="eastAsia"/>
        </w:rPr>
      </w:pPr>
      <w:r>
        <w:rPr>
          <w:rFonts w:ascii="Arial" w:hAnsi="Arial" w:eastAsia="等线" w:cs="Arial"/>
        </w:rPr>
        <w:t>需构建至少9种算法组合，对比表格需包含准确率、误报率、漏报率、检测耗时四项核心指标，针对DDoS等高发攻击类型单独统计检测精度，分析算法对不同攻击类型的识别能力差异。</w:t>
      </w:r>
    </w:p>
    <w:p w14:paraId="2F7216AB">
      <w:pPr>
        <w:pStyle w:val="4"/>
        <w:numPr>
          <w:ilvl w:val="0"/>
          <w:numId w:val="80"/>
        </w:numPr>
        <w:spacing w:before="120" w:after="120" w:line="288" w:lineRule="auto"/>
        <w:ind w:firstLineChars="0"/>
        <w:rPr>
          <w:rFonts w:hint="eastAsia"/>
        </w:rPr>
      </w:pPr>
      <w:r>
        <w:rPr>
          <w:rFonts w:ascii="Arial" w:hAnsi="Arial" w:eastAsia="等线" w:cs="Arial"/>
        </w:rPr>
        <w:t>提交</w:t>
      </w:r>
      <w:r>
        <w:rPr>
          <w:rFonts w:hint="eastAsia" w:ascii="Arial" w:hAnsi="Arial" w:eastAsia="等线" w:cs="Arial"/>
        </w:rPr>
        <w:t>设计报告，</w:t>
      </w:r>
      <w:r>
        <w:rPr>
          <w:rFonts w:ascii="Arial" w:hAnsi="Arial" w:eastAsia="等线" w:cs="Arial"/>
          <w:color w:val="EE0000"/>
        </w:rPr>
        <w:t>完整代码、预处理后数据集、设计报告及入侵检测规则提取文档，代码需包含特征降维、分类检测及实时性统计的模块化函数，注释清晰。</w:t>
      </w:r>
      <w:r>
        <w:rPr>
          <w:rFonts w:hint="eastAsia" w:ascii="Arial" w:hAnsi="Arial" w:eastAsia="等线" w:cs="Arial"/>
          <w:color w:val="EE0000"/>
        </w:rPr>
        <w:t>（红色部分作为附录）</w:t>
      </w:r>
    </w:p>
    <w:p w14:paraId="3DD36D97">
      <w:pPr>
        <w:spacing w:before="120" w:after="120" w:line="288" w:lineRule="auto"/>
        <w:rPr>
          <w:rFonts w:hint="eastAsia"/>
        </w:rPr>
      </w:pPr>
    </w:p>
    <w:p w14:paraId="73201065">
      <w:pPr>
        <w:spacing w:before="320" w:after="120" w:line="288" w:lineRule="auto"/>
        <w:outlineLvl w:val="1"/>
        <w:rPr>
          <w:rFonts w:hint="eastAsia"/>
        </w:rPr>
      </w:pPr>
      <w:r>
        <w:rPr>
          <w:rFonts w:ascii="Arial" w:hAnsi="Arial" w:eastAsia="等线" w:cs="Arial"/>
          <w:b/>
          <w:sz w:val="32"/>
        </w:rPr>
        <w:t>四、数据集说明</w:t>
      </w:r>
    </w:p>
    <w:p w14:paraId="3021EB07">
      <w:pPr>
        <w:spacing w:before="120" w:after="120" w:line="288" w:lineRule="auto"/>
        <w:rPr>
          <w:rFonts w:hint="eastAsia"/>
        </w:rPr>
      </w:pPr>
      <w:r>
        <w:rPr>
          <w:rFonts w:ascii="Arial" w:hAnsi="Arial" w:eastAsia="等线" w:cs="Arial"/>
        </w:rPr>
        <w:t>采用CSE-CIC-IDS2018数据集，来源于加拿大网络安全研究所（https://www.unb.ca/cic/datasets/ids-2018.html），包含5天的真实网络流量数据，标注10种入侵行为及正常流量，共约1600万条记录，特征维度丰富，符合真实网络入侵检测场景；可选择“Friday-WorkingHours-Morning.pcap”等单天数据简化处理，降低计算压力。</w:t>
      </w:r>
    </w:p>
    <w:p w14:paraId="20423A98">
      <w:pPr>
        <w:spacing w:before="380" w:after="140" w:line="288" w:lineRule="auto"/>
        <w:outlineLvl w:val="0"/>
        <w:rPr>
          <w:rFonts w:hint="eastAsia"/>
        </w:rPr>
      </w:pPr>
      <w:r>
        <w:rPr>
          <w:rFonts w:ascii="Arial" w:hAnsi="Arial" w:eastAsia="等线" w:cs="Arial"/>
          <w:b/>
          <w:sz w:val="36"/>
        </w:rPr>
        <w:t>题目</w:t>
      </w:r>
      <w:r>
        <w:rPr>
          <w:rFonts w:hint="eastAsia" w:ascii="Arial" w:hAnsi="Arial" w:eastAsia="等线" w:cs="Arial"/>
          <w:b/>
          <w:sz w:val="36"/>
        </w:rPr>
        <w:t>12（进阶级）</w:t>
      </w:r>
      <w:r>
        <w:rPr>
          <w:rFonts w:ascii="Arial" w:hAnsi="Arial" w:eastAsia="等线" w:cs="Arial"/>
          <w:b/>
          <w:sz w:val="36"/>
        </w:rPr>
        <w:t>：基于度量学习与聚类的工业设备异常行为检测系统设计</w:t>
      </w:r>
    </w:p>
    <w:p w14:paraId="27CEA4E6">
      <w:pPr>
        <w:spacing w:before="320" w:after="120" w:line="288" w:lineRule="auto"/>
        <w:outlineLvl w:val="1"/>
        <w:rPr>
          <w:rFonts w:hint="eastAsia"/>
        </w:rPr>
      </w:pPr>
      <w:r>
        <w:rPr>
          <w:rFonts w:ascii="Arial" w:hAnsi="Arial" w:eastAsia="等线" w:cs="Arial"/>
          <w:b/>
          <w:sz w:val="32"/>
        </w:rPr>
        <w:t>一、设计背景和需求</w:t>
      </w:r>
    </w:p>
    <w:p w14:paraId="3D98D090">
      <w:pPr>
        <w:spacing w:before="120" w:after="120" w:line="288" w:lineRule="auto"/>
        <w:rPr>
          <w:rFonts w:hint="eastAsia"/>
        </w:rPr>
      </w:pPr>
      <w:r>
        <w:rPr>
          <w:rFonts w:ascii="Arial" w:hAnsi="Arial" w:eastAsia="等线" w:cs="Arial"/>
        </w:rPr>
        <w:t>工业设备异常行为检测是工业互联网安全的关键，可及时发现设备故障或恶意篡改（如传感器劫持、控制指令异常）。设备运行数据（如温度、压力、振动频率、控制指令值）的特征尺度差异大，传统聚类算法采用固定距离度量难以捕捉设备正常运行的模式边界。本设计需通过度量学习优化特征距离度量，结合聚类算法构建异常检测系统，实现工业设备异常行为的精准识别，为生产线安全运行提供保障。</w:t>
      </w:r>
    </w:p>
    <w:p w14:paraId="2A860951">
      <w:pPr>
        <w:spacing w:before="320" w:after="120" w:line="288" w:lineRule="auto"/>
        <w:outlineLvl w:val="1"/>
        <w:rPr>
          <w:rFonts w:hint="eastAsia"/>
        </w:rPr>
      </w:pPr>
      <w:r>
        <w:rPr>
          <w:rFonts w:ascii="Arial" w:hAnsi="Arial" w:eastAsia="等线" w:cs="Arial"/>
          <w:b/>
          <w:sz w:val="32"/>
        </w:rPr>
        <w:t>二、设计任务</w:t>
      </w:r>
    </w:p>
    <w:p w14:paraId="73203C91">
      <w:pPr>
        <w:numPr>
          <w:ilvl w:val="0"/>
          <w:numId w:val="81"/>
        </w:numPr>
        <w:spacing w:before="120" w:after="120" w:line="288" w:lineRule="auto"/>
        <w:rPr>
          <w:rFonts w:hint="eastAsia"/>
        </w:rPr>
      </w:pPr>
      <w:r>
        <w:rPr>
          <w:rFonts w:ascii="Arial" w:hAnsi="Arial" w:eastAsia="等线" w:cs="Arial"/>
        </w:rPr>
        <w:t>数据集获取与预处理：获取Steel Plate Fault或NASA Turbofan Engine Degradation数据集，以Steel Plate Fault为例（含钢板生产过程中的27个工艺参数，标签为正常或6种表面缺陷类型），构建设备运行特征集（如参数均值、波动标准差、峰值、参数间相关性等），处理缺失值（如采用相邻时间点插值填充传感器临时故障数据），对特征进行标准化。</w:t>
      </w:r>
    </w:p>
    <w:p w14:paraId="36C08634">
      <w:pPr>
        <w:numPr>
          <w:ilvl w:val="0"/>
          <w:numId w:val="82"/>
        </w:numPr>
        <w:spacing w:before="120" w:after="120" w:line="288" w:lineRule="auto"/>
        <w:rPr>
          <w:rFonts w:hint="eastAsia"/>
        </w:rPr>
      </w:pPr>
      <w:r>
        <w:rPr>
          <w:rFonts w:ascii="Arial" w:hAnsi="Arial" w:eastAsia="等线" w:cs="Arial"/>
        </w:rPr>
        <w:t>度量学习模型构建：分别采用LMNN（大间隔最近邻）、ITML（信息论度量学习）、NCA（邻域成分分析）</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w:t>
      </w:r>
      <w:r>
        <w:rPr>
          <w:rFonts w:ascii="Arial" w:hAnsi="Arial" w:eastAsia="等线" w:cs="Arial"/>
        </w:rPr>
        <w:t>度量学习算法，对设备特征进行优化，得到适配工业场景的自定义距离度量矩阵（使正常运行样本距离更近，异常样本距离更远）。</w:t>
      </w:r>
    </w:p>
    <w:p w14:paraId="12E958BA">
      <w:pPr>
        <w:numPr>
          <w:ilvl w:val="0"/>
          <w:numId w:val="83"/>
        </w:numPr>
        <w:spacing w:before="120" w:after="120" w:line="288" w:lineRule="auto"/>
        <w:rPr>
          <w:rFonts w:hint="eastAsia"/>
        </w:rPr>
      </w:pPr>
      <w:r>
        <w:rPr>
          <w:rFonts w:ascii="Arial" w:hAnsi="Arial" w:eastAsia="等线" w:cs="Arial"/>
        </w:rPr>
        <w:t>聚类与异常检测：基于原始欧氏距离和度量学习优化后的距离，分别构建K-Means、DBSCAN、层次聚类</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三种聚类</w:t>
      </w:r>
      <w:r>
        <w:rPr>
          <w:rFonts w:ascii="Arial" w:hAnsi="Arial" w:eastAsia="等线" w:cs="Arial"/>
        </w:rPr>
        <w:t>模型。对K-Means采用肘部法则和轮廓系数确定最优聚类数（正常样本聚为一类，异常样本形成独立聚类），对DBSCAN优化邻域半径ε和最小样本数MinPts。</w:t>
      </w:r>
    </w:p>
    <w:p w14:paraId="1CFD9743">
      <w:pPr>
        <w:numPr>
          <w:ilvl w:val="0"/>
          <w:numId w:val="84"/>
        </w:numPr>
        <w:spacing w:before="120" w:after="120" w:line="288" w:lineRule="auto"/>
        <w:rPr>
          <w:rFonts w:hint="eastAsia"/>
        </w:rPr>
      </w:pPr>
      <w:r>
        <w:rPr>
          <w:rFonts w:ascii="Arial" w:hAnsi="Arial" w:eastAsia="等线" w:cs="Arial"/>
        </w:rPr>
        <w:t>结果分析与工业适配：统计各聚类结果的异常识别准确率、误判率，计算轮廓系数、Davies-Bouldin指数评估聚类效果，对比度量学习前后的检测性能提升。提炼不同异常类型的特征模式（如“缺陷类型A对应参数12波动标准差超过正常范围2倍”），为设备维护和安全防护提供建议。</w:t>
      </w:r>
    </w:p>
    <w:p w14:paraId="47A0A7F3">
      <w:pPr>
        <w:spacing w:before="320" w:after="120" w:line="288" w:lineRule="auto"/>
        <w:outlineLvl w:val="1"/>
        <w:rPr>
          <w:rFonts w:hint="eastAsia"/>
        </w:rPr>
      </w:pPr>
      <w:r>
        <w:rPr>
          <w:rFonts w:ascii="Arial" w:hAnsi="Arial" w:eastAsia="等线" w:cs="Arial"/>
          <w:b/>
          <w:sz w:val="32"/>
        </w:rPr>
        <w:t>三、设计要求</w:t>
      </w:r>
    </w:p>
    <w:p w14:paraId="79580178">
      <w:pPr>
        <w:numPr>
          <w:ilvl w:val="0"/>
          <w:numId w:val="85"/>
        </w:numPr>
        <w:spacing w:before="120" w:after="120" w:line="288" w:lineRule="auto"/>
        <w:rPr>
          <w:rFonts w:hint="eastAsia"/>
        </w:rPr>
      </w:pPr>
      <w:r>
        <w:rPr>
          <w:rFonts w:ascii="Arial" w:hAnsi="Arial" w:eastAsia="等线" w:cs="Arial"/>
        </w:rPr>
        <w:t>特征构建需结合工业生产逻辑，如“钢板轧制过程中，压力与温度的相关性特征直接反映轧制质量，是异常检测的核心指标”，说明各特征对异常识别的贡献度。</w:t>
      </w:r>
    </w:p>
    <w:p w14:paraId="403D63E3">
      <w:pPr>
        <w:numPr>
          <w:ilvl w:val="0"/>
          <w:numId w:val="86"/>
        </w:numPr>
        <w:spacing w:before="120" w:after="120" w:line="288" w:lineRule="auto"/>
        <w:rPr>
          <w:rFonts w:hint="eastAsia"/>
        </w:rPr>
      </w:pPr>
      <w:r>
        <w:rPr>
          <w:rFonts w:ascii="Arial" w:hAnsi="Arial" w:eastAsia="等线" w:cs="Arial"/>
        </w:rPr>
        <w:t>度量学习过程需记录算法迭代次数、收敛条件，量化说明距离优化效果，如“LMNN优化后，正常样本类内距离均值降低35%，异常样本与正常样本类间距离均值提升50%”，解释自定义距离的工业意义。</w:t>
      </w:r>
    </w:p>
    <w:p w14:paraId="0E2DC8B8">
      <w:pPr>
        <w:numPr>
          <w:ilvl w:val="0"/>
          <w:numId w:val="87"/>
        </w:numPr>
        <w:spacing w:before="120" w:after="120" w:line="288" w:lineRule="auto"/>
        <w:rPr>
          <w:rFonts w:hint="eastAsia"/>
        </w:rPr>
      </w:pPr>
      <w:r>
        <w:rPr>
          <w:rFonts w:ascii="Arial" w:hAnsi="Arial" w:eastAsia="等线" w:cs="Arial"/>
        </w:rPr>
        <w:t>聚类结果需通过二维散点图（PCA降维可视化）展示，标注正常聚类与异常聚类的边界，异常行为分析需结合工业设备运行常识，如“参数15突变对应传感器故障，需优先排查硬件问题”。</w:t>
      </w:r>
    </w:p>
    <w:p w14:paraId="057DA5DB">
      <w:pPr>
        <w:pStyle w:val="4"/>
        <w:numPr>
          <w:ilvl w:val="0"/>
          <w:numId w:val="87"/>
        </w:numPr>
        <w:spacing w:before="120" w:after="120" w:line="288" w:lineRule="auto"/>
        <w:ind w:firstLineChars="0"/>
        <w:rPr>
          <w:rFonts w:hint="eastAsia"/>
        </w:rPr>
      </w:pPr>
      <w:r>
        <w:rPr>
          <w:rFonts w:ascii="Arial" w:hAnsi="Arial" w:eastAsia="等线" w:cs="Arial"/>
        </w:rPr>
        <w:t>提交设计报告，代码、特征工程后的数据集、异常检测报告</w:t>
      </w:r>
      <w:r>
        <w:rPr>
          <w:rFonts w:hint="eastAsia" w:ascii="Arial" w:hAnsi="Arial" w:eastAsia="等线" w:cs="Arial"/>
        </w:rPr>
        <w:t>，</w:t>
      </w:r>
      <w:r>
        <w:rPr>
          <w:rFonts w:ascii="Arial" w:hAnsi="Arial" w:eastAsia="等线" w:cs="Arial"/>
        </w:rPr>
        <w:t>代码需包含距离度量优化、聚类检测及异常特征提取模块，支持对新采集的设备数据实时检测。</w:t>
      </w:r>
      <w:r>
        <w:rPr>
          <w:rFonts w:hint="eastAsia" w:ascii="Arial" w:hAnsi="Arial" w:eastAsia="等线" w:cs="Arial"/>
          <w:color w:val="EE0000"/>
        </w:rPr>
        <w:t>（红色部分作为附录）</w:t>
      </w:r>
    </w:p>
    <w:p w14:paraId="0D79F8BD">
      <w:pPr>
        <w:spacing w:before="120" w:after="120" w:line="288" w:lineRule="auto"/>
        <w:rPr>
          <w:rFonts w:hint="eastAsia"/>
        </w:rPr>
      </w:pPr>
    </w:p>
    <w:p w14:paraId="1B481F7D">
      <w:pPr>
        <w:spacing w:before="320" w:after="120" w:line="288" w:lineRule="auto"/>
        <w:outlineLvl w:val="1"/>
        <w:rPr>
          <w:rFonts w:hint="eastAsia"/>
        </w:rPr>
      </w:pPr>
      <w:r>
        <w:rPr>
          <w:rFonts w:ascii="Arial" w:hAnsi="Arial" w:eastAsia="等线" w:cs="Arial"/>
          <w:b/>
          <w:sz w:val="32"/>
        </w:rPr>
        <w:t>四、数据集说明</w:t>
      </w:r>
    </w:p>
    <w:p w14:paraId="38ECB40F">
      <w:pPr>
        <w:spacing w:before="120" w:after="120" w:line="288" w:lineRule="auto"/>
        <w:rPr>
          <w:rFonts w:hint="eastAsia"/>
        </w:rPr>
      </w:pPr>
      <w:r>
        <w:rPr>
          <w:rFonts w:ascii="Arial" w:hAnsi="Arial" w:eastAsia="等线" w:cs="Arial"/>
        </w:rPr>
        <w:t>采用Steel Plate Fault数据集，来源于UCI机器学习仓库（https://archive.ics.uci.edu/ml/datasets/Steel+Plate+Faults），包含1941个样本，27个工艺参数特征，6种缺陷类型及正常样本，数据直接关联工业生产异常场景；也可采用NASA Turbofan Engine Degradation数据集（发动机运行参数及故障数据），适合旋转机械异常检测场景，可根据专业方向选择。</w:t>
      </w:r>
    </w:p>
    <w:p w14:paraId="6BC47F62">
      <w:pPr>
        <w:spacing w:before="380" w:after="140" w:line="288" w:lineRule="auto"/>
        <w:outlineLvl w:val="0"/>
        <w:rPr>
          <w:rFonts w:hint="eastAsia"/>
        </w:rPr>
      </w:pPr>
      <w:r>
        <w:rPr>
          <w:rFonts w:ascii="Arial" w:hAnsi="Arial" w:eastAsia="等线" w:cs="Arial"/>
          <w:b/>
          <w:sz w:val="36"/>
        </w:rPr>
        <w:t>题目</w:t>
      </w:r>
      <w:r>
        <w:rPr>
          <w:rFonts w:hint="eastAsia" w:ascii="Arial" w:hAnsi="Arial" w:eastAsia="等线" w:cs="Arial"/>
          <w:b/>
          <w:sz w:val="36"/>
        </w:rPr>
        <w:t>13（</w:t>
      </w:r>
      <w:r>
        <w:rPr>
          <w:rFonts w:hint="eastAsia" w:ascii="Arial" w:hAnsi="Arial" w:eastAsia="等线" w:cs="Arial"/>
          <w:b/>
          <w:sz w:val="36"/>
          <w:lang w:val="en-US" w:eastAsia="zh-CN"/>
        </w:rPr>
        <w:t>挑战</w:t>
      </w:r>
      <w:r>
        <w:rPr>
          <w:rFonts w:hint="eastAsia" w:ascii="Arial" w:hAnsi="Arial" w:eastAsia="等线" w:cs="Arial"/>
          <w:b/>
          <w:sz w:val="36"/>
        </w:rPr>
        <w:t>级）</w:t>
      </w:r>
      <w:r>
        <w:rPr>
          <w:rFonts w:ascii="Arial" w:hAnsi="Arial" w:eastAsia="等线" w:cs="Arial"/>
          <w:b/>
          <w:sz w:val="36"/>
        </w:rPr>
        <w:t>：基于贝叶斯网络的数据泄露风险评估系统设计</w:t>
      </w:r>
    </w:p>
    <w:p w14:paraId="6C57CDEE">
      <w:pPr>
        <w:spacing w:before="320" w:after="120" w:line="288" w:lineRule="auto"/>
        <w:outlineLvl w:val="1"/>
        <w:rPr>
          <w:rFonts w:hint="eastAsia"/>
        </w:rPr>
      </w:pPr>
      <w:r>
        <w:rPr>
          <w:rFonts w:ascii="Arial" w:hAnsi="Arial" w:eastAsia="等线" w:cs="Arial"/>
          <w:b/>
          <w:sz w:val="32"/>
        </w:rPr>
        <w:t>一、设计背景和需求</w:t>
      </w:r>
    </w:p>
    <w:p w14:paraId="7F84230F">
      <w:pPr>
        <w:spacing w:before="120" w:after="120" w:line="288" w:lineRule="auto"/>
        <w:rPr>
          <w:rFonts w:hint="eastAsia"/>
        </w:rPr>
      </w:pPr>
      <w:r>
        <w:rPr>
          <w:rFonts w:ascii="Arial" w:hAnsi="Arial" w:eastAsia="等线" w:cs="Arial"/>
        </w:rPr>
        <w:t>数据泄露风险评估是数据安全管理的核心任务，需识别数据全生命周期（采集、存储、传输、使用、销毁）中的风险点（如权限滥用、传输加密失效、存储介质丢失等）。风险因素间存在复杂因果关系（如“权限过高→未授权访问→数据泄露”），且风险评估存在强不确定性（如“员工违规操作概率难以精确量化”）。贝叶斯网络可建模因果关系并处理不确定性，本设计需构建数据泄露风险评估系统，为企业数据安全防护策略制定提供依据。</w:t>
      </w:r>
    </w:p>
    <w:p w14:paraId="0B42038B">
      <w:pPr>
        <w:spacing w:before="320" w:after="120" w:line="288" w:lineRule="auto"/>
        <w:outlineLvl w:val="1"/>
        <w:rPr>
          <w:rFonts w:hint="eastAsia"/>
        </w:rPr>
      </w:pPr>
      <w:r>
        <w:rPr>
          <w:rFonts w:ascii="Arial" w:hAnsi="Arial" w:eastAsia="等线" w:cs="Arial"/>
          <w:b/>
          <w:sz w:val="32"/>
        </w:rPr>
        <w:t>二、设计任务</w:t>
      </w:r>
    </w:p>
    <w:p w14:paraId="7E8EA02B">
      <w:pPr>
        <w:numPr>
          <w:ilvl w:val="0"/>
          <w:numId w:val="88"/>
        </w:numPr>
        <w:spacing w:before="120" w:after="120" w:line="288" w:lineRule="auto"/>
        <w:rPr>
          <w:rFonts w:hint="eastAsia"/>
        </w:rPr>
      </w:pPr>
      <w:r>
        <w:rPr>
          <w:rFonts w:ascii="Arial" w:hAnsi="Arial" w:eastAsia="等线" w:cs="Arial"/>
        </w:rPr>
        <w:t>数据集获取与预处理：获取Data Breach Risk Dataset或自行构建企业数据安全场景数据集（含组织架构、权限分配、加密方式、员工培训次数、安全设备部署等20个风险因素，标签为“高/中/低”泄露风险），处理缺失值（如采用贝叶斯估计填充“员工违规历史”等缺失数据），将分类特征（如加密方式）转换为离散值，划分训练集（70%）和测试集（30%）。</w:t>
      </w:r>
    </w:p>
    <w:p w14:paraId="40A3860F">
      <w:pPr>
        <w:numPr>
          <w:ilvl w:val="0"/>
          <w:numId w:val="89"/>
        </w:numPr>
        <w:spacing w:before="120" w:after="120" w:line="288" w:lineRule="auto"/>
        <w:rPr>
          <w:rFonts w:hint="eastAsia"/>
        </w:rPr>
      </w:pPr>
      <w:r>
        <w:rPr>
          <w:rFonts w:ascii="Arial" w:hAnsi="Arial" w:eastAsia="等线" w:cs="Arial"/>
        </w:rPr>
        <w:t>贝叶斯网络构建：分别采用评分搜索（BIC评分）、约束学习（PC算法）、混合学习三种方法构建网络结构，识别数据泄露风险的关键因果链（如“加密方式→传输安全→数据泄露”“权限分配→未授权访问→数据泄露”）。基于训练集采用极大似然估计和贝叶斯估计两种方法学习条件概率表。</w:t>
      </w:r>
    </w:p>
    <w:p w14:paraId="5C5AD1C7">
      <w:pPr>
        <w:numPr>
          <w:ilvl w:val="0"/>
          <w:numId w:val="90"/>
        </w:numPr>
        <w:spacing w:before="120" w:after="120" w:line="288" w:lineRule="auto"/>
        <w:rPr>
          <w:rFonts w:hint="eastAsia"/>
        </w:rPr>
      </w:pPr>
      <w:r>
        <w:rPr>
          <w:rFonts w:ascii="Arial" w:hAnsi="Arial" w:eastAsia="等线" w:cs="Arial"/>
        </w:rPr>
        <w:t>风险评估与对比：基于不同结构的贝叶斯网络，计算测试集中每个样本的泄露风险概率，划分风险等级并与真实标签对比。同时构建逻辑回归、随机森林、SVM</w:t>
      </w:r>
      <w:r>
        <w:rPr>
          <w:rFonts w:hint="eastAsia" w:ascii="Arial" w:hAnsi="Arial" w:eastAsia="等线" w:cs="Arial"/>
          <w:lang w:val="en-US" w:eastAsia="zh-CN"/>
        </w:rPr>
        <w:t>等至少</w:t>
      </w:r>
      <w:r>
        <w:rPr>
          <w:rFonts w:ascii="Arial" w:hAnsi="Arial" w:eastAsia="等线" w:cs="Arial"/>
        </w:rPr>
        <w:t>三种分类模型作为对比，计算各模型的准确率、精确率、召回率及风险等级划分准确率。</w:t>
      </w:r>
    </w:p>
    <w:p w14:paraId="232EA173">
      <w:pPr>
        <w:numPr>
          <w:ilvl w:val="0"/>
          <w:numId w:val="91"/>
        </w:numPr>
        <w:spacing w:before="120" w:after="120" w:line="288" w:lineRule="auto"/>
        <w:rPr>
          <w:rFonts w:hint="eastAsia"/>
        </w:rPr>
      </w:pPr>
      <w:r>
        <w:rPr>
          <w:rFonts w:ascii="Arial" w:hAnsi="Arial" w:eastAsia="等线" w:cs="Arial"/>
        </w:rPr>
        <w:t>敏感性与安全策略分析：通过贝叶斯网络推理，分析关键风险因素变化对泄露风险的影响（如“将明文传输改为AES加密后，泄露风险降低多少”），针对高风险因素提出可落地的安全防护策略（如“对权限过高的3类岗位实施最小权限原则整改”）。</w:t>
      </w:r>
    </w:p>
    <w:p w14:paraId="4EF490AB">
      <w:pPr>
        <w:spacing w:before="320" w:after="120" w:line="288" w:lineRule="auto"/>
        <w:outlineLvl w:val="1"/>
        <w:rPr>
          <w:rFonts w:hint="eastAsia"/>
        </w:rPr>
      </w:pPr>
      <w:r>
        <w:rPr>
          <w:rFonts w:ascii="Arial" w:hAnsi="Arial" w:eastAsia="等线" w:cs="Arial"/>
          <w:b/>
          <w:sz w:val="32"/>
        </w:rPr>
        <w:t>三、设计要求</w:t>
      </w:r>
    </w:p>
    <w:p w14:paraId="175ECC70">
      <w:pPr>
        <w:numPr>
          <w:ilvl w:val="0"/>
          <w:numId w:val="92"/>
        </w:numPr>
        <w:spacing w:before="120" w:after="120" w:line="288" w:lineRule="auto"/>
        <w:rPr>
          <w:rFonts w:hint="eastAsia"/>
        </w:rPr>
      </w:pPr>
      <w:r>
        <w:rPr>
          <w:rFonts w:ascii="Arial" w:hAnsi="Arial" w:eastAsia="等线" w:cs="Arial"/>
        </w:rPr>
        <w:t>数据集需包含数据全生命周期的风险因素，如采集阶段的“数据脱敏程度”、存储阶段的“存储介质安全等级”、使用阶段的“终端安全防护”等，分类特征编码需记录规则（如“加密方式：0=明文，1=DES，2=AES”）。</w:t>
      </w:r>
    </w:p>
    <w:p w14:paraId="2AD58FC6">
      <w:pPr>
        <w:numPr>
          <w:ilvl w:val="0"/>
          <w:numId w:val="93"/>
        </w:numPr>
        <w:spacing w:before="120" w:after="120" w:line="288" w:lineRule="auto"/>
        <w:rPr>
          <w:rFonts w:hint="eastAsia"/>
        </w:rPr>
      </w:pPr>
      <w:r>
        <w:rPr>
          <w:rFonts w:ascii="Arial" w:hAnsi="Arial" w:eastAsia="等线" w:cs="Arial"/>
        </w:rPr>
        <w:t>贝叶斯网络结构需通过有向无环图（DAG）可视化展示，标注关键因果关系及条件概率，如“当加密方式为AES且权限分配合理时，泄露风险为0.08”，结构学习需对比不同方法的合理性（结合数据安全常识判断）。</w:t>
      </w:r>
    </w:p>
    <w:p w14:paraId="5DF9636A">
      <w:pPr>
        <w:numPr>
          <w:ilvl w:val="0"/>
          <w:numId w:val="94"/>
        </w:numPr>
        <w:spacing w:before="120" w:after="120" w:line="288" w:lineRule="auto"/>
        <w:rPr>
          <w:rFonts w:hint="eastAsia"/>
        </w:rPr>
      </w:pPr>
      <w:r>
        <w:rPr>
          <w:rFonts w:ascii="Arial" w:hAnsi="Arial" w:eastAsia="等线" w:cs="Arial"/>
        </w:rPr>
        <w:t>风险评估需重点分析高风险样本的识别准确率（避免漏判高风险场景），敏感性分析需量化风险因素的影响幅度，如“员工安全培训次数每增加1次，违规操作导致泄露的概率降低12%”。</w:t>
      </w:r>
    </w:p>
    <w:p w14:paraId="7C589B7E">
      <w:pPr>
        <w:pStyle w:val="4"/>
        <w:numPr>
          <w:ilvl w:val="0"/>
          <w:numId w:val="94"/>
        </w:numPr>
        <w:spacing w:before="120" w:after="120" w:line="288" w:lineRule="auto"/>
        <w:ind w:firstLineChars="0"/>
        <w:rPr>
          <w:rFonts w:hint="eastAsia"/>
        </w:rPr>
      </w:pPr>
      <w:r>
        <w:rPr>
          <w:rFonts w:ascii="Arial" w:hAnsi="Arial" w:eastAsia="等线" w:cs="Arial"/>
        </w:rPr>
        <w:t>提交设计报告，</w:t>
      </w:r>
      <w:r>
        <w:rPr>
          <w:rFonts w:ascii="Arial" w:hAnsi="Arial" w:eastAsia="等线" w:cs="Arial"/>
          <w:color w:val="EE0000"/>
        </w:rPr>
        <w:t>代码、预处理后数据集、风险评估报告（含安全策略建议）</w:t>
      </w:r>
      <w:r>
        <w:rPr>
          <w:rFonts w:hint="eastAsia" w:ascii="Arial" w:hAnsi="Arial" w:eastAsia="等线" w:cs="Arial"/>
          <w:color w:val="EE0000"/>
        </w:rPr>
        <w:t>，</w:t>
      </w:r>
      <w:r>
        <w:rPr>
          <w:rFonts w:ascii="Arial" w:hAnsi="Arial" w:eastAsia="等线" w:cs="Arial"/>
          <w:color w:val="EE0000"/>
        </w:rPr>
        <w:t>代码需包含网络结构学习、概率推理和敏感性分析模块，支持自定义风险因素值进行实时评估。</w:t>
      </w:r>
      <w:r>
        <w:rPr>
          <w:rFonts w:hint="eastAsia" w:ascii="Arial" w:hAnsi="Arial" w:eastAsia="等线" w:cs="Arial"/>
          <w:color w:val="EE0000"/>
        </w:rPr>
        <w:t>（红色部分作为附录）</w:t>
      </w:r>
    </w:p>
    <w:p w14:paraId="4367B419">
      <w:pPr>
        <w:spacing w:before="120" w:after="120" w:line="288" w:lineRule="auto"/>
        <w:rPr>
          <w:rFonts w:hint="eastAsia"/>
        </w:rPr>
      </w:pPr>
    </w:p>
    <w:p w14:paraId="7C74EDB5">
      <w:pPr>
        <w:spacing w:before="320" w:after="120" w:line="288" w:lineRule="auto"/>
        <w:outlineLvl w:val="1"/>
        <w:rPr>
          <w:rFonts w:hint="eastAsia"/>
        </w:rPr>
      </w:pPr>
      <w:r>
        <w:rPr>
          <w:rFonts w:ascii="Arial" w:hAnsi="Arial" w:eastAsia="等线" w:cs="Arial"/>
          <w:b/>
          <w:sz w:val="32"/>
        </w:rPr>
        <w:t>四、数据集说明</w:t>
      </w:r>
    </w:p>
    <w:p w14:paraId="2CD035A9">
      <w:pPr>
        <w:spacing w:before="120" w:after="120" w:line="288" w:lineRule="auto"/>
        <w:rPr>
          <w:rFonts w:hint="eastAsia"/>
        </w:rPr>
      </w:pPr>
      <w:r>
        <w:rPr>
          <w:rFonts w:ascii="Arial" w:hAnsi="Arial" w:eastAsia="等线" w:cs="Arial"/>
        </w:rPr>
        <w:t>推荐采用自定义数据集结合公开数据扩展：基础框架参考UCI的“Security Domain Dataset”（含权限、加密等基础特征），补充数据安全领域专业风险因素（如数据脱敏程度、安全审计频率等），样本量不少于1000条；也可采用Kaggle的“Data Breach Investigation Dataset”（含真实数据泄露事件的风险因素记录），需对事件描述进行特征提取转化。</w:t>
      </w:r>
    </w:p>
    <w:p w14:paraId="4AA76671">
      <w:pPr>
        <w:spacing w:before="380" w:after="140" w:line="288" w:lineRule="auto"/>
        <w:outlineLvl w:val="0"/>
        <w:rPr>
          <w:rFonts w:hint="eastAsia"/>
        </w:rPr>
      </w:pPr>
      <w:r>
        <w:rPr>
          <w:rFonts w:ascii="Arial" w:hAnsi="Arial" w:eastAsia="等线" w:cs="Arial"/>
          <w:b/>
          <w:sz w:val="36"/>
        </w:rPr>
        <w:t>题目</w:t>
      </w:r>
      <w:r>
        <w:rPr>
          <w:rFonts w:hint="eastAsia" w:ascii="Arial" w:hAnsi="Arial" w:eastAsia="等线" w:cs="Arial"/>
          <w:b/>
          <w:sz w:val="36"/>
        </w:rPr>
        <w:t>14（进阶级）</w:t>
      </w:r>
      <w:r>
        <w:rPr>
          <w:rFonts w:ascii="Arial" w:hAnsi="Arial" w:eastAsia="等线" w:cs="Arial"/>
          <w:b/>
          <w:sz w:val="36"/>
        </w:rPr>
        <w:t>：基于回归与降维的工业能耗异常预测系统设计</w:t>
      </w:r>
    </w:p>
    <w:p w14:paraId="1311D2EC">
      <w:pPr>
        <w:spacing w:before="320" w:after="120" w:line="288" w:lineRule="auto"/>
        <w:outlineLvl w:val="1"/>
        <w:rPr>
          <w:rFonts w:hint="eastAsia"/>
        </w:rPr>
      </w:pPr>
      <w:r>
        <w:rPr>
          <w:rFonts w:ascii="Arial" w:hAnsi="Arial" w:eastAsia="等线" w:cs="Arial"/>
          <w:b/>
          <w:sz w:val="32"/>
        </w:rPr>
        <w:t>一、设计背景和需求</w:t>
      </w:r>
    </w:p>
    <w:p w14:paraId="2DD5615B">
      <w:pPr>
        <w:spacing w:before="120" w:after="120" w:line="288" w:lineRule="auto"/>
        <w:rPr>
          <w:rFonts w:hint="eastAsia"/>
        </w:rPr>
      </w:pPr>
      <w:r>
        <w:rPr>
          <w:rFonts w:ascii="Arial" w:hAnsi="Arial" w:eastAsia="等线" w:cs="Arial"/>
        </w:rPr>
        <w:t>工业能耗异常预测是工业节能与能源安全的重要手段，可及时发现能源浪费（如设备空转）或能源窃取（如私接线路）。工业能耗受生产负荷、设备数量、环境温度、生产时长等多因素影响，特征间存在多重共线性（如生产负荷与设备运行数量高度相关），导致回归模型精度低且解释性差。本设计需通过降维消除共线性，结合回归算法构建能耗预测系统，实现能耗异常的提前预警，为企业能源管理提供支撑。</w:t>
      </w:r>
    </w:p>
    <w:p w14:paraId="6E04ADAF">
      <w:pPr>
        <w:spacing w:before="320" w:after="120" w:line="288" w:lineRule="auto"/>
        <w:outlineLvl w:val="1"/>
        <w:rPr>
          <w:rFonts w:hint="eastAsia"/>
        </w:rPr>
      </w:pPr>
      <w:r>
        <w:rPr>
          <w:rFonts w:ascii="Arial" w:hAnsi="Arial" w:eastAsia="等线" w:cs="Arial"/>
          <w:b/>
          <w:sz w:val="32"/>
        </w:rPr>
        <w:t>二、设计任务</w:t>
      </w:r>
    </w:p>
    <w:p w14:paraId="4487F34F">
      <w:pPr>
        <w:numPr>
          <w:ilvl w:val="0"/>
          <w:numId w:val="95"/>
        </w:numPr>
        <w:spacing w:before="120" w:after="120" w:line="288" w:lineRule="auto"/>
        <w:rPr>
          <w:rFonts w:hint="eastAsia"/>
        </w:rPr>
      </w:pPr>
      <w:r>
        <w:rPr>
          <w:rFonts w:ascii="Arial" w:hAnsi="Arial" w:eastAsia="等线" w:cs="Arial"/>
        </w:rPr>
        <w:t>数据集获取与预处理：获取Industrial Energy Consumption或UCI Energy Efficiency数据集，以Industrial Energy Consumption为例（含某工厂的生产负荷、设备运行台数、环境温度、小时能耗等12个特征，时间跨度3个月），处理异常值（如使用3σ准则删除能耗突增的故障数据），对数值特征标准化，分析特征间Pearson相关系数，识别多重共线性特征（相关系数绝对值≥0.7）。</w:t>
      </w:r>
    </w:p>
    <w:p w14:paraId="2E8DE45C">
      <w:pPr>
        <w:numPr>
          <w:ilvl w:val="0"/>
          <w:numId w:val="96"/>
        </w:numPr>
        <w:spacing w:before="120" w:after="120" w:line="288" w:lineRule="auto"/>
        <w:rPr>
          <w:rFonts w:hint="eastAsia"/>
        </w:rPr>
      </w:pPr>
      <w:r>
        <w:rPr>
          <w:rFonts w:ascii="Arial" w:hAnsi="Arial" w:eastAsia="等线" w:cs="Arial"/>
        </w:rPr>
        <w:t>降维与特征选择：分别采用PCA（降维）、Lasso（特征选择）、因子分析</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三种方</w:t>
      </w:r>
      <w:r>
        <w:rPr>
          <w:rFonts w:ascii="Arial" w:hAnsi="Arial" w:eastAsia="等线" w:cs="Arial"/>
        </w:rPr>
        <w:t>法处理特征，PCA和因子分析保留累计方差贡献率≥85%的维度/因子，Lasso通过交叉验证确定正则化参数α，筛选关键特征。</w:t>
      </w:r>
    </w:p>
    <w:p w14:paraId="147E5BEA">
      <w:pPr>
        <w:numPr>
          <w:ilvl w:val="0"/>
          <w:numId w:val="97"/>
        </w:numPr>
        <w:spacing w:before="120" w:after="120" w:line="288" w:lineRule="auto"/>
        <w:rPr>
          <w:rFonts w:hint="eastAsia"/>
        </w:rPr>
      </w:pPr>
      <w:r>
        <w:rPr>
          <w:rFonts w:ascii="Arial" w:hAnsi="Arial" w:eastAsia="等线" w:cs="Arial"/>
        </w:rPr>
        <w:t>回归预测模型构建：基于原始特征和处理后的特征，分别构建线性回归、Ridge回归、梯度提升树（GBR）</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三种模型</w:t>
      </w:r>
      <w:r>
        <w:rPr>
          <w:rFonts w:ascii="Arial" w:hAnsi="Arial" w:eastAsia="等线" w:cs="Arial"/>
        </w:rPr>
        <w:t>，划分训练集（70%）、验证集（15%）、测试集（15%），使用验证集优化超参数（如Ridge的α值、GBR的树深度），构建“正常能耗预测模型”。</w:t>
      </w:r>
    </w:p>
    <w:p w14:paraId="4E98E637">
      <w:pPr>
        <w:numPr>
          <w:ilvl w:val="0"/>
          <w:numId w:val="98"/>
        </w:numPr>
        <w:spacing w:before="120" w:after="120" w:line="288" w:lineRule="auto"/>
        <w:rPr>
          <w:rFonts w:hint="eastAsia"/>
        </w:rPr>
      </w:pPr>
      <w:r>
        <w:rPr>
          <w:rFonts w:ascii="Arial" w:hAnsi="Arial" w:eastAsia="等线" w:cs="Arial"/>
        </w:rPr>
        <w:t>异常检测与评估：设定预测值与真实值的偏差阈值（如±15%）识别能耗异常，计算各模型的异常检测准确率、误报率，对比不同降维-回归组合的性能。分析异常案例（如“2024-03-15 14时能耗超预测值20%，对应设备空转故障”），绘制能耗预测值与真实值对比曲线及异常点标注图。</w:t>
      </w:r>
    </w:p>
    <w:p w14:paraId="5AC4AD63">
      <w:pPr>
        <w:spacing w:before="320" w:after="120" w:line="288" w:lineRule="auto"/>
        <w:outlineLvl w:val="1"/>
        <w:rPr>
          <w:rFonts w:hint="eastAsia"/>
        </w:rPr>
      </w:pPr>
      <w:r>
        <w:rPr>
          <w:rFonts w:ascii="Arial" w:hAnsi="Arial" w:eastAsia="等线" w:cs="Arial"/>
          <w:b/>
          <w:sz w:val="32"/>
        </w:rPr>
        <w:t>三、设计要求</w:t>
      </w:r>
    </w:p>
    <w:p w14:paraId="463C8DE6">
      <w:pPr>
        <w:numPr>
          <w:ilvl w:val="0"/>
          <w:numId w:val="99"/>
        </w:numPr>
        <w:spacing w:before="120" w:after="120" w:line="288" w:lineRule="auto"/>
        <w:rPr>
          <w:rFonts w:hint="eastAsia"/>
        </w:rPr>
      </w:pPr>
      <w:r>
        <w:rPr>
          <w:rFonts w:ascii="Arial" w:hAnsi="Arial" w:eastAsia="等线" w:cs="Arial"/>
        </w:rPr>
        <w:t>多重共线性分析需绘制相关性热力图，明确标注高相关特征对（如“生产负荷与设备运行台数相关系数0.86”），说明降维对消除共线性的作用，如“PCA降维后特征间最大相关系数降至0.32”。</w:t>
      </w:r>
    </w:p>
    <w:p w14:paraId="1C1C8FB7">
      <w:pPr>
        <w:numPr>
          <w:ilvl w:val="0"/>
          <w:numId w:val="100"/>
        </w:numPr>
        <w:spacing w:before="120" w:after="120" w:line="288" w:lineRule="auto"/>
        <w:rPr>
          <w:rFonts w:hint="eastAsia"/>
        </w:rPr>
      </w:pPr>
      <w:r>
        <w:rPr>
          <w:rFonts w:ascii="Arial" w:hAnsi="Arial" w:eastAsia="等线" w:cs="Arial"/>
        </w:rPr>
        <w:t>降维过程需解释公共因子含义，如“因子1可解释为‘生产强度因子’，包含生产负荷、设备运行台数等特征”，Lasso筛选后的特征需结合工业能耗逻辑说明必要性（如“环境温度是冬季能耗的关键影响因素，被保留为核心特征”）。</w:t>
      </w:r>
    </w:p>
    <w:p w14:paraId="0EC22D2F">
      <w:pPr>
        <w:numPr>
          <w:ilvl w:val="0"/>
          <w:numId w:val="101"/>
        </w:numPr>
        <w:spacing w:before="120" w:after="120" w:line="288" w:lineRule="auto"/>
        <w:rPr>
          <w:rFonts w:hint="eastAsia"/>
        </w:rPr>
      </w:pPr>
      <w:r>
        <w:rPr>
          <w:rFonts w:ascii="Arial" w:hAnsi="Arial" w:eastAsia="等线" w:cs="Arial"/>
        </w:rPr>
        <w:t>模型评估需包含预测指标（MAE、RMSE、R²）和异常检测指标（准确率、误报率），对比线性与非线性模型的性能差异，分析不同生产时段（如白天vs夜间、工作日vs周末）的预测精度差异。</w:t>
      </w:r>
    </w:p>
    <w:p w14:paraId="56AAE430">
      <w:pPr>
        <w:pStyle w:val="4"/>
        <w:numPr>
          <w:ilvl w:val="0"/>
          <w:numId w:val="101"/>
        </w:numPr>
        <w:spacing w:before="120" w:after="120" w:line="288" w:lineRule="auto"/>
        <w:ind w:firstLineChars="0"/>
        <w:rPr>
          <w:rFonts w:hint="eastAsia"/>
        </w:rPr>
      </w:pPr>
      <w:r>
        <w:rPr>
          <w:rFonts w:ascii="Arial" w:hAnsi="Arial" w:eastAsia="等线" w:cs="Arial"/>
        </w:rPr>
        <w:t>提交设计报告，</w:t>
      </w:r>
      <w:r>
        <w:rPr>
          <w:rFonts w:ascii="Arial" w:hAnsi="Arial" w:eastAsia="等线" w:cs="Arial"/>
          <w:color w:val="EE0000"/>
        </w:rPr>
        <w:t>代码、处理后的特征数据集、能耗异常报告</w:t>
      </w:r>
      <w:r>
        <w:rPr>
          <w:rFonts w:hint="eastAsia" w:ascii="Arial" w:hAnsi="Arial" w:eastAsia="等线" w:cs="Arial"/>
          <w:color w:val="EE0000"/>
        </w:rPr>
        <w:t>，</w:t>
      </w:r>
      <w:r>
        <w:rPr>
          <w:rFonts w:ascii="Arial" w:hAnsi="Arial" w:eastAsia="等线" w:cs="Arial"/>
          <w:color w:val="EE0000"/>
        </w:rPr>
        <w:t>代码需包含共线性分析、回归预测、异常检测及可视化模块，支持按日/周生成能耗预测报告。</w:t>
      </w:r>
      <w:r>
        <w:rPr>
          <w:rFonts w:hint="eastAsia" w:ascii="Arial" w:hAnsi="Arial" w:eastAsia="等线" w:cs="Arial"/>
          <w:color w:val="EE0000"/>
        </w:rPr>
        <w:t>（红色部分作为附录）</w:t>
      </w:r>
    </w:p>
    <w:p w14:paraId="4A4C2569">
      <w:pPr>
        <w:spacing w:before="120" w:after="120" w:line="288" w:lineRule="auto"/>
        <w:rPr>
          <w:rFonts w:hint="eastAsia"/>
        </w:rPr>
      </w:pPr>
    </w:p>
    <w:p w14:paraId="664415F8">
      <w:pPr>
        <w:spacing w:before="320" w:after="120" w:line="288" w:lineRule="auto"/>
        <w:outlineLvl w:val="1"/>
        <w:rPr>
          <w:rFonts w:hint="eastAsia"/>
        </w:rPr>
      </w:pPr>
      <w:r>
        <w:rPr>
          <w:rFonts w:ascii="Arial" w:hAnsi="Arial" w:eastAsia="等线" w:cs="Arial"/>
          <w:b/>
          <w:sz w:val="32"/>
        </w:rPr>
        <w:t>四、数据集说明</w:t>
      </w:r>
    </w:p>
    <w:p w14:paraId="5D0BA95A">
      <w:pPr>
        <w:spacing w:before="120" w:after="120" w:line="288" w:lineRule="auto"/>
        <w:rPr>
          <w:rFonts w:hint="eastAsia"/>
        </w:rPr>
      </w:pPr>
      <w:r>
        <w:rPr>
          <w:rFonts w:ascii="Arial" w:hAnsi="Arial" w:eastAsia="等线" w:cs="Arial"/>
        </w:rPr>
        <w:t>采用Industrial Energy Consumption数据集，来源于Kaggle平台（https://www.kaggle.com/datasets/robikscube/industrial-energy-consumption-data），包含某制造业工厂2018-2019年的小时级能耗数据，共约17000条记录，12个特征，涵盖生产、环境、时间等多维度影响因素；也可采用UCI Energy Efficiency数据集（建筑能耗数据），适合轻工业或公共建筑场景，样本量小（768条），计算压力低。</w:t>
      </w:r>
    </w:p>
    <w:p w14:paraId="236CCEDE">
      <w:pPr>
        <w:spacing w:before="380" w:after="140" w:line="288" w:lineRule="auto"/>
        <w:outlineLvl w:val="0"/>
        <w:rPr>
          <w:rFonts w:hint="eastAsia"/>
        </w:rPr>
      </w:pPr>
      <w:r>
        <w:rPr>
          <w:rFonts w:ascii="Arial" w:hAnsi="Arial" w:eastAsia="等线" w:cs="Arial"/>
          <w:b/>
          <w:sz w:val="36"/>
        </w:rPr>
        <w:t>题目</w:t>
      </w:r>
      <w:r>
        <w:rPr>
          <w:rFonts w:hint="eastAsia" w:ascii="Arial" w:hAnsi="Arial" w:eastAsia="等线" w:cs="Arial"/>
          <w:b/>
          <w:sz w:val="36"/>
        </w:rPr>
        <w:t>15（挑战级）</w:t>
      </w:r>
      <w:r>
        <w:rPr>
          <w:rFonts w:ascii="Arial" w:hAnsi="Arial" w:eastAsia="等线" w:cs="Arial"/>
          <w:b/>
          <w:sz w:val="36"/>
        </w:rPr>
        <w:t>：基于隐马尔科夫模型的恶意代码行为序列检测系统设计</w:t>
      </w:r>
    </w:p>
    <w:p w14:paraId="2048E714">
      <w:pPr>
        <w:spacing w:before="320" w:after="120" w:line="288" w:lineRule="auto"/>
        <w:outlineLvl w:val="1"/>
        <w:rPr>
          <w:rFonts w:hint="eastAsia"/>
        </w:rPr>
      </w:pPr>
      <w:r>
        <w:rPr>
          <w:rFonts w:ascii="Arial" w:hAnsi="Arial" w:eastAsia="等线" w:cs="Arial"/>
          <w:b/>
          <w:sz w:val="32"/>
        </w:rPr>
        <w:t>一、设计背景和需求</w:t>
      </w:r>
    </w:p>
    <w:p w14:paraId="27D5A83C">
      <w:pPr>
        <w:spacing w:before="120" w:after="120" w:line="288" w:lineRule="auto"/>
        <w:rPr>
          <w:rFonts w:hint="eastAsia"/>
        </w:rPr>
      </w:pPr>
      <w:r>
        <w:rPr>
          <w:rFonts w:ascii="Arial" w:hAnsi="Arial" w:eastAsia="等线" w:cs="Arial"/>
        </w:rPr>
        <w:t>恶意代码行为序列检测是恶意代码分析的核心技术，通过识别代码运行时的系统调用序列（如文件读写、注册表修改、网络连接等）区分恶意与正常代码。系统调用序列存在强上下文依赖关系（如“创建文件→写入内容→修改权限”是恶意代码植入的典型序列），隐马尔科夫模型（HMM）可通过状态转移刻画序列依赖，实现恶意代码的精准识别。本设计需构建HMM恶意代码检测系统，对比传统分类算法的检测效果。</w:t>
      </w:r>
    </w:p>
    <w:p w14:paraId="4AA3C197">
      <w:pPr>
        <w:spacing w:before="320" w:after="120" w:line="288" w:lineRule="auto"/>
        <w:outlineLvl w:val="1"/>
        <w:rPr>
          <w:rFonts w:hint="eastAsia"/>
        </w:rPr>
      </w:pPr>
      <w:r>
        <w:rPr>
          <w:rFonts w:ascii="Arial" w:hAnsi="Arial" w:eastAsia="等线" w:cs="Arial"/>
          <w:b/>
          <w:sz w:val="32"/>
        </w:rPr>
        <w:t>二、设计任务</w:t>
      </w:r>
    </w:p>
    <w:p w14:paraId="074695C0">
      <w:pPr>
        <w:numPr>
          <w:ilvl w:val="0"/>
          <w:numId w:val="102"/>
        </w:numPr>
        <w:spacing w:before="120" w:after="120" w:line="288" w:lineRule="auto"/>
        <w:rPr>
          <w:rFonts w:hint="eastAsia"/>
        </w:rPr>
      </w:pPr>
      <w:r>
        <w:rPr>
          <w:rFonts w:ascii="Arial" w:hAnsi="Arial" w:eastAsia="等线" w:cs="Arial"/>
        </w:rPr>
        <w:t>数据集获取与预处理：获取AID数据集或Kaggle Malicious Code Dataset，以AID数据集为例（含正常代码和病毒、木马、蠕虫等6类恶意代码的系统调用序列数据），对序列数据进行预处理（如将系统调用名称映射为整数ID，统一序列长度为50个调用），构建“系统调用序列-标签”数据集，划分训练集（80%）、开发集（10%）、测试集（10%）。</w:t>
      </w:r>
    </w:p>
    <w:p w14:paraId="39EB9CB3">
      <w:pPr>
        <w:numPr>
          <w:ilvl w:val="0"/>
          <w:numId w:val="103"/>
        </w:numPr>
        <w:spacing w:before="120" w:after="120" w:line="288" w:lineRule="auto"/>
        <w:rPr>
          <w:rFonts w:hint="eastAsia"/>
        </w:rPr>
      </w:pPr>
      <w:r>
        <w:rPr>
          <w:rFonts w:ascii="Arial" w:hAnsi="Arial" w:eastAsia="等线" w:cs="Arial"/>
        </w:rPr>
        <w:t>HMM模型构建与参数学习：基于训练集，将“系统调用类型”作为观测值，“行为状态”（如“正常操作”“文件恶意操作”“网络恶意操作”）作为隐藏状态，采用极大似然估计学习HMM三大参数：初始状态概率、状态转移概率、观测概率。采用加1平滑处理数据稀疏问题（如罕见系统调用序列的观测概率）。</w:t>
      </w:r>
    </w:p>
    <w:p w14:paraId="1EE7507A">
      <w:pPr>
        <w:numPr>
          <w:ilvl w:val="0"/>
          <w:numId w:val="104"/>
        </w:numPr>
        <w:spacing w:before="120" w:after="120" w:line="288" w:lineRule="auto"/>
        <w:rPr>
          <w:rFonts w:hint="eastAsia"/>
        </w:rPr>
      </w:pPr>
      <w:r>
        <w:rPr>
          <w:rFonts w:ascii="Arial" w:hAnsi="Arial" w:eastAsia="等线" w:cs="Arial"/>
        </w:rPr>
        <w:t>检测算法实现与优化：实现Viterbi算法（求解最优行为状态序列）和前向-后向算法（计算序列属于恶意类别的概率），在开发集上测试检测准确率，优化平滑参数和隐藏状态数量（3-6个）。</w:t>
      </w:r>
    </w:p>
    <w:p w14:paraId="2B071CCE">
      <w:pPr>
        <w:numPr>
          <w:ilvl w:val="0"/>
          <w:numId w:val="105"/>
        </w:numPr>
        <w:spacing w:before="120" w:after="120" w:line="288" w:lineRule="auto"/>
        <w:rPr>
          <w:rFonts w:hint="eastAsia"/>
        </w:rPr>
      </w:pPr>
      <w:r>
        <w:rPr>
          <w:rFonts w:ascii="Arial" w:hAnsi="Arial" w:eastAsia="等线" w:cs="Arial"/>
        </w:rPr>
        <w:t>模型对比与分析：构建朴素贝叶斯（忽略序列依赖）、SVM（将序列转换为词袋特征）、随机森林</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w:t>
      </w:r>
      <w:r>
        <w:rPr>
          <w:rFonts w:ascii="Arial" w:hAnsi="Arial" w:eastAsia="等线" w:cs="Arial"/>
        </w:rPr>
        <w:t>对比模型，在测试集上计算各模型的准确率、精确率、召回率、F1值，重点统计对未知恶意代码变种的检测率。分析HMM对恶意行为序列模式的捕捉能力，如“成功识别‘注册表修改→网络连接’的木马典型序列”。</w:t>
      </w:r>
    </w:p>
    <w:p w14:paraId="4AE8E56D">
      <w:pPr>
        <w:spacing w:before="320" w:after="120" w:line="288" w:lineRule="auto"/>
        <w:outlineLvl w:val="1"/>
        <w:rPr>
          <w:rFonts w:hint="eastAsia"/>
        </w:rPr>
      </w:pPr>
      <w:r>
        <w:rPr>
          <w:rFonts w:ascii="Arial" w:hAnsi="Arial" w:eastAsia="等线" w:cs="Arial"/>
          <w:b/>
          <w:sz w:val="32"/>
        </w:rPr>
        <w:t>三、设计要求</w:t>
      </w:r>
    </w:p>
    <w:p w14:paraId="63B65139">
      <w:pPr>
        <w:numPr>
          <w:ilvl w:val="0"/>
          <w:numId w:val="106"/>
        </w:numPr>
        <w:spacing w:before="120" w:after="120" w:line="288" w:lineRule="auto"/>
        <w:rPr>
          <w:rFonts w:hint="eastAsia"/>
        </w:rPr>
      </w:pPr>
      <w:r>
        <w:rPr>
          <w:rFonts w:ascii="Arial" w:hAnsi="Arial" w:eastAsia="等线" w:cs="Arial"/>
        </w:rPr>
        <w:t>数据预处理需记录系统调用映射规则（如“open→1，write→2，connect→3”），序列长度统一的依据（如“统计显示95%的恶意代码关键行为序列长度≤50”），对过长序列采用截断、过短序列采用补零处理。</w:t>
      </w:r>
    </w:p>
    <w:p w14:paraId="6456F49C">
      <w:pPr>
        <w:numPr>
          <w:ilvl w:val="0"/>
          <w:numId w:val="107"/>
        </w:numPr>
        <w:spacing w:before="120" w:after="120" w:line="288" w:lineRule="auto"/>
        <w:rPr>
          <w:rFonts w:hint="eastAsia"/>
        </w:rPr>
      </w:pPr>
      <w:r>
        <w:rPr>
          <w:rFonts w:ascii="Arial" w:hAnsi="Arial" w:eastAsia="等线" w:cs="Arial"/>
        </w:rPr>
        <w:t>HMM参数需以矩阵形式展示关键部分，如状态转移概率矩阵中“文件恶意操作→网络恶意操作”的转移概率（木马传播的典型转移），解释隐藏状态定义的合理性（结合恶意代码行为分类标准）。</w:t>
      </w:r>
    </w:p>
    <w:p w14:paraId="76F2FD01">
      <w:pPr>
        <w:numPr>
          <w:ilvl w:val="0"/>
          <w:numId w:val="108"/>
        </w:numPr>
        <w:spacing w:before="120" w:after="120" w:line="288" w:lineRule="auto"/>
        <w:rPr>
          <w:rFonts w:hint="eastAsia"/>
        </w:rPr>
      </w:pPr>
      <w:r>
        <w:rPr>
          <w:rFonts w:ascii="Arial" w:hAnsi="Arial" w:eastAsia="等线" w:cs="Arial"/>
        </w:rPr>
        <w:t>Viterbi算法需给出具体递推过程示例（如对某条恶意代码序列的状态解码步骤），对比分析不同隐藏状态数量对检测精度的影响，如“4个隐藏状态时检测准确率最高，兼顾精度与计算效率”。</w:t>
      </w:r>
    </w:p>
    <w:p w14:paraId="62E104A0">
      <w:pPr>
        <w:pStyle w:val="4"/>
        <w:numPr>
          <w:ilvl w:val="0"/>
          <w:numId w:val="108"/>
        </w:numPr>
        <w:spacing w:before="120" w:after="120" w:line="288" w:lineRule="auto"/>
        <w:ind w:firstLineChars="0"/>
        <w:rPr>
          <w:rFonts w:hint="eastAsia"/>
        </w:rPr>
      </w:pPr>
      <w:r>
        <w:rPr>
          <w:rFonts w:ascii="Arial" w:hAnsi="Arial" w:eastAsia="等线" w:cs="Arial"/>
        </w:rPr>
        <w:t>提交设计报告，</w:t>
      </w:r>
      <w:r>
        <w:rPr>
          <w:rFonts w:ascii="Arial" w:hAnsi="Arial" w:eastAsia="等线" w:cs="Arial"/>
          <w:color w:val="C00000"/>
        </w:rPr>
        <w:t>代码、预处理后的序列数据集、恶意行为序列规则库</w:t>
      </w:r>
      <w:r>
        <w:rPr>
          <w:rFonts w:hint="eastAsia" w:ascii="Arial" w:hAnsi="Arial" w:eastAsia="等线" w:cs="Arial"/>
          <w:color w:val="C00000"/>
        </w:rPr>
        <w:t>，</w:t>
      </w:r>
      <w:r>
        <w:rPr>
          <w:rFonts w:ascii="Arial" w:hAnsi="Arial" w:eastAsia="等线" w:cs="Arial"/>
          <w:color w:val="C00000"/>
        </w:rPr>
        <w:t>代码需包含HMM参数学习、Viterbi解码及检测结果分析模块，支持输入新的系统调用序列进行实时检测。</w:t>
      </w:r>
      <w:r>
        <w:rPr>
          <w:rFonts w:hint="eastAsia" w:ascii="Arial" w:hAnsi="Arial" w:eastAsia="等线" w:cs="Arial"/>
          <w:color w:val="EE0000"/>
        </w:rPr>
        <w:t>（红色部分作为附录）</w:t>
      </w:r>
    </w:p>
    <w:p w14:paraId="6D7B524D">
      <w:pPr>
        <w:spacing w:before="320" w:after="120" w:line="288" w:lineRule="auto"/>
        <w:outlineLvl w:val="1"/>
        <w:rPr>
          <w:rFonts w:hint="eastAsia"/>
        </w:rPr>
      </w:pPr>
      <w:r>
        <w:rPr>
          <w:rFonts w:ascii="Arial" w:hAnsi="Arial" w:eastAsia="等线" w:cs="Arial"/>
          <w:b/>
          <w:sz w:val="32"/>
        </w:rPr>
        <w:t>四、数据集说明</w:t>
      </w:r>
    </w:p>
    <w:p w14:paraId="2F114E8F">
      <w:pPr>
        <w:spacing w:before="120" w:after="120" w:line="288" w:lineRule="auto"/>
        <w:rPr>
          <w:rFonts w:hint="eastAsia"/>
        </w:rPr>
      </w:pPr>
      <w:r>
        <w:rPr>
          <w:rFonts w:ascii="Arial" w:hAnsi="Arial" w:eastAsia="等线" w:cs="Arial"/>
        </w:rPr>
        <w:t>采用AID（Android Intent Dataset）数据集，来源于学术公开渠道（可通过ResearchGate获取），包含Android平台的正常应用和恶意应用的Intent调用序列数据，每条序列含20-100个调用，标签包含6类恶意类型，适合序列检测场景；也可采用Kaggle的“Malicious Code Classification Dataset”，含Windows系统调用序列数据，样本量约10000条，涵盖多种恶意代码类型。</w:t>
      </w:r>
    </w:p>
    <w:p w14:paraId="45FF7DB8">
      <w:pPr>
        <w:spacing w:before="380" w:after="140" w:line="288" w:lineRule="auto"/>
        <w:outlineLvl w:val="0"/>
        <w:rPr>
          <w:rFonts w:hint="eastAsia"/>
        </w:rPr>
      </w:pPr>
      <w:r>
        <w:rPr>
          <w:rFonts w:ascii="Arial" w:hAnsi="Arial" w:eastAsia="等线" w:cs="Arial"/>
          <w:b/>
          <w:sz w:val="36"/>
        </w:rPr>
        <w:t>题目</w:t>
      </w:r>
      <w:r>
        <w:rPr>
          <w:rFonts w:hint="eastAsia" w:ascii="Arial" w:hAnsi="Arial" w:eastAsia="等线" w:cs="Arial"/>
          <w:b/>
          <w:sz w:val="36"/>
        </w:rPr>
        <w:t>16（进阶级）</w:t>
      </w:r>
      <w:r>
        <w:rPr>
          <w:rFonts w:ascii="Arial" w:hAnsi="Arial" w:eastAsia="等线" w:cs="Arial"/>
          <w:b/>
          <w:sz w:val="36"/>
        </w:rPr>
        <w:t>：基于降维与度量学习的工业传感器数据篡改检测系统设计</w:t>
      </w:r>
    </w:p>
    <w:p w14:paraId="7586D767">
      <w:pPr>
        <w:spacing w:before="320" w:after="120" w:line="288" w:lineRule="auto"/>
        <w:outlineLvl w:val="1"/>
        <w:rPr>
          <w:rFonts w:hint="eastAsia"/>
        </w:rPr>
      </w:pPr>
      <w:r>
        <w:rPr>
          <w:rFonts w:ascii="Arial" w:hAnsi="Arial" w:eastAsia="等线" w:cs="Arial"/>
          <w:b/>
          <w:sz w:val="32"/>
        </w:rPr>
        <w:t>一、设计背景和需求</w:t>
      </w:r>
    </w:p>
    <w:p w14:paraId="51028945">
      <w:pPr>
        <w:spacing w:before="120" w:after="120" w:line="288" w:lineRule="auto"/>
        <w:rPr>
          <w:rFonts w:hint="eastAsia"/>
        </w:rPr>
      </w:pPr>
      <w:r>
        <w:rPr>
          <w:rFonts w:ascii="Arial" w:hAnsi="Arial" w:eastAsia="等线" w:cs="Arial"/>
        </w:rPr>
        <w:t>工业传感器数据篡改是工业互联网的典型安全威胁，攻击者通过篡改温度、压力等传感器数据，导致设备控制异常或生产质量下降。传感器数据具有时序相关性和空间相关性（如同一生产线不同传感器数据存在关联），原始数据维度高且冗余，传统检测方法难以区分数据篡改与正常波动。本设计需通过降维压缩维度，结合度量学习优化相似性判断，构建传感器数据篡改检测系统，提升工业数据的真实性保障能力。</w:t>
      </w:r>
    </w:p>
    <w:p w14:paraId="695909D6">
      <w:pPr>
        <w:spacing w:before="320" w:after="120" w:line="288" w:lineRule="auto"/>
        <w:outlineLvl w:val="1"/>
        <w:rPr>
          <w:rFonts w:hint="eastAsia"/>
        </w:rPr>
      </w:pPr>
      <w:r>
        <w:rPr>
          <w:rFonts w:ascii="Arial" w:hAnsi="Arial" w:eastAsia="等线" w:cs="Arial"/>
          <w:b/>
          <w:sz w:val="32"/>
        </w:rPr>
        <w:t>二、设计任务</w:t>
      </w:r>
    </w:p>
    <w:p w14:paraId="17DB348E">
      <w:pPr>
        <w:numPr>
          <w:ilvl w:val="0"/>
          <w:numId w:val="109"/>
        </w:numPr>
        <w:spacing w:before="120" w:after="120" w:line="288" w:lineRule="auto"/>
        <w:rPr>
          <w:rFonts w:hint="eastAsia"/>
        </w:rPr>
      </w:pPr>
      <w:r>
        <w:rPr>
          <w:rFonts w:ascii="Arial" w:hAnsi="Arial" w:eastAsia="等线" w:cs="Arial"/>
        </w:rPr>
        <w:t>数据集获取与预处理：获取WADI或SWaT工业控制系统数据集，以SWaT为例（含水处理系统的51个传感器和执行器数据，包含正常数据和22种攻击场景数据，其中10种为传感器数据篡改），提取传感器特征集（如滑动窗口内的均值、标准差、趋势斜率、传感器间相关性等），处理缺失值（如线性插值），对特征归一化，划分检测库（90%正常数据）和查询集（10%混合正常与篡改数据）。</w:t>
      </w:r>
    </w:p>
    <w:p w14:paraId="4F7BEEF2">
      <w:pPr>
        <w:numPr>
          <w:ilvl w:val="0"/>
          <w:numId w:val="110"/>
        </w:numPr>
        <w:spacing w:before="120" w:after="120" w:line="288" w:lineRule="auto"/>
        <w:rPr>
          <w:rFonts w:hint="eastAsia"/>
        </w:rPr>
      </w:pPr>
      <w:r>
        <w:rPr>
          <w:rFonts w:ascii="Arial" w:hAnsi="Arial" w:eastAsia="等线" w:cs="Arial"/>
        </w:rPr>
        <w:t>降维与度量学习：分别采用PCA、LDA、NCA</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w:t>
      </w:r>
      <w:r>
        <w:rPr>
          <w:rFonts w:ascii="Arial" w:hAnsi="Arial" w:eastAsia="等线" w:cs="Arial"/>
        </w:rPr>
        <w:t>算法处理特征，PCA和LDA降至20维、30维，NCA优化为适配传感器数据的距离度量（使正常数据样本距离更近，篡改数据距离更远），计算处理后特征的检测库矩阵。</w:t>
      </w:r>
    </w:p>
    <w:p w14:paraId="608A9F11">
      <w:pPr>
        <w:numPr>
          <w:ilvl w:val="0"/>
          <w:numId w:val="111"/>
        </w:numPr>
        <w:spacing w:before="120" w:after="120" w:line="288" w:lineRule="auto"/>
        <w:rPr>
          <w:rFonts w:hint="eastAsia"/>
        </w:rPr>
      </w:pPr>
      <w:r>
        <w:rPr>
          <w:rFonts w:ascii="Arial" w:hAnsi="Arial" w:eastAsia="等线" w:cs="Arial"/>
        </w:rPr>
        <w:t>篡改检测系统构建：基于原始特征和处理后特征，分别采用欧氏距离、曼哈顿距离、余弦相似度计算查询样本与检测库样本的相似度，设定相似度阈值（如低于0.6判定为篡改），实现篡改检测。</w:t>
      </w:r>
    </w:p>
    <w:p w14:paraId="41053142">
      <w:pPr>
        <w:numPr>
          <w:ilvl w:val="0"/>
          <w:numId w:val="112"/>
        </w:numPr>
        <w:spacing w:before="120" w:after="120" w:line="288" w:lineRule="auto"/>
        <w:rPr>
          <w:rFonts w:hint="eastAsia"/>
        </w:rPr>
      </w:pPr>
      <w:r>
        <w:rPr>
          <w:rFonts w:ascii="Arial" w:hAnsi="Arial" w:eastAsia="等线" w:cs="Arial"/>
        </w:rPr>
        <w:t>系统评估与分析：计算各方案的检测准确率、误报率、漏报率及检测耗时，统计不同篡改强度（如小幅度偏移vs大幅度篡改）的检测精度，对比不同降维-度量组合的性能。可视化展示典型篡改案例的相似度分布，分析算法对传感器数据时空相关性的利用效果。</w:t>
      </w:r>
    </w:p>
    <w:p w14:paraId="7F3F81E5">
      <w:pPr>
        <w:spacing w:before="320" w:after="120" w:line="288" w:lineRule="auto"/>
        <w:outlineLvl w:val="1"/>
        <w:rPr>
          <w:rFonts w:hint="eastAsia"/>
        </w:rPr>
      </w:pPr>
      <w:r>
        <w:rPr>
          <w:rFonts w:ascii="Arial" w:hAnsi="Arial" w:eastAsia="等线" w:cs="Arial"/>
          <w:b/>
          <w:sz w:val="32"/>
        </w:rPr>
        <w:t>三、设计要求</w:t>
      </w:r>
    </w:p>
    <w:p w14:paraId="426734FD">
      <w:pPr>
        <w:numPr>
          <w:ilvl w:val="0"/>
          <w:numId w:val="113"/>
        </w:numPr>
        <w:spacing w:before="120" w:after="120" w:line="288" w:lineRule="auto"/>
        <w:rPr>
          <w:rFonts w:hint="eastAsia"/>
        </w:rPr>
      </w:pPr>
      <w:r>
        <w:rPr>
          <w:rFonts w:ascii="Arial" w:hAnsi="Arial" w:eastAsia="等线" w:cs="Arial"/>
        </w:rPr>
        <w:t>特征构建需体现传感器数据的时空特性，如“空间相关性特征：传感器1与传感器2的压力差值；时间相关性特征：5分钟内温度的趋势斜率”，说明特征对篡改检测的意义（如“篡改数据会破坏传感器间的正常相关性”）。</w:t>
      </w:r>
    </w:p>
    <w:p w14:paraId="0C689F10">
      <w:pPr>
        <w:numPr>
          <w:ilvl w:val="0"/>
          <w:numId w:val="114"/>
        </w:numPr>
        <w:spacing w:before="120" w:after="120" w:line="288" w:lineRule="auto"/>
        <w:rPr>
          <w:rFonts w:hint="eastAsia"/>
        </w:rPr>
      </w:pPr>
      <w:r>
        <w:rPr>
          <w:rFonts w:ascii="Arial" w:hAnsi="Arial" w:eastAsia="等线" w:cs="Arial"/>
        </w:rPr>
        <w:t>降维过程需记录信息保留率，如“PCA降至30维保留94%方差”，度量学习需量化优化效果，如“NCA优化后，正常样本类内相似度均值提升25%，篡改样本与正常样本相似度均值降低40%”。</w:t>
      </w:r>
    </w:p>
    <w:p w14:paraId="24AAD16D">
      <w:pPr>
        <w:numPr>
          <w:ilvl w:val="0"/>
          <w:numId w:val="115"/>
        </w:numPr>
        <w:spacing w:before="120" w:after="120" w:line="288" w:lineRule="auto"/>
        <w:rPr>
          <w:rFonts w:hint="eastAsia"/>
        </w:rPr>
      </w:pPr>
      <w:r>
        <w:rPr>
          <w:rFonts w:ascii="Arial" w:hAnsi="Arial" w:eastAsia="等线" w:cs="Arial"/>
        </w:rPr>
        <w:t>检测评估需控制单一变量对比（如固定降维维度对比不同度量方式），重点分析小幅度篡改（易被误判为正常波动）的检测能力，阈值设定需结合工业场景误判成本（如漏判篡改导致设备损坏的成本高于误判的停机成本）。</w:t>
      </w:r>
    </w:p>
    <w:p w14:paraId="3B864626">
      <w:pPr>
        <w:pStyle w:val="4"/>
        <w:numPr>
          <w:ilvl w:val="0"/>
          <w:numId w:val="115"/>
        </w:numPr>
        <w:spacing w:before="120" w:after="120" w:line="288" w:lineRule="auto"/>
        <w:ind w:firstLineChars="0"/>
        <w:rPr>
          <w:rFonts w:hint="eastAsia"/>
        </w:rPr>
      </w:pPr>
      <w:r>
        <w:rPr>
          <w:rFonts w:ascii="Arial" w:hAnsi="Arial" w:eastAsia="等线" w:cs="Arial"/>
        </w:rPr>
        <w:t>提交设计报告，</w:t>
      </w:r>
      <w:r>
        <w:rPr>
          <w:rFonts w:ascii="Arial" w:hAnsi="Arial" w:eastAsia="等线" w:cs="Arial"/>
          <w:color w:val="EE0000"/>
        </w:rPr>
        <w:t>代码、特征向量数据集、篡改检测案例分析报告</w:t>
      </w:r>
      <w:r>
        <w:rPr>
          <w:rFonts w:hint="eastAsia" w:ascii="Arial" w:hAnsi="Arial" w:eastAsia="等线" w:cs="Arial"/>
          <w:color w:val="EE0000"/>
        </w:rPr>
        <w:t>，</w:t>
      </w:r>
      <w:r>
        <w:rPr>
          <w:rFonts w:ascii="Arial" w:hAnsi="Arial" w:eastAsia="等线" w:cs="Arial"/>
          <w:color w:val="EE0000"/>
        </w:rPr>
        <w:t>代码需包含特征提取、相似度计算和检测结果可视化模块，支持批量处理传感器时序数据。</w:t>
      </w:r>
      <w:r>
        <w:rPr>
          <w:rFonts w:hint="eastAsia" w:ascii="Arial" w:hAnsi="Arial" w:eastAsia="等线" w:cs="Arial"/>
          <w:color w:val="EE0000"/>
        </w:rPr>
        <w:t>（红色部分作为附录）</w:t>
      </w:r>
    </w:p>
    <w:p w14:paraId="4831074F">
      <w:pPr>
        <w:spacing w:before="120" w:after="120" w:line="288" w:lineRule="auto"/>
        <w:rPr>
          <w:rFonts w:hint="eastAsia"/>
        </w:rPr>
      </w:pPr>
    </w:p>
    <w:p w14:paraId="1BF22AD5">
      <w:pPr>
        <w:spacing w:before="320" w:after="120" w:line="288" w:lineRule="auto"/>
        <w:outlineLvl w:val="1"/>
        <w:rPr>
          <w:rFonts w:hint="eastAsia"/>
        </w:rPr>
      </w:pPr>
      <w:r>
        <w:rPr>
          <w:rFonts w:ascii="Arial" w:hAnsi="Arial" w:eastAsia="等线" w:cs="Arial"/>
          <w:b/>
          <w:sz w:val="32"/>
        </w:rPr>
        <w:t>四、数据集说明</w:t>
      </w:r>
    </w:p>
    <w:p w14:paraId="3461EBA5">
      <w:pPr>
        <w:spacing w:before="120" w:after="120" w:line="288" w:lineRule="auto"/>
        <w:rPr>
          <w:rFonts w:hint="eastAsia"/>
        </w:rPr>
      </w:pPr>
      <w:r>
        <w:rPr>
          <w:rFonts w:ascii="Arial" w:hAnsi="Arial" w:eastAsia="等线" w:cs="Arial"/>
        </w:rPr>
        <w:t>采用SWaT（Secure Water Treatment）数据集，来源于新加坡国立大学工业控制系统安全实验室（https://itrust.sutd.edu.sg/testbeds/swat/），包含10天的正常运行数据和1天的攻击数据（22种攻击场景），数据采样频率为1秒，共约1000万条记录，传感器数量多且攻击场景明确，适合工业传感器篡改检测实验；需申请授权获取，简化版可采用Kaggle的“Industrial Control System Intrusion Dataset”。</w:t>
      </w:r>
    </w:p>
    <w:p w14:paraId="2B99F09C">
      <w:pPr>
        <w:spacing w:before="380" w:after="140" w:line="288" w:lineRule="auto"/>
        <w:outlineLvl w:val="0"/>
        <w:rPr>
          <w:rFonts w:hint="eastAsia"/>
        </w:rPr>
      </w:pPr>
      <w:r>
        <w:rPr>
          <w:rFonts w:ascii="Arial" w:hAnsi="Arial" w:eastAsia="等线" w:cs="Arial"/>
          <w:b/>
          <w:sz w:val="36"/>
        </w:rPr>
        <w:t>题目</w:t>
      </w:r>
      <w:r>
        <w:rPr>
          <w:rFonts w:hint="eastAsia" w:ascii="Arial" w:hAnsi="Arial" w:eastAsia="等线" w:cs="Arial"/>
          <w:b/>
          <w:sz w:val="36"/>
        </w:rPr>
        <w:t>17（挑战级）</w:t>
      </w:r>
      <w:r>
        <w:rPr>
          <w:rFonts w:ascii="Arial" w:hAnsi="Arial" w:eastAsia="等线" w:cs="Arial"/>
          <w:b/>
          <w:sz w:val="36"/>
        </w:rPr>
        <w:t>：基于贝叶斯网络的模型投毒攻击检测系统设计</w:t>
      </w:r>
    </w:p>
    <w:p w14:paraId="4BB05814">
      <w:pPr>
        <w:spacing w:before="320" w:after="120" w:line="288" w:lineRule="auto"/>
        <w:outlineLvl w:val="1"/>
        <w:rPr>
          <w:rFonts w:hint="eastAsia"/>
        </w:rPr>
      </w:pPr>
      <w:r>
        <w:rPr>
          <w:rFonts w:ascii="Arial" w:hAnsi="Arial" w:eastAsia="等线" w:cs="Arial"/>
          <w:b/>
          <w:sz w:val="32"/>
        </w:rPr>
        <w:t>一、设计背景和需求</w:t>
      </w:r>
    </w:p>
    <w:p w14:paraId="472FD513">
      <w:pPr>
        <w:spacing w:before="120" w:after="120" w:line="288" w:lineRule="auto"/>
        <w:rPr>
          <w:rFonts w:hint="eastAsia"/>
        </w:rPr>
      </w:pPr>
      <w:r>
        <w:rPr>
          <w:rFonts w:ascii="Arial" w:hAnsi="Arial" w:eastAsia="等线" w:cs="Arial"/>
        </w:rPr>
        <w:t>模型投毒攻击是机器学习模型安全的核心威胁，攻击者通过在训练数据中注入恶意样本，导致模型性能下降或出现特定错误（如将正常样本误判为恶意）。投毒攻击样本具有隐蔽性，与正常样本差异小，且攻击效果受投毒比例、样本分布等多因素影响，存在复杂因果关系。贝叶斯网络可建模攻击因素与模型异常指标的因果关联，本设计需构建投毒攻击检测系统，实现对训练数据中恶意样本的识别及攻击风险评估。</w:t>
      </w:r>
    </w:p>
    <w:p w14:paraId="110E23A1">
      <w:pPr>
        <w:spacing w:before="320" w:after="120" w:line="288" w:lineRule="auto"/>
        <w:outlineLvl w:val="1"/>
        <w:rPr>
          <w:rFonts w:hint="eastAsia"/>
        </w:rPr>
      </w:pPr>
      <w:r>
        <w:rPr>
          <w:rFonts w:ascii="Arial" w:hAnsi="Arial" w:eastAsia="等线" w:cs="Arial"/>
          <w:b/>
          <w:sz w:val="32"/>
        </w:rPr>
        <w:t>二、设计任务</w:t>
      </w:r>
    </w:p>
    <w:p w14:paraId="66799647">
      <w:pPr>
        <w:numPr>
          <w:ilvl w:val="0"/>
          <w:numId w:val="116"/>
        </w:numPr>
        <w:spacing w:before="120" w:after="120" w:line="288" w:lineRule="auto"/>
        <w:rPr>
          <w:rFonts w:hint="eastAsia"/>
        </w:rPr>
      </w:pPr>
      <w:r>
        <w:rPr>
          <w:rFonts w:ascii="Arial" w:hAnsi="Arial" w:eastAsia="等线" w:cs="Arial"/>
        </w:rPr>
        <w:t>数据集构建与预处理：以网络入侵检测数据集（CSE-CIC-IDS2018）为基础，人工注入投毒样本（如修改正常样本特征使其被误判为攻击，控制投毒比例1%-10%），构建“样本特征+投毒相关特征”数据集（样本特征：30维流量特征；投毒特征：样本异常度、特征突变率、与正常样本距离等5维），处理异常值，将分类特征离散化，划分训练集（70%）和测试集（30%）。</w:t>
      </w:r>
    </w:p>
    <w:p w14:paraId="618703DF">
      <w:pPr>
        <w:numPr>
          <w:ilvl w:val="0"/>
          <w:numId w:val="117"/>
        </w:numPr>
        <w:spacing w:before="120" w:after="120" w:line="288" w:lineRule="auto"/>
        <w:rPr>
          <w:rFonts w:hint="eastAsia"/>
        </w:rPr>
      </w:pPr>
      <w:r>
        <w:rPr>
          <w:rFonts w:ascii="Arial" w:hAnsi="Arial" w:eastAsia="等线" w:cs="Arial"/>
        </w:rPr>
        <w:t>贝叶斯网络构建：采用PC算法学习网络结构，识别投毒攻击的关键因果链（如“投毒比例→样本异常度→模型准确率下降”“特征突变率→与正常样本距离→投毒样本识别”），基于训练集采用贝叶斯估计学习条件概率表，构建不同复杂度的网络（简化版含10维核心特征，完整版含35维特征）。</w:t>
      </w:r>
    </w:p>
    <w:p w14:paraId="13AC794D">
      <w:pPr>
        <w:numPr>
          <w:ilvl w:val="0"/>
          <w:numId w:val="118"/>
        </w:numPr>
        <w:spacing w:before="120" w:after="120" w:line="288" w:lineRule="auto"/>
        <w:rPr>
          <w:rFonts w:hint="eastAsia"/>
        </w:rPr>
      </w:pPr>
      <w:r>
        <w:rPr>
          <w:rFonts w:ascii="Arial" w:hAnsi="Arial" w:eastAsia="等线" w:cs="Arial"/>
        </w:rPr>
        <w:t>攻击检测与对比：基于贝叶斯网络计算测试集中每个样本的投毒概率，识别投毒样本并评估攻击风险等级。同时构建逻辑回归、随机森林、SVM</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三种分</w:t>
      </w:r>
      <w:r>
        <w:rPr>
          <w:rFonts w:ascii="Arial" w:hAnsi="Arial" w:eastAsia="等线" w:cs="Arial"/>
        </w:rPr>
        <w:t>类模型作为对比，计算各模型的投毒样本识别准确率、误判率，以及对模型性能的保护效果（如检测出投毒样本后模型准确率恢复幅度）。</w:t>
      </w:r>
    </w:p>
    <w:p w14:paraId="5AB6390A">
      <w:pPr>
        <w:numPr>
          <w:ilvl w:val="0"/>
          <w:numId w:val="119"/>
        </w:numPr>
        <w:spacing w:before="120" w:after="120" w:line="288" w:lineRule="auto"/>
        <w:rPr>
          <w:rFonts w:hint="eastAsia"/>
        </w:rPr>
      </w:pPr>
      <w:r>
        <w:rPr>
          <w:rFonts w:ascii="Arial" w:hAnsi="Arial" w:eastAsia="等线" w:cs="Arial"/>
        </w:rPr>
        <w:t>敏感性分析与防御建议：通过贝叶斯网络推理，分析投毒比例、样本隐蔽性等因素对检测效果的影响（如“投毒比例超过5%时，检测准确率提升至90%以上”），提出训练数据清洗策略（如“基于样本异常度筛选高风险样本人工审核”）。</w:t>
      </w:r>
    </w:p>
    <w:p w14:paraId="1BB72C12">
      <w:pPr>
        <w:spacing w:before="320" w:after="120" w:line="288" w:lineRule="auto"/>
        <w:outlineLvl w:val="1"/>
        <w:rPr>
          <w:rFonts w:hint="eastAsia"/>
        </w:rPr>
      </w:pPr>
      <w:r>
        <w:rPr>
          <w:rFonts w:ascii="Arial" w:hAnsi="Arial" w:eastAsia="等线" w:cs="Arial"/>
          <w:b/>
          <w:sz w:val="32"/>
        </w:rPr>
        <w:t>三、设计要求</w:t>
      </w:r>
    </w:p>
    <w:p w14:paraId="5D22768B">
      <w:pPr>
        <w:numPr>
          <w:ilvl w:val="0"/>
          <w:numId w:val="120"/>
        </w:numPr>
        <w:spacing w:before="120" w:after="120" w:line="288" w:lineRule="auto"/>
        <w:rPr>
          <w:rFonts w:hint="eastAsia"/>
        </w:rPr>
      </w:pPr>
      <w:r>
        <w:rPr>
          <w:rFonts w:ascii="Arial" w:hAnsi="Arial" w:eastAsia="等线" w:cs="Arial"/>
        </w:rPr>
        <w:t>投毒样本注入需遵循真实攻击逻辑，如“修改DDoS攻击样本的数据包频率特征，使其伪装成正常流量，规避初步检测”，记录注入规则和投毒比例梯度（1%、3%、5%、10%），确保数据集的真实性。</w:t>
      </w:r>
    </w:p>
    <w:p w14:paraId="0E2AA1B1">
      <w:pPr>
        <w:numPr>
          <w:ilvl w:val="0"/>
          <w:numId w:val="121"/>
        </w:numPr>
        <w:spacing w:before="120" w:after="120" w:line="288" w:lineRule="auto"/>
        <w:rPr>
          <w:rFonts w:hint="eastAsia"/>
        </w:rPr>
      </w:pPr>
      <w:r>
        <w:rPr>
          <w:rFonts w:ascii="Arial" w:hAnsi="Arial" w:eastAsia="等线" w:cs="Arial"/>
        </w:rPr>
        <w:t>贝叶斯网络结构需可视化展示关键因果关系，标注条件概率，如“当样本异常度≥0.8且特征突变率≥0.6时，投毒概率为0.92”，不同复杂度网络对比需说明特征筛选方法（如基于互信息筛选投毒相关度高的特征）。</w:t>
      </w:r>
    </w:p>
    <w:p w14:paraId="1489CC0F">
      <w:pPr>
        <w:numPr>
          <w:ilvl w:val="0"/>
          <w:numId w:val="122"/>
        </w:numPr>
        <w:spacing w:before="120" w:after="120" w:line="288" w:lineRule="auto"/>
        <w:rPr>
          <w:rFonts w:hint="eastAsia"/>
        </w:rPr>
      </w:pPr>
      <w:r>
        <w:rPr>
          <w:rFonts w:ascii="Arial" w:hAnsi="Arial" w:eastAsia="等线" w:cs="Arial"/>
        </w:rPr>
        <w:t>检测评估需按投毒比例分组统计准确率，分析算法对低比例投毒（1%-3%）的识别能力（难点场景），模型保护效果需对比“未检测投毒”和“检测后清洗数据”两种情况下的模型性能（准确率、误报率）。</w:t>
      </w:r>
    </w:p>
    <w:p w14:paraId="05661D3D">
      <w:pPr>
        <w:pStyle w:val="4"/>
        <w:numPr>
          <w:ilvl w:val="0"/>
          <w:numId w:val="122"/>
        </w:numPr>
        <w:spacing w:before="120" w:after="120" w:line="288" w:lineRule="auto"/>
        <w:ind w:firstLine="0" w:firstLineChars="0"/>
        <w:rPr>
          <w:rFonts w:hint="eastAsia"/>
        </w:rPr>
      </w:pPr>
      <w:r>
        <w:rPr>
          <w:rFonts w:ascii="Arial" w:hAnsi="Arial" w:eastAsia="等线" w:cs="Arial"/>
        </w:rPr>
        <w:t>提交设计报告，</w:t>
      </w:r>
      <w:r>
        <w:rPr>
          <w:rFonts w:ascii="Arial" w:hAnsi="Arial" w:eastAsia="等线" w:cs="Arial"/>
          <w:color w:val="EE0000"/>
        </w:rPr>
        <w:t>代码、投毒数据集、攻击检测报告</w:t>
      </w:r>
      <w:r>
        <w:rPr>
          <w:rFonts w:hint="eastAsia" w:ascii="Arial" w:hAnsi="Arial" w:eastAsia="等线" w:cs="Arial"/>
          <w:color w:val="EE0000"/>
        </w:rPr>
        <w:t>，</w:t>
      </w:r>
      <w:r>
        <w:rPr>
          <w:rFonts w:ascii="Arial" w:hAnsi="Arial" w:eastAsia="等线" w:cs="Arial"/>
          <w:color w:val="EE0000"/>
        </w:rPr>
        <w:t>代码需包含投毒样本生成、贝叶斯网络推理和模型性能评估模块，支持对新训练数据集的投毒风险扫描。</w:t>
      </w:r>
      <w:r>
        <w:rPr>
          <w:rFonts w:hint="eastAsia" w:ascii="Arial" w:hAnsi="Arial" w:eastAsia="等线" w:cs="Arial"/>
          <w:color w:val="EE0000"/>
        </w:rPr>
        <w:t>（红色部分作为附录）</w:t>
      </w:r>
    </w:p>
    <w:p w14:paraId="397C7312">
      <w:pPr>
        <w:spacing w:before="320" w:after="120" w:line="288" w:lineRule="auto"/>
        <w:outlineLvl w:val="1"/>
        <w:rPr>
          <w:rFonts w:hint="eastAsia"/>
        </w:rPr>
      </w:pPr>
      <w:r>
        <w:rPr>
          <w:rFonts w:ascii="Arial" w:hAnsi="Arial" w:eastAsia="等线" w:cs="Arial"/>
          <w:b/>
          <w:sz w:val="32"/>
        </w:rPr>
        <w:t>四、数据集说明</w:t>
      </w:r>
    </w:p>
    <w:p w14:paraId="76573F12">
      <w:pPr>
        <w:spacing w:before="120" w:after="120" w:line="288" w:lineRule="auto"/>
        <w:rPr>
          <w:rFonts w:hint="eastAsia"/>
        </w:rPr>
      </w:pPr>
      <w:r>
        <w:rPr>
          <w:rFonts w:ascii="Arial" w:hAnsi="Arial" w:eastAsia="等线" w:cs="Arial"/>
        </w:rPr>
        <w:t>基于CSE-CIC-IDS2018数据集构建投毒数据集：选取正常流量和DDoS攻击流量各5000条作为基础数据，按1%-10%比例注入人工构建的投毒样本（共约11000条样本），投毒样本通过修改原始样本的1-3个关键特征生成（如调整数据包大小的均值和标准差），确保隐蔽性；也可采用公开的投毒攻击数据集如“Poisoned MNIST”，适合图像分类模型安全场景，需调整任务为图像投毒检测。</w:t>
      </w:r>
    </w:p>
    <w:p w14:paraId="0C1B84F6">
      <w:pPr>
        <w:spacing w:before="380" w:after="140" w:line="288" w:lineRule="auto"/>
        <w:outlineLvl w:val="0"/>
        <w:rPr>
          <w:rFonts w:hint="eastAsia"/>
        </w:rPr>
      </w:pPr>
      <w:r>
        <w:rPr>
          <w:rFonts w:ascii="Arial" w:hAnsi="Arial" w:eastAsia="等线" w:cs="Arial"/>
          <w:b/>
          <w:sz w:val="36"/>
        </w:rPr>
        <w:t>题目</w:t>
      </w:r>
      <w:r>
        <w:rPr>
          <w:rFonts w:hint="eastAsia" w:ascii="Arial" w:hAnsi="Arial" w:eastAsia="等线" w:cs="Arial"/>
          <w:b/>
          <w:sz w:val="36"/>
        </w:rPr>
        <w:t>18（进阶级）</w:t>
      </w:r>
      <w:r>
        <w:rPr>
          <w:rFonts w:ascii="Arial" w:hAnsi="Arial" w:eastAsia="等线" w:cs="Arial"/>
          <w:b/>
          <w:sz w:val="36"/>
        </w:rPr>
        <w:t>：基于回归与聚类的工业设备剩余寿命预测系统设计</w:t>
      </w:r>
    </w:p>
    <w:p w14:paraId="16C888BE">
      <w:pPr>
        <w:spacing w:before="320" w:after="120" w:line="288" w:lineRule="auto"/>
        <w:outlineLvl w:val="1"/>
        <w:rPr>
          <w:rFonts w:hint="eastAsia"/>
        </w:rPr>
      </w:pPr>
      <w:r>
        <w:rPr>
          <w:rFonts w:ascii="Arial" w:hAnsi="Arial" w:eastAsia="等线" w:cs="Arial"/>
          <w:b/>
          <w:sz w:val="32"/>
        </w:rPr>
        <w:t>一、设计背景和需求</w:t>
      </w:r>
    </w:p>
    <w:p w14:paraId="26329D6B">
      <w:pPr>
        <w:spacing w:before="120" w:after="120" w:line="288" w:lineRule="auto"/>
        <w:rPr>
          <w:rFonts w:hint="eastAsia"/>
        </w:rPr>
      </w:pPr>
      <w:r>
        <w:rPr>
          <w:rFonts w:ascii="Arial" w:hAnsi="Arial" w:eastAsia="等线" w:cs="Arial"/>
        </w:rPr>
        <w:t>工业设备剩余寿命（RUL）预测是预测性维护的核心技术，可根据设备运行参数预测剩余可用时间，提前安排维护，减少突发故障导致的生产中断。不同设备的老化模式存在差异（如高负荷运行设备vs平稳运行设备），且剩余寿命受运行参数（温度、振动、压力）、运行时长等多因素影响。本设计需通过聚类划分老化模式相似的设备，结合回归算法预测剩余寿命，提升预测精度，为工业设备维护计划制定提供支撑。</w:t>
      </w:r>
    </w:p>
    <w:p w14:paraId="7ECDD4C7">
      <w:pPr>
        <w:spacing w:before="320" w:after="120" w:line="288" w:lineRule="auto"/>
        <w:outlineLvl w:val="1"/>
        <w:rPr>
          <w:rFonts w:hint="eastAsia"/>
        </w:rPr>
      </w:pPr>
      <w:r>
        <w:rPr>
          <w:rFonts w:ascii="Arial" w:hAnsi="Arial" w:eastAsia="等线" w:cs="Arial"/>
          <w:b/>
          <w:sz w:val="32"/>
        </w:rPr>
        <w:t>二、设计任务</w:t>
      </w:r>
    </w:p>
    <w:p w14:paraId="3968DE5D">
      <w:pPr>
        <w:numPr>
          <w:ilvl w:val="0"/>
          <w:numId w:val="123"/>
        </w:numPr>
        <w:spacing w:before="120" w:after="120" w:line="288" w:lineRule="auto"/>
        <w:rPr>
          <w:rFonts w:hint="eastAsia"/>
        </w:rPr>
      </w:pPr>
      <w:r>
        <w:rPr>
          <w:rFonts w:ascii="Arial" w:hAnsi="Arial" w:eastAsia="等线" w:cs="Arial"/>
        </w:rPr>
        <w:t>数据集获取与预处理：获取NASA Turbofan Engine Degradation或XJTU-SY Bearing Dataset，以NASA数据集为例（含4台发动机的全生命周期运行数据，21个运行参数，标签为剩余寿命），构建设备特征集（如运行参数的滑动窗口均值、标准差、峰值、趋势系数等），处理缺失值（线性插值），对特征标准化。</w:t>
      </w:r>
    </w:p>
    <w:p w14:paraId="07276A3C">
      <w:pPr>
        <w:numPr>
          <w:ilvl w:val="0"/>
          <w:numId w:val="124"/>
        </w:numPr>
        <w:spacing w:before="120" w:after="120" w:line="288" w:lineRule="auto"/>
        <w:rPr>
          <w:rFonts w:hint="eastAsia"/>
        </w:rPr>
      </w:pPr>
      <w:r>
        <w:rPr>
          <w:rFonts w:ascii="Arial" w:hAnsi="Arial" w:eastAsia="等线" w:cs="Arial"/>
        </w:rPr>
        <w:t>设备聚类与老化模式分析：采用K-Means、层次聚类、DBSCAN</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w:t>
      </w:r>
      <w:r>
        <w:rPr>
          <w:rFonts w:ascii="Arial" w:hAnsi="Arial" w:eastAsia="等线" w:cs="Arial"/>
        </w:rPr>
        <w:t>聚类算法，将设备按老化模式划分为不同集群（如快速老化型、缓慢老化型、波动老化型）。采用轮廓系数确定K-Means最优聚类数（2-5类），分析各集群的老化特征（如“集群1设备振动频率标准差随运行时间增长速度是集群2的2倍”）。</w:t>
      </w:r>
    </w:p>
    <w:p w14:paraId="0E23281D">
      <w:pPr>
        <w:numPr>
          <w:ilvl w:val="0"/>
          <w:numId w:val="125"/>
        </w:numPr>
        <w:spacing w:before="120" w:after="120" w:line="288" w:lineRule="auto"/>
        <w:rPr>
          <w:rFonts w:hint="eastAsia"/>
        </w:rPr>
      </w:pPr>
      <w:r>
        <w:rPr>
          <w:rFonts w:ascii="Arial" w:hAnsi="Arial" w:eastAsia="等线" w:cs="Arial"/>
        </w:rPr>
        <w:t>剩余寿命预测模型构建：对每个集群，分别构建线性回归、ARIMA（时间序列回归）、随机森林回归</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w:t>
      </w:r>
      <w:r>
        <w:rPr>
          <w:rFonts w:ascii="Arial" w:hAnsi="Arial" w:eastAsia="等线" w:cs="Arial"/>
        </w:rPr>
        <w:t>模型，以过去100个时间点的特征数据为输入，预测设备剩余寿命。划分训练集（前70%设备生命周期数据）、测试集（后30%），优化超参数（如ARIMA的p,d,q值、随机森林的树数量）。</w:t>
      </w:r>
    </w:p>
    <w:p w14:paraId="75C6895E">
      <w:pPr>
        <w:numPr>
          <w:ilvl w:val="0"/>
          <w:numId w:val="126"/>
        </w:numPr>
        <w:spacing w:before="120" w:after="120" w:line="288" w:lineRule="auto"/>
        <w:rPr>
          <w:rFonts w:hint="eastAsia"/>
        </w:rPr>
      </w:pPr>
      <w:r>
        <w:rPr>
          <w:rFonts w:ascii="Arial" w:hAnsi="Arial" w:eastAsia="等线" w:cs="Arial"/>
        </w:rPr>
        <w:t>预测结果评估：计算各集群、各模型的MAE、RMSE、MAPE，对比“先聚类后预测”与“直接全设备预测”的精度提升幅度，绘制典型设备的预测剩余寿命与真实剩余寿命对比曲线。分析不同运行负荷下的预测精度差异，为高负荷设备制定针对性维护建议。</w:t>
      </w:r>
    </w:p>
    <w:p w14:paraId="5C90DB20">
      <w:pPr>
        <w:spacing w:before="320" w:after="120" w:line="288" w:lineRule="auto"/>
        <w:outlineLvl w:val="1"/>
        <w:rPr>
          <w:rFonts w:hint="eastAsia"/>
        </w:rPr>
      </w:pPr>
      <w:r>
        <w:rPr>
          <w:rFonts w:ascii="Arial" w:hAnsi="Arial" w:eastAsia="等线" w:cs="Arial"/>
          <w:b/>
          <w:sz w:val="32"/>
        </w:rPr>
        <w:t>三、设计要求</w:t>
      </w:r>
    </w:p>
    <w:p w14:paraId="3C333DC1">
      <w:pPr>
        <w:numPr>
          <w:ilvl w:val="0"/>
          <w:numId w:val="127"/>
        </w:numPr>
        <w:spacing w:before="120" w:after="120" w:line="288" w:lineRule="auto"/>
        <w:rPr>
          <w:rFonts w:hint="eastAsia"/>
        </w:rPr>
      </w:pPr>
      <w:r>
        <w:rPr>
          <w:rFonts w:ascii="Arial" w:hAnsi="Arial" w:eastAsia="等线" w:cs="Arial"/>
        </w:rPr>
        <w:t>特征构建需结合设备老化机理，如“振动频率的峰值和标准差直接反映轴承磨损程度，是老化的核心指标”，滑动窗口大小选择需说明依据（如“100个时间点覆盖设备老化的关键阶段，兼顾时效性与稳定性”）。</w:t>
      </w:r>
    </w:p>
    <w:p w14:paraId="14D4FADE">
      <w:pPr>
        <w:numPr>
          <w:ilvl w:val="0"/>
          <w:numId w:val="128"/>
        </w:numPr>
        <w:spacing w:before="120" w:after="120" w:line="288" w:lineRule="auto"/>
        <w:rPr>
          <w:rFonts w:hint="eastAsia"/>
        </w:rPr>
      </w:pPr>
      <w:r>
        <w:rPr>
          <w:rFonts w:ascii="Arial" w:hAnsi="Arial" w:eastAsia="等线" w:cs="Arial"/>
        </w:rPr>
        <w:t>聚类结果需通过老化曲线对比展示，每个集群选择2台代表性设备，描述老化模式差异，如“集群3为波动老化型，剩余寿命预测需重点考虑参数突变的影响”，聚类有效性需通过轮廓系数和工业常识双重验证。</w:t>
      </w:r>
    </w:p>
    <w:p w14:paraId="49A8E3C0">
      <w:pPr>
        <w:numPr>
          <w:ilvl w:val="0"/>
          <w:numId w:val="129"/>
        </w:numPr>
        <w:spacing w:before="120" w:after="120" w:line="288" w:lineRule="auto"/>
        <w:rPr>
          <w:rFonts w:hint="eastAsia"/>
        </w:rPr>
      </w:pPr>
      <w:r>
        <w:rPr>
          <w:rFonts w:ascii="Arial" w:hAnsi="Arial" w:eastAsia="等线" w:cs="Arial"/>
        </w:rPr>
        <w:t>回归预测需区分不同剩余寿命阶段（如剩余寿命&gt;100小时vs&lt;50小时）的预测精度，分析ARIMA对时序趋势的捕捉能力和随机森林对非线性老化模式的拟合能力，MAPE需控制在合理范围（如≤15%）。</w:t>
      </w:r>
    </w:p>
    <w:p w14:paraId="4D8CCBCE">
      <w:pPr>
        <w:pStyle w:val="4"/>
        <w:numPr>
          <w:ilvl w:val="0"/>
          <w:numId w:val="129"/>
        </w:numPr>
        <w:spacing w:before="120" w:after="120" w:line="288" w:lineRule="auto"/>
        <w:ind w:firstLine="0" w:firstLineChars="0"/>
        <w:rPr>
          <w:rFonts w:hint="eastAsia"/>
        </w:rPr>
      </w:pPr>
      <w:r>
        <w:rPr>
          <w:rFonts w:ascii="Arial" w:hAnsi="Arial" w:eastAsia="等线" w:cs="Arial"/>
        </w:rPr>
        <w:t>提交设计报告，</w:t>
      </w:r>
      <w:r>
        <w:rPr>
          <w:rFonts w:ascii="Arial" w:hAnsi="Arial" w:eastAsia="等线" w:cs="Arial"/>
          <w:color w:val="EE0000"/>
        </w:rPr>
        <w:t>代码、设备特征数据集、剩余寿命预测报告</w:t>
      </w:r>
      <w:r>
        <w:rPr>
          <w:rFonts w:hint="eastAsia" w:ascii="Arial" w:hAnsi="Arial" w:eastAsia="等线" w:cs="Arial"/>
          <w:color w:val="EE0000"/>
        </w:rPr>
        <w:t>，</w:t>
      </w:r>
      <w:r>
        <w:rPr>
          <w:rFonts w:ascii="Arial" w:hAnsi="Arial" w:eastAsia="等线" w:cs="Arial"/>
          <w:color w:val="EE0000"/>
        </w:rPr>
        <w:t>代码需包含聚类分析、回归预测和可视化模块，支持输入实时运行参数更新剩余寿命预测值。</w:t>
      </w:r>
      <w:r>
        <w:rPr>
          <w:rFonts w:hint="eastAsia" w:ascii="Arial" w:hAnsi="Arial" w:eastAsia="等线" w:cs="Arial"/>
          <w:color w:val="EE0000"/>
        </w:rPr>
        <w:t>（红色部分作为附录）</w:t>
      </w:r>
    </w:p>
    <w:p w14:paraId="0886569C">
      <w:pPr>
        <w:spacing w:before="320" w:after="120" w:line="288" w:lineRule="auto"/>
        <w:outlineLvl w:val="1"/>
        <w:rPr>
          <w:rFonts w:hint="eastAsia"/>
        </w:rPr>
      </w:pPr>
      <w:r>
        <w:rPr>
          <w:rFonts w:ascii="Arial" w:hAnsi="Arial" w:eastAsia="等线" w:cs="Arial"/>
          <w:b/>
          <w:sz w:val="32"/>
        </w:rPr>
        <w:t>四、数据集说明</w:t>
      </w:r>
    </w:p>
    <w:p w14:paraId="24B553A6">
      <w:pPr>
        <w:spacing w:before="120" w:after="120" w:line="288" w:lineRule="auto"/>
        <w:rPr>
          <w:rFonts w:hint="eastAsia"/>
        </w:rPr>
      </w:pPr>
      <w:r>
        <w:rPr>
          <w:rFonts w:ascii="Arial" w:hAnsi="Arial" w:eastAsia="等线" w:cs="Arial"/>
        </w:rPr>
        <w:t>采用NASA Turbofan Engine Degradation数据集，来源于NASA预测与健康管理中心（https://ti.arc.nasa.gov/tech/dash/groups/pcoe/prognostic-data-repository/），包含4台发动机的全生命周期数据（每台发动机含多个运行至故障的样本），21个运行参数，数据质量高且老化模式多样，适合剩余寿命预测；也可采用XJTU-SY Bearing Dataset（轴承寿命数据），样本量更大（150个轴承样本），适合机械类专业场景。</w:t>
      </w:r>
    </w:p>
    <w:p w14:paraId="5B56CAE3">
      <w:pPr>
        <w:spacing w:before="380" w:after="140" w:line="288" w:lineRule="auto"/>
        <w:outlineLvl w:val="0"/>
        <w:rPr>
          <w:rFonts w:hint="eastAsia"/>
        </w:rPr>
      </w:pPr>
      <w:r>
        <w:rPr>
          <w:rFonts w:ascii="Arial" w:hAnsi="Arial" w:eastAsia="等线" w:cs="Arial"/>
          <w:b/>
          <w:sz w:val="36"/>
        </w:rPr>
        <w:t>题目</w:t>
      </w:r>
      <w:r>
        <w:rPr>
          <w:rFonts w:hint="eastAsia" w:ascii="Arial" w:hAnsi="Arial" w:eastAsia="等线" w:cs="Arial"/>
          <w:b/>
          <w:sz w:val="36"/>
        </w:rPr>
        <w:t>19（进阶级）</w:t>
      </w:r>
      <w:r>
        <w:rPr>
          <w:rFonts w:ascii="Arial" w:hAnsi="Arial" w:eastAsia="等线" w:cs="Arial"/>
          <w:b/>
          <w:sz w:val="36"/>
        </w:rPr>
        <w:t>：基于度量学习与分类的加密流量分类系统设计</w:t>
      </w:r>
    </w:p>
    <w:p w14:paraId="2BB26086">
      <w:pPr>
        <w:spacing w:before="320" w:after="120" w:line="288" w:lineRule="auto"/>
        <w:outlineLvl w:val="1"/>
        <w:rPr>
          <w:rFonts w:hint="eastAsia"/>
        </w:rPr>
      </w:pPr>
      <w:r>
        <w:rPr>
          <w:rFonts w:ascii="Arial" w:hAnsi="Arial" w:eastAsia="等线" w:cs="Arial"/>
          <w:b/>
          <w:sz w:val="32"/>
        </w:rPr>
        <w:t>一、设计背景和需求</w:t>
      </w:r>
    </w:p>
    <w:p w14:paraId="752DCA65">
      <w:pPr>
        <w:spacing w:before="120" w:after="120" w:line="288" w:lineRule="auto"/>
        <w:rPr>
          <w:rFonts w:hint="eastAsia"/>
        </w:rPr>
      </w:pPr>
      <w:r>
        <w:rPr>
          <w:rFonts w:ascii="Arial" w:hAnsi="Arial" w:eastAsia="等线" w:cs="Arial"/>
        </w:rPr>
        <w:t>加密流量分类是网络安全与流量管理的关键技术，用于识别加密流量中的应用类型（如HTTPs、VPN、P2P等）或恶意行为（如加密恶意软件通信）。加密流量无法通过内容分析识别，只能依赖流量统计特征（如数据包大小分布、连接时长、报文交互频率），且不同加密应用的流量特征差异小，传统分类算法准确率低。本设计需通过度量学习优化特征距离，结合分类算法构建加密流量分类系统，提升加密场景下的流量识别能力。</w:t>
      </w:r>
    </w:p>
    <w:p w14:paraId="78BA7D19">
      <w:pPr>
        <w:spacing w:before="320" w:after="120" w:line="288" w:lineRule="auto"/>
        <w:outlineLvl w:val="1"/>
        <w:rPr>
          <w:rFonts w:hint="eastAsia"/>
        </w:rPr>
      </w:pPr>
      <w:r>
        <w:rPr>
          <w:rFonts w:ascii="Arial" w:hAnsi="Arial" w:eastAsia="等线" w:cs="Arial"/>
          <w:b/>
          <w:sz w:val="32"/>
        </w:rPr>
        <w:t>二、设计任务</w:t>
      </w:r>
    </w:p>
    <w:p w14:paraId="255E2464">
      <w:pPr>
        <w:numPr>
          <w:ilvl w:val="0"/>
          <w:numId w:val="130"/>
        </w:numPr>
        <w:spacing w:before="120" w:after="120" w:line="288" w:lineRule="auto"/>
        <w:rPr>
          <w:rFonts w:hint="eastAsia"/>
        </w:rPr>
      </w:pPr>
      <w:r>
        <w:rPr>
          <w:rFonts w:ascii="Arial" w:hAnsi="Arial" w:eastAsia="等线" w:cs="Arial"/>
        </w:rPr>
        <w:t>数据集获取与预处理：获取ISCX VPN-nonVPN或CSE-CIC-IDS2018加密流量子集，以ISCX数据集为例（含HTTPs、FTP、VPN、P2P等8类加密/非加密流量数据），提取流量统计特征（如平均数据包大小、连接持续时间、数据包大小标准差、上行/下行流量比等20维特征），处理异常值（删除连接时长&lt;1秒的无效数据），对特征归一化，划分训练集（每人60%）和测试集（40%）。</w:t>
      </w:r>
    </w:p>
    <w:p w14:paraId="27A6D0FE">
      <w:pPr>
        <w:numPr>
          <w:ilvl w:val="0"/>
          <w:numId w:val="131"/>
        </w:numPr>
        <w:spacing w:before="120" w:after="120" w:line="288" w:lineRule="auto"/>
        <w:rPr>
          <w:rFonts w:hint="eastAsia"/>
        </w:rPr>
      </w:pPr>
      <w:r>
        <w:rPr>
          <w:rFonts w:ascii="Arial" w:hAnsi="Arial" w:eastAsia="等线" w:cs="Arial"/>
        </w:rPr>
        <w:t>度量学习模型构建：分别采用LMNN、ITML、Triplet Loss（传统实现）</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三种度量学习</w:t>
      </w:r>
      <w:r>
        <w:rPr>
          <w:rFonts w:ascii="Arial" w:hAnsi="Arial" w:eastAsia="等线" w:cs="Arial"/>
        </w:rPr>
        <w:t>算法，对流量特征进行优化，使同类加密流量特征距离更近，不同类特征距离更远，得到自定义距离度量矩阵。</w:t>
      </w:r>
    </w:p>
    <w:p w14:paraId="45AC70BF">
      <w:pPr>
        <w:numPr>
          <w:ilvl w:val="0"/>
          <w:numId w:val="132"/>
        </w:numPr>
        <w:spacing w:before="120" w:after="120" w:line="288" w:lineRule="auto"/>
        <w:rPr>
          <w:rFonts w:hint="eastAsia"/>
        </w:rPr>
      </w:pPr>
      <w:r>
        <w:rPr>
          <w:rFonts w:ascii="Arial" w:hAnsi="Arial" w:eastAsia="等线" w:cs="Arial"/>
        </w:rPr>
        <w:t>分类模型构建与测试：基于原始特征和度量学习优化后的特征，分别构建KNN（K=1,3,5）、SVM（一对一多分类）、随机森林</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三种分类</w:t>
      </w:r>
      <w:r>
        <w:rPr>
          <w:rFonts w:ascii="Arial" w:hAnsi="Arial" w:eastAsia="等线" w:cs="Arial"/>
        </w:rPr>
        <w:t>模型，采用留一法交叉验证测试分类准确率，统计不同加密应用类型（如VPN vs 正常HTTPs）的分类精度，对比度量学习前后的性能提升。</w:t>
      </w:r>
    </w:p>
    <w:p w14:paraId="036E2C60">
      <w:pPr>
        <w:numPr>
          <w:ilvl w:val="0"/>
          <w:numId w:val="133"/>
        </w:numPr>
        <w:spacing w:before="120" w:after="120" w:line="288" w:lineRule="auto"/>
        <w:rPr>
          <w:rFonts w:hint="eastAsia"/>
        </w:rPr>
      </w:pPr>
      <w:r>
        <w:rPr>
          <w:rFonts w:ascii="Arial" w:hAnsi="Arial" w:eastAsia="等线" w:cs="Arial"/>
        </w:rPr>
        <w:t>特征可视化与安全分析：将原始特征和优化后的特征通过PCA降至二维，绘制散点图观察类别聚集效果。分析算法对加密恶意流量（如VPN隐藏的恶意通信）的识别能力，提出基于流量分类的网络访问控制策略。</w:t>
      </w:r>
    </w:p>
    <w:p w14:paraId="34A92250">
      <w:pPr>
        <w:spacing w:before="320" w:after="120" w:line="288" w:lineRule="auto"/>
        <w:outlineLvl w:val="1"/>
        <w:rPr>
          <w:rFonts w:hint="eastAsia"/>
        </w:rPr>
      </w:pPr>
      <w:r>
        <w:rPr>
          <w:rFonts w:ascii="Arial" w:hAnsi="Arial" w:eastAsia="等线" w:cs="Arial"/>
          <w:b/>
          <w:sz w:val="32"/>
        </w:rPr>
        <w:t>三、设计要求</w:t>
      </w:r>
    </w:p>
    <w:p w14:paraId="57961CD2">
      <w:pPr>
        <w:numPr>
          <w:ilvl w:val="0"/>
          <w:numId w:val="134"/>
        </w:numPr>
        <w:spacing w:before="120" w:after="120" w:line="288" w:lineRule="auto"/>
        <w:rPr>
          <w:rFonts w:hint="eastAsia"/>
        </w:rPr>
      </w:pPr>
      <w:r>
        <w:rPr>
          <w:rFonts w:ascii="Arial" w:hAnsi="Arial" w:eastAsia="等线" w:cs="Arial"/>
        </w:rPr>
        <w:t>特征提取需聚焦加密流量可获取的统计特征，避免依赖内容特征，如“提取TCP握手阶段的数据包交互特征，不涉及应用层内容”，特征筛选需通过方差分析剔除区分度低的特征（如方差&lt;0.01的特征）。</w:t>
      </w:r>
    </w:p>
    <w:p w14:paraId="34DC8240">
      <w:pPr>
        <w:numPr>
          <w:ilvl w:val="0"/>
          <w:numId w:val="135"/>
        </w:numPr>
        <w:spacing w:before="120" w:after="120" w:line="288" w:lineRule="auto"/>
        <w:rPr>
          <w:rFonts w:hint="eastAsia"/>
        </w:rPr>
      </w:pPr>
      <w:r>
        <w:rPr>
          <w:rFonts w:ascii="Arial" w:hAnsi="Arial" w:eastAsia="等线" w:cs="Arial"/>
        </w:rPr>
        <w:t>度量学习过程需记录样本对/三元组构建方式，如“正样本对为同一加密应用的不同流量样本，负样本对为不同应用的流量样本”，迭代次数和收敛条件，量化距离优化效果（如同类样本距离均值降低幅度）。</w:t>
      </w:r>
    </w:p>
    <w:p w14:paraId="0A7DA28D">
      <w:pPr>
        <w:numPr>
          <w:ilvl w:val="0"/>
          <w:numId w:val="136"/>
        </w:numPr>
        <w:spacing w:before="120" w:after="120" w:line="288" w:lineRule="auto"/>
        <w:rPr>
          <w:rFonts w:hint="eastAsia"/>
        </w:rPr>
      </w:pPr>
      <w:r>
        <w:rPr>
          <w:rFonts w:ascii="Arial" w:hAnsi="Arial" w:eastAsia="等线" w:cs="Arial"/>
        </w:rPr>
        <w:t>分类结果需按应用类型分组统计准确率，重点分析易混淆类型（如VPN与P2P加密流量）的分类效果，绘制混淆矩阵展示分类细节。安全分析需说明如何基于分类结果识别异常加密流量（如“未授权VPN流量占比突增可能存在数据泄露风险”）。</w:t>
      </w:r>
    </w:p>
    <w:p w14:paraId="10D1B1C6">
      <w:pPr>
        <w:pStyle w:val="4"/>
        <w:numPr>
          <w:ilvl w:val="0"/>
          <w:numId w:val="136"/>
        </w:numPr>
        <w:spacing w:before="120" w:after="120" w:line="288" w:lineRule="auto"/>
        <w:ind w:firstLine="0" w:firstLineChars="0"/>
        <w:rPr>
          <w:rFonts w:hint="eastAsia"/>
          <w:color w:val="EE0000"/>
        </w:rPr>
      </w:pPr>
      <w:r>
        <w:rPr>
          <w:rFonts w:ascii="Arial" w:hAnsi="Arial" w:eastAsia="等线" w:cs="Arial"/>
        </w:rPr>
        <w:t>提交设计报告，</w:t>
      </w:r>
      <w:r>
        <w:rPr>
          <w:rFonts w:ascii="Arial" w:hAnsi="Arial" w:eastAsia="等线" w:cs="Arial"/>
          <w:color w:val="EE0000"/>
        </w:rPr>
        <w:t>代码、流量特征数据集、分类结果报告</w:t>
      </w:r>
      <w:r>
        <w:rPr>
          <w:rFonts w:hint="eastAsia" w:ascii="Arial" w:hAnsi="Arial" w:eastAsia="等线" w:cs="Arial"/>
          <w:color w:val="EE0000"/>
        </w:rPr>
        <w:t>，</w:t>
      </w:r>
      <w:r>
        <w:rPr>
          <w:rFonts w:ascii="Arial" w:hAnsi="Arial" w:eastAsia="等线" w:cs="Arial"/>
          <w:color w:val="EE0000"/>
        </w:rPr>
        <w:t>代码需包含特征提取、度量学习训练和分类测试模块，支持对实时捕获的加密流量进行分类。</w:t>
      </w:r>
      <w:r>
        <w:rPr>
          <w:rFonts w:hint="eastAsia" w:ascii="Arial" w:hAnsi="Arial" w:eastAsia="等线" w:cs="Arial"/>
          <w:color w:val="EE0000"/>
        </w:rPr>
        <w:t>（红色部分作为附录）</w:t>
      </w:r>
    </w:p>
    <w:p w14:paraId="579DB565">
      <w:pPr>
        <w:spacing w:before="320" w:after="120" w:line="288" w:lineRule="auto"/>
        <w:outlineLvl w:val="1"/>
        <w:rPr>
          <w:rFonts w:hint="eastAsia"/>
        </w:rPr>
      </w:pPr>
      <w:r>
        <w:rPr>
          <w:rFonts w:ascii="Arial" w:hAnsi="Arial" w:eastAsia="等线" w:cs="Arial"/>
          <w:b/>
          <w:sz w:val="32"/>
        </w:rPr>
        <w:t>四、数据集说明</w:t>
      </w:r>
    </w:p>
    <w:p w14:paraId="5844D3EF">
      <w:pPr>
        <w:spacing w:before="120" w:after="120" w:line="288" w:lineRule="auto"/>
        <w:rPr>
          <w:rFonts w:hint="eastAsia"/>
        </w:rPr>
      </w:pPr>
      <w:r>
        <w:rPr>
          <w:rFonts w:ascii="Arial" w:hAnsi="Arial" w:eastAsia="等线" w:cs="Arial"/>
        </w:rPr>
        <w:t>采用ISCX VPN-nonVPN数据集，来源于加拿大网络安全研究所（https://www.unb.ca/cic/datasets/vpn.html），包含8类常见应用的加密和非加密流量数据，共约14000条样本，20维统计特征，明确标注VPN和非VPN流量，适合加密流量分类场景；也可采用CSE-CIC-IDS2018的HTTPS流量子集，包含恶意和正常加密流量，适合安全导向的分类任务。</w:t>
      </w:r>
    </w:p>
    <w:p w14:paraId="63835568">
      <w:pPr>
        <w:spacing w:before="380" w:after="140" w:line="288" w:lineRule="auto"/>
        <w:outlineLvl w:val="0"/>
        <w:rPr>
          <w:rFonts w:hint="eastAsia"/>
        </w:rPr>
      </w:pPr>
      <w:r>
        <w:rPr>
          <w:rFonts w:ascii="Arial" w:hAnsi="Arial" w:eastAsia="等线" w:cs="Arial"/>
          <w:b/>
          <w:sz w:val="36"/>
        </w:rPr>
        <w:t>题目</w:t>
      </w:r>
      <w:r>
        <w:rPr>
          <w:rFonts w:hint="eastAsia" w:ascii="Arial" w:hAnsi="Arial" w:eastAsia="等线" w:cs="Arial"/>
          <w:b/>
          <w:sz w:val="36"/>
        </w:rPr>
        <w:t>20（挑战级）</w:t>
      </w:r>
      <w:r>
        <w:rPr>
          <w:rFonts w:ascii="Arial" w:hAnsi="Arial" w:eastAsia="等线" w:cs="Arial"/>
          <w:b/>
          <w:sz w:val="36"/>
        </w:rPr>
        <w:t>：基于贝叶斯网络与聚类的工业控制系统入侵检测系统设计</w:t>
      </w:r>
    </w:p>
    <w:p w14:paraId="407071F7">
      <w:pPr>
        <w:spacing w:before="320" w:after="120" w:line="288" w:lineRule="auto"/>
        <w:outlineLvl w:val="1"/>
        <w:rPr>
          <w:rFonts w:hint="eastAsia"/>
        </w:rPr>
      </w:pPr>
      <w:r>
        <w:rPr>
          <w:rFonts w:ascii="Arial" w:hAnsi="Arial" w:eastAsia="等线" w:cs="Arial"/>
          <w:b/>
          <w:sz w:val="32"/>
        </w:rPr>
        <w:t>一、设计背景和需求</w:t>
      </w:r>
    </w:p>
    <w:p w14:paraId="34D0DBE2">
      <w:pPr>
        <w:spacing w:before="120" w:after="120" w:line="288" w:lineRule="auto"/>
        <w:rPr>
          <w:rFonts w:hint="eastAsia"/>
        </w:rPr>
      </w:pPr>
      <w:r>
        <w:rPr>
          <w:rFonts w:ascii="Arial" w:hAnsi="Arial" w:eastAsia="等线" w:cs="Arial"/>
        </w:rPr>
        <w:t>工业控制系统（ICS）入侵检测是工业安全的最后防线，用于识别对控制器、传感器、执行器的恶意攻击（如控制指令篡改、传感器数据欺骗、拒绝服务攻击）。ICS数据具有强时序性和设备关联性（如传感器数据与执行器指令存在因果关联），不同攻击类型对应不同的设备异常模式。本设计需通过聚类划分异常模式，结合贝叶斯网络构建入侵检测模型，实现ICS攻击的精准识别和类型判定。</w:t>
      </w:r>
    </w:p>
    <w:p w14:paraId="4B904E0F">
      <w:pPr>
        <w:spacing w:before="320" w:after="120" w:line="288" w:lineRule="auto"/>
        <w:outlineLvl w:val="1"/>
        <w:rPr>
          <w:rFonts w:hint="eastAsia"/>
        </w:rPr>
      </w:pPr>
      <w:r>
        <w:rPr>
          <w:rFonts w:ascii="Arial" w:hAnsi="Arial" w:eastAsia="等线" w:cs="Arial"/>
          <w:b/>
          <w:sz w:val="32"/>
        </w:rPr>
        <w:t>二、设计任务</w:t>
      </w:r>
    </w:p>
    <w:p w14:paraId="7A0F70EF">
      <w:pPr>
        <w:numPr>
          <w:ilvl w:val="0"/>
          <w:numId w:val="137"/>
        </w:numPr>
        <w:spacing w:before="120" w:after="120" w:line="288" w:lineRule="auto"/>
        <w:rPr>
          <w:rFonts w:hint="eastAsia"/>
        </w:rPr>
      </w:pPr>
      <w:r>
        <w:rPr>
          <w:rFonts w:ascii="Arial" w:hAnsi="Arial" w:eastAsia="等线" w:cs="Arial"/>
        </w:rPr>
        <w:t>数据集获取与预处理：获取WADI或SWaT工业控制系统数据集，以WADI为例（含水处理系统的123个传感器和执行器数据，包含正常数据和15种入侵攻击场景），提取设备特征集（如传感器数据的均值、标准差、与执行器指令的相关性、时序趋势斜率等），处理缺失值（线性插值），对特征标准化，提取攻击发生前后的特征样本。</w:t>
      </w:r>
    </w:p>
    <w:p w14:paraId="3D6C78B6">
      <w:pPr>
        <w:numPr>
          <w:ilvl w:val="0"/>
          <w:numId w:val="138"/>
        </w:numPr>
        <w:spacing w:before="120" w:after="120" w:line="288" w:lineRule="auto"/>
        <w:rPr>
          <w:rFonts w:hint="eastAsia"/>
        </w:rPr>
      </w:pPr>
      <w:r>
        <w:rPr>
          <w:rFonts w:ascii="Arial" w:hAnsi="Arial" w:eastAsia="等线" w:cs="Arial"/>
        </w:rPr>
        <w:t>攻击模式聚类：采用K-Means、DBSCAN、层次聚类</w:t>
      </w:r>
      <w:r>
        <w:rPr>
          <w:rFonts w:hint="eastAsia" w:ascii="Arial" w:hAnsi="Arial" w:eastAsia="等线" w:cs="Arial"/>
          <w:lang w:val="en-US" w:eastAsia="zh-CN"/>
        </w:rPr>
        <w:t>等</w:t>
      </w:r>
      <w:r>
        <w:rPr>
          <w:rFonts w:hint="eastAsia" w:ascii="Arial" w:hAnsi="Arial" w:eastAsia="等线" w:cs="Arial"/>
          <w:color w:val="C00000"/>
          <w:lang w:val="en-US" w:eastAsia="zh-CN"/>
        </w:rPr>
        <w:t>至少</w:t>
      </w:r>
      <w:r>
        <w:rPr>
          <w:rFonts w:ascii="Arial" w:hAnsi="Arial" w:eastAsia="等线" w:cs="Arial"/>
          <w:color w:val="C00000"/>
        </w:rPr>
        <w:t>三种</w:t>
      </w:r>
      <w:r>
        <w:rPr>
          <w:rFonts w:ascii="Arial" w:hAnsi="Arial" w:eastAsia="等线" w:cs="Arial"/>
        </w:rPr>
        <w:t>算法，对攻击样本的特征进行聚类，划分不同的攻击模式集群（如传感器欺骗型、指令篡改型、DoS攻击型）。采用轮廓系数确定K-Means最优聚类数（3-6类），分析各集群的特征模式（如“集群1的传感器数据与执行器指令相关性显著低于正常样本，对应传感器欺骗攻击”）。</w:t>
      </w:r>
    </w:p>
    <w:p w14:paraId="055FA993">
      <w:pPr>
        <w:numPr>
          <w:ilvl w:val="0"/>
          <w:numId w:val="139"/>
        </w:numPr>
        <w:spacing w:before="120" w:after="120" w:line="288" w:lineRule="auto"/>
        <w:rPr>
          <w:rFonts w:hint="eastAsia"/>
        </w:rPr>
      </w:pPr>
      <w:r>
        <w:rPr>
          <w:rFonts w:ascii="Arial" w:hAnsi="Arial" w:eastAsia="等线" w:cs="Arial"/>
        </w:rPr>
        <w:t>贝叶斯网络入侵检测模型构建：基于聚类得到的攻击模式，构建贝叶斯网络结构（如“传感器数据异常→控制器状态异常→执行器动作异常”“指令突变→设备运行参数异常→攻击发生”），采用极大似然估计学习条件概率表。同时构建决策树、随机森林、SVM三种分类模型作为对比，划分训练集（70%）和测试集（30%）。</w:t>
      </w:r>
    </w:p>
    <w:p w14:paraId="41F91C82">
      <w:pPr>
        <w:numPr>
          <w:ilvl w:val="0"/>
          <w:numId w:val="140"/>
        </w:numPr>
        <w:spacing w:before="120" w:after="120" w:line="288" w:lineRule="auto"/>
        <w:rPr>
          <w:rFonts w:hint="eastAsia"/>
        </w:rPr>
      </w:pPr>
      <w:r>
        <w:rPr>
          <w:rFonts w:ascii="Arial" w:hAnsi="Arial" w:eastAsia="等线" w:cs="Arial"/>
        </w:rPr>
        <w:t>检测结果评估与分析：计算各模型的检测准确率、精确率、召回率、F1值，对比贝叶斯网络与传统模型</w:t>
      </w:r>
      <w:r>
        <w:rPr>
          <w:rFonts w:hint="eastAsia" w:ascii="Arial" w:hAnsi="Arial" w:eastAsia="等线" w:cs="Arial"/>
          <w:lang w:eastAsia="zh-CN"/>
        </w:rPr>
        <w:t>（</w:t>
      </w:r>
      <w:r>
        <w:rPr>
          <w:rFonts w:hint="eastAsia" w:ascii="Arial" w:hAnsi="Arial" w:eastAsia="等线" w:cs="Arial"/>
          <w:color w:val="C00000"/>
          <w:lang w:val="en-US" w:eastAsia="zh-CN"/>
        </w:rPr>
        <w:t>至少三种</w:t>
      </w:r>
      <w:r>
        <w:rPr>
          <w:rFonts w:hint="eastAsia" w:ascii="Arial" w:hAnsi="Arial" w:eastAsia="等线" w:cs="Arial"/>
          <w:lang w:eastAsia="zh-CN"/>
        </w:rPr>
        <w:t>）</w:t>
      </w:r>
      <w:r>
        <w:rPr>
          <w:rFonts w:ascii="Arial" w:hAnsi="Arial" w:eastAsia="等线" w:cs="Arial"/>
        </w:rPr>
        <w:t>在不同攻击类型（如隐蔽攻击vs显性攻击）下的检测效果。通过贝叶斯网络推理，分析攻击传播路径（如“传感器欺骗→控制器误判→生产质量下降”），提出ICS安全防护策略。</w:t>
      </w:r>
    </w:p>
    <w:p w14:paraId="0CC7723C">
      <w:pPr>
        <w:spacing w:before="320" w:after="120" w:line="288" w:lineRule="auto"/>
        <w:outlineLvl w:val="1"/>
        <w:rPr>
          <w:rFonts w:hint="eastAsia"/>
        </w:rPr>
      </w:pPr>
      <w:r>
        <w:rPr>
          <w:rFonts w:ascii="Arial" w:hAnsi="Arial" w:eastAsia="等线" w:cs="Arial"/>
          <w:b/>
          <w:sz w:val="32"/>
        </w:rPr>
        <w:t>三、设计要求</w:t>
      </w:r>
    </w:p>
    <w:p w14:paraId="5A761474">
      <w:pPr>
        <w:numPr>
          <w:ilvl w:val="0"/>
          <w:numId w:val="141"/>
        </w:numPr>
        <w:spacing w:before="120" w:after="120" w:line="288" w:lineRule="auto"/>
        <w:rPr>
          <w:rFonts w:hint="eastAsia"/>
        </w:rPr>
      </w:pPr>
      <w:r>
        <w:rPr>
          <w:rFonts w:ascii="Arial" w:hAnsi="Arial" w:eastAsia="等线" w:cs="Arial"/>
        </w:rPr>
        <w:t>特征构建需结合ICS设备交互逻辑，如“传感器测量值与控制器设定值的偏差是判断数据欺骗的核心特征，执行器指令的突变频率是指令篡改的关键指标”，时序特征的窗口大小需适配ICS的控制周期（如10个控制周期的窗口）。</w:t>
      </w:r>
    </w:p>
    <w:p w14:paraId="7EFB89DE">
      <w:pPr>
        <w:numPr>
          <w:ilvl w:val="0"/>
          <w:numId w:val="142"/>
        </w:numPr>
        <w:spacing w:before="120" w:after="120" w:line="288" w:lineRule="auto"/>
        <w:rPr>
          <w:rFonts w:hint="eastAsia"/>
        </w:rPr>
      </w:pPr>
      <w:r>
        <w:rPr>
          <w:rFonts w:ascii="Arial" w:hAnsi="Arial" w:eastAsia="等线" w:cs="Arial"/>
        </w:rPr>
        <w:t>聚类结果需通过特征对比图展示，每个集群选择2-3种代表性攻击类型，描述模式差异，如“集群2为DoS攻击型，特征表现为设备通信中断导致的参数缺失和波动”，聚类有效性需结合ICS攻击分类标准验证。</w:t>
      </w:r>
    </w:p>
    <w:p w14:paraId="12E500CA">
      <w:pPr>
        <w:numPr>
          <w:ilvl w:val="0"/>
          <w:numId w:val="143"/>
        </w:numPr>
        <w:spacing w:before="120" w:after="120" w:line="288" w:lineRule="auto"/>
        <w:rPr>
          <w:rFonts w:hint="eastAsia"/>
        </w:rPr>
      </w:pPr>
      <w:r>
        <w:rPr>
          <w:rFonts w:ascii="Arial" w:hAnsi="Arial" w:eastAsia="等线" w:cs="Arial"/>
        </w:rPr>
        <w:t>贝叶斯网络结构需可视化展示攻击传播的因果链，标注关键条件概率，如“当传感器偏差≥0.2且控制器指令异常时，传感器欺骗攻击概率为0.91”。检测评估需重点分析隐蔽攻击（如小幅度数据欺骗）的识别能力，避免漏判高危攻击。</w:t>
      </w:r>
    </w:p>
    <w:p w14:paraId="3BF69030">
      <w:pPr>
        <w:pStyle w:val="4"/>
        <w:numPr>
          <w:ilvl w:val="0"/>
          <w:numId w:val="143"/>
        </w:numPr>
        <w:spacing w:before="120" w:after="120" w:line="288" w:lineRule="auto"/>
        <w:ind w:firstLine="0" w:firstLineChars="0"/>
        <w:rPr>
          <w:rFonts w:hint="eastAsia"/>
        </w:rPr>
      </w:pPr>
      <w:r>
        <w:rPr>
          <w:rFonts w:ascii="Arial" w:hAnsi="Arial" w:eastAsia="等线" w:cs="Arial"/>
        </w:rPr>
        <w:t>提交设计报告，</w:t>
      </w:r>
      <w:r>
        <w:rPr>
          <w:rFonts w:ascii="Arial" w:hAnsi="Arial" w:eastAsia="等线" w:cs="Arial"/>
          <w:color w:val="EE0000"/>
        </w:rPr>
        <w:t>代码、特征工程后的数据集、入侵检测报告（含防护策略）</w:t>
      </w:r>
      <w:r>
        <w:rPr>
          <w:rFonts w:hint="eastAsia" w:ascii="Arial" w:hAnsi="Arial" w:eastAsia="等线" w:cs="Arial"/>
          <w:color w:val="EE0000"/>
        </w:rPr>
        <w:t>，</w:t>
      </w:r>
      <w:r>
        <w:rPr>
          <w:rFonts w:ascii="Arial" w:hAnsi="Arial" w:eastAsia="等线" w:cs="Arial"/>
          <w:color w:val="EE0000"/>
        </w:rPr>
        <w:t>代码需包含聚类分析、贝叶斯网络推理和攻击路径分析模块，支持对ICS实时数据的入侵检测。</w:t>
      </w:r>
      <w:r>
        <w:rPr>
          <w:rFonts w:hint="eastAsia" w:ascii="Arial" w:hAnsi="Arial" w:eastAsia="等线" w:cs="Arial"/>
          <w:color w:val="EE0000"/>
        </w:rPr>
        <w:t>（红色部分作为附录）</w:t>
      </w:r>
    </w:p>
    <w:p w14:paraId="4052EE02">
      <w:pPr>
        <w:spacing w:before="320" w:after="120" w:line="288" w:lineRule="auto"/>
        <w:outlineLvl w:val="1"/>
        <w:rPr>
          <w:rFonts w:hint="eastAsia"/>
        </w:rPr>
      </w:pPr>
      <w:r>
        <w:rPr>
          <w:rFonts w:ascii="Arial" w:hAnsi="Arial" w:eastAsia="等线" w:cs="Arial"/>
          <w:b/>
          <w:sz w:val="32"/>
        </w:rPr>
        <w:t>四、数据集说明</w:t>
      </w:r>
    </w:p>
    <w:p w14:paraId="7E266311">
      <w:pPr>
        <w:spacing w:before="120" w:after="120" w:line="288" w:lineRule="auto"/>
        <w:rPr>
          <w:rFonts w:hint="eastAsia"/>
        </w:rPr>
      </w:pPr>
      <w:r>
        <w:rPr>
          <w:rFonts w:ascii="Arial" w:hAnsi="Arial" w:eastAsia="等线" w:cs="Arial"/>
        </w:rPr>
        <w:t>采用WADI（Water Distribution System）数据集，来源于新加坡国立大学工业控制系统安全实验室（https://itrust.sutd.edu.sg/testbeds/wadi/），包含工业供水系统的123个设备数据，15种典型ICS攻击场景（含传感器欺骗、指令篡改等），数据采样频率为1秒，共约2000万条记录，贴近真实工业控制场景；需申请授权获取，简化版可采用Kaggle的“ICS Intrusion Detection Dataset”。</w:t>
      </w:r>
    </w:p>
    <w:sectPr>
      <w:headerReference r:id="rId5" w:type="default"/>
      <w:footerReference r:id="rId6" w:type="default"/>
      <w:pgSz w:w="11905" w:h="16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48067">
    <w:pP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2A9C3">
    <w:pP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7272B"/>
    <w:multiLevelType w:val="multilevel"/>
    <w:tmpl w:val="0067272B"/>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0A85104"/>
    <w:multiLevelType w:val="multilevel"/>
    <w:tmpl w:val="00A85104"/>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01CC2237"/>
    <w:multiLevelType w:val="multilevel"/>
    <w:tmpl w:val="01CC2237"/>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036E3E23"/>
    <w:multiLevelType w:val="multilevel"/>
    <w:tmpl w:val="036E3E23"/>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03A04668"/>
    <w:multiLevelType w:val="multilevel"/>
    <w:tmpl w:val="03A04668"/>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0427741F"/>
    <w:multiLevelType w:val="multilevel"/>
    <w:tmpl w:val="0427741F"/>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04A13547"/>
    <w:multiLevelType w:val="multilevel"/>
    <w:tmpl w:val="04A13547"/>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05053B4A"/>
    <w:multiLevelType w:val="multilevel"/>
    <w:tmpl w:val="05053B4A"/>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081D71D1"/>
    <w:multiLevelType w:val="multilevel"/>
    <w:tmpl w:val="081D71D1"/>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08857E35"/>
    <w:multiLevelType w:val="multilevel"/>
    <w:tmpl w:val="08857E35"/>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08DE4BFA"/>
    <w:multiLevelType w:val="multilevel"/>
    <w:tmpl w:val="08DE4BFA"/>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094A1581"/>
    <w:multiLevelType w:val="multilevel"/>
    <w:tmpl w:val="094A1581"/>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09F51DC1"/>
    <w:multiLevelType w:val="multilevel"/>
    <w:tmpl w:val="09F51DC1"/>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0B31790A"/>
    <w:multiLevelType w:val="multilevel"/>
    <w:tmpl w:val="0B31790A"/>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0BDA59B2"/>
    <w:multiLevelType w:val="multilevel"/>
    <w:tmpl w:val="0BDA59B2"/>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0CC91C43"/>
    <w:multiLevelType w:val="multilevel"/>
    <w:tmpl w:val="0CC91C43"/>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0D343D00"/>
    <w:multiLevelType w:val="multilevel"/>
    <w:tmpl w:val="0D343D00"/>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0D3B3600"/>
    <w:multiLevelType w:val="multilevel"/>
    <w:tmpl w:val="0D3B3600"/>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0D9B2965"/>
    <w:multiLevelType w:val="multilevel"/>
    <w:tmpl w:val="0D9B2965"/>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10FC501D"/>
    <w:multiLevelType w:val="multilevel"/>
    <w:tmpl w:val="10FC501D"/>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
    <w:nsid w:val="12E33E15"/>
    <w:multiLevelType w:val="multilevel"/>
    <w:tmpl w:val="12E33E15"/>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135859A9"/>
    <w:multiLevelType w:val="multilevel"/>
    <w:tmpl w:val="135859A9"/>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13EB5FC6"/>
    <w:multiLevelType w:val="multilevel"/>
    <w:tmpl w:val="13EB5FC6"/>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
    <w:nsid w:val="156E479E"/>
    <w:multiLevelType w:val="multilevel"/>
    <w:tmpl w:val="156E479E"/>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
    <w:nsid w:val="169C24FA"/>
    <w:multiLevelType w:val="multilevel"/>
    <w:tmpl w:val="169C24FA"/>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172059C7"/>
    <w:multiLevelType w:val="multilevel"/>
    <w:tmpl w:val="172059C7"/>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
    <w:nsid w:val="196908BC"/>
    <w:multiLevelType w:val="multilevel"/>
    <w:tmpl w:val="196908BC"/>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
    <w:nsid w:val="19E34316"/>
    <w:multiLevelType w:val="multilevel"/>
    <w:tmpl w:val="19E34316"/>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
    <w:nsid w:val="19F213AB"/>
    <w:multiLevelType w:val="multilevel"/>
    <w:tmpl w:val="19F213AB"/>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
    <w:nsid w:val="1B0D7AD1"/>
    <w:multiLevelType w:val="multilevel"/>
    <w:tmpl w:val="1B0D7AD1"/>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0">
    <w:nsid w:val="1B7105C7"/>
    <w:multiLevelType w:val="multilevel"/>
    <w:tmpl w:val="1B7105C7"/>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1">
    <w:nsid w:val="1B7C1703"/>
    <w:multiLevelType w:val="multilevel"/>
    <w:tmpl w:val="1B7C1703"/>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2">
    <w:nsid w:val="1C8547A8"/>
    <w:multiLevelType w:val="multilevel"/>
    <w:tmpl w:val="1C8547A8"/>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3">
    <w:nsid w:val="1D696E24"/>
    <w:multiLevelType w:val="multilevel"/>
    <w:tmpl w:val="1D696E24"/>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
    <w:nsid w:val="1D9B6B38"/>
    <w:multiLevelType w:val="multilevel"/>
    <w:tmpl w:val="1D9B6B38"/>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
    <w:nsid w:val="1E0906A6"/>
    <w:multiLevelType w:val="multilevel"/>
    <w:tmpl w:val="1E0906A6"/>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6">
    <w:nsid w:val="1E5D1E32"/>
    <w:multiLevelType w:val="multilevel"/>
    <w:tmpl w:val="1E5D1E32"/>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7">
    <w:nsid w:val="20DF4582"/>
    <w:multiLevelType w:val="multilevel"/>
    <w:tmpl w:val="20DF4582"/>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8">
    <w:nsid w:val="22B8254C"/>
    <w:multiLevelType w:val="multilevel"/>
    <w:tmpl w:val="22B8254C"/>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9">
    <w:nsid w:val="23482AF8"/>
    <w:multiLevelType w:val="multilevel"/>
    <w:tmpl w:val="23482AF8"/>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0">
    <w:nsid w:val="26583DFF"/>
    <w:multiLevelType w:val="multilevel"/>
    <w:tmpl w:val="26583DFF"/>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1">
    <w:nsid w:val="271506E6"/>
    <w:multiLevelType w:val="multilevel"/>
    <w:tmpl w:val="271506E6"/>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2">
    <w:nsid w:val="2BF45F73"/>
    <w:multiLevelType w:val="multilevel"/>
    <w:tmpl w:val="2BF45F73"/>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3">
    <w:nsid w:val="2C5D1EAF"/>
    <w:multiLevelType w:val="multilevel"/>
    <w:tmpl w:val="2C5D1EAF"/>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4">
    <w:nsid w:val="2CFC6CCB"/>
    <w:multiLevelType w:val="multilevel"/>
    <w:tmpl w:val="2CFC6CCB"/>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5">
    <w:nsid w:val="2DE44222"/>
    <w:multiLevelType w:val="multilevel"/>
    <w:tmpl w:val="2DE44222"/>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6">
    <w:nsid w:val="2F186A84"/>
    <w:multiLevelType w:val="multilevel"/>
    <w:tmpl w:val="2F186A84"/>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7">
    <w:nsid w:val="30A56572"/>
    <w:multiLevelType w:val="multilevel"/>
    <w:tmpl w:val="30A56572"/>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8">
    <w:nsid w:val="30AB3B55"/>
    <w:multiLevelType w:val="multilevel"/>
    <w:tmpl w:val="30AB3B55"/>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9">
    <w:nsid w:val="30CB0B8F"/>
    <w:multiLevelType w:val="multilevel"/>
    <w:tmpl w:val="30CB0B8F"/>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0">
    <w:nsid w:val="315C5168"/>
    <w:multiLevelType w:val="multilevel"/>
    <w:tmpl w:val="315C5168"/>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1">
    <w:nsid w:val="339343F4"/>
    <w:multiLevelType w:val="multilevel"/>
    <w:tmpl w:val="339343F4"/>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2">
    <w:nsid w:val="351529E5"/>
    <w:multiLevelType w:val="multilevel"/>
    <w:tmpl w:val="351529E5"/>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3">
    <w:nsid w:val="355129BE"/>
    <w:multiLevelType w:val="multilevel"/>
    <w:tmpl w:val="355129BE"/>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
    <w:nsid w:val="368A089B"/>
    <w:multiLevelType w:val="multilevel"/>
    <w:tmpl w:val="368A089B"/>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5">
    <w:nsid w:val="3770119B"/>
    <w:multiLevelType w:val="multilevel"/>
    <w:tmpl w:val="3770119B"/>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6">
    <w:nsid w:val="37754B6A"/>
    <w:multiLevelType w:val="multilevel"/>
    <w:tmpl w:val="37754B6A"/>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7">
    <w:nsid w:val="377F4F3E"/>
    <w:multiLevelType w:val="multilevel"/>
    <w:tmpl w:val="377F4F3E"/>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8">
    <w:nsid w:val="37A2009A"/>
    <w:multiLevelType w:val="multilevel"/>
    <w:tmpl w:val="37A2009A"/>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9">
    <w:nsid w:val="3A3E1818"/>
    <w:multiLevelType w:val="multilevel"/>
    <w:tmpl w:val="3A3E1818"/>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0">
    <w:nsid w:val="3A96484D"/>
    <w:multiLevelType w:val="multilevel"/>
    <w:tmpl w:val="3A96484D"/>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1">
    <w:nsid w:val="3B6C4E6B"/>
    <w:multiLevelType w:val="multilevel"/>
    <w:tmpl w:val="3B6C4E6B"/>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2">
    <w:nsid w:val="3C9D1E37"/>
    <w:multiLevelType w:val="multilevel"/>
    <w:tmpl w:val="3C9D1E37"/>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3">
    <w:nsid w:val="3E935994"/>
    <w:multiLevelType w:val="multilevel"/>
    <w:tmpl w:val="3E935994"/>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4">
    <w:nsid w:val="3F753AD8"/>
    <w:multiLevelType w:val="multilevel"/>
    <w:tmpl w:val="3F753AD8"/>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5">
    <w:nsid w:val="40901BDC"/>
    <w:multiLevelType w:val="multilevel"/>
    <w:tmpl w:val="40901BDC"/>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6">
    <w:nsid w:val="40CD283E"/>
    <w:multiLevelType w:val="multilevel"/>
    <w:tmpl w:val="40CD283E"/>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7">
    <w:nsid w:val="40CE7277"/>
    <w:multiLevelType w:val="multilevel"/>
    <w:tmpl w:val="40CE7277"/>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8">
    <w:nsid w:val="414C3B52"/>
    <w:multiLevelType w:val="multilevel"/>
    <w:tmpl w:val="414C3B52"/>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9">
    <w:nsid w:val="425F70E5"/>
    <w:multiLevelType w:val="multilevel"/>
    <w:tmpl w:val="425F70E5"/>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0">
    <w:nsid w:val="4397487C"/>
    <w:multiLevelType w:val="multilevel"/>
    <w:tmpl w:val="4397487C"/>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
    <w:nsid w:val="44B17786"/>
    <w:multiLevelType w:val="multilevel"/>
    <w:tmpl w:val="44B17786"/>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
    <w:nsid w:val="45535322"/>
    <w:multiLevelType w:val="multilevel"/>
    <w:tmpl w:val="45535322"/>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3">
    <w:nsid w:val="46DD5CD2"/>
    <w:multiLevelType w:val="multilevel"/>
    <w:tmpl w:val="46DD5CD2"/>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4">
    <w:nsid w:val="47DF71C3"/>
    <w:multiLevelType w:val="multilevel"/>
    <w:tmpl w:val="47DF71C3"/>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5">
    <w:nsid w:val="47EC64C0"/>
    <w:multiLevelType w:val="multilevel"/>
    <w:tmpl w:val="47EC64C0"/>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6">
    <w:nsid w:val="48830DA4"/>
    <w:multiLevelType w:val="multilevel"/>
    <w:tmpl w:val="48830DA4"/>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7">
    <w:nsid w:val="48BD4DEC"/>
    <w:multiLevelType w:val="multilevel"/>
    <w:tmpl w:val="48BD4DEC"/>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8">
    <w:nsid w:val="49057CB4"/>
    <w:multiLevelType w:val="multilevel"/>
    <w:tmpl w:val="49057CB4"/>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9">
    <w:nsid w:val="4A486C31"/>
    <w:multiLevelType w:val="multilevel"/>
    <w:tmpl w:val="4A486C31"/>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0">
    <w:nsid w:val="4AA97140"/>
    <w:multiLevelType w:val="multilevel"/>
    <w:tmpl w:val="4AA97140"/>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1">
    <w:nsid w:val="4B58389F"/>
    <w:multiLevelType w:val="multilevel"/>
    <w:tmpl w:val="4B58389F"/>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2">
    <w:nsid w:val="4B827AF4"/>
    <w:multiLevelType w:val="multilevel"/>
    <w:tmpl w:val="4B827AF4"/>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3">
    <w:nsid w:val="4B844B21"/>
    <w:multiLevelType w:val="multilevel"/>
    <w:tmpl w:val="4B844B21"/>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4">
    <w:nsid w:val="4BEF675C"/>
    <w:multiLevelType w:val="multilevel"/>
    <w:tmpl w:val="4BEF675C"/>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5">
    <w:nsid w:val="4C3C70F6"/>
    <w:multiLevelType w:val="multilevel"/>
    <w:tmpl w:val="4C3C70F6"/>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6">
    <w:nsid w:val="4D4D4D70"/>
    <w:multiLevelType w:val="multilevel"/>
    <w:tmpl w:val="4D4D4D70"/>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7">
    <w:nsid w:val="4D5172C4"/>
    <w:multiLevelType w:val="multilevel"/>
    <w:tmpl w:val="4D5172C4"/>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8">
    <w:nsid w:val="4D741B0D"/>
    <w:multiLevelType w:val="multilevel"/>
    <w:tmpl w:val="4D741B0D"/>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9">
    <w:nsid w:val="4DF45BC2"/>
    <w:multiLevelType w:val="multilevel"/>
    <w:tmpl w:val="4DF45BC2"/>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0">
    <w:nsid w:val="4E9610B2"/>
    <w:multiLevelType w:val="multilevel"/>
    <w:tmpl w:val="4E9610B2"/>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1">
    <w:nsid w:val="4F21748A"/>
    <w:multiLevelType w:val="multilevel"/>
    <w:tmpl w:val="4F21748A"/>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2">
    <w:nsid w:val="4FB2366E"/>
    <w:multiLevelType w:val="multilevel"/>
    <w:tmpl w:val="4FB2366E"/>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3">
    <w:nsid w:val="4FB51DF8"/>
    <w:multiLevelType w:val="multilevel"/>
    <w:tmpl w:val="4FB51DF8"/>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4">
    <w:nsid w:val="50A467D6"/>
    <w:multiLevelType w:val="multilevel"/>
    <w:tmpl w:val="50A467D6"/>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5">
    <w:nsid w:val="5124135F"/>
    <w:multiLevelType w:val="multilevel"/>
    <w:tmpl w:val="5124135F"/>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6">
    <w:nsid w:val="52217AB3"/>
    <w:multiLevelType w:val="multilevel"/>
    <w:tmpl w:val="52217AB3"/>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7">
    <w:nsid w:val="53390B92"/>
    <w:multiLevelType w:val="multilevel"/>
    <w:tmpl w:val="53390B92"/>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8">
    <w:nsid w:val="563A27E4"/>
    <w:multiLevelType w:val="multilevel"/>
    <w:tmpl w:val="563A27E4"/>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9">
    <w:nsid w:val="573D1619"/>
    <w:multiLevelType w:val="multilevel"/>
    <w:tmpl w:val="573D1619"/>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0">
    <w:nsid w:val="575D50A1"/>
    <w:multiLevelType w:val="multilevel"/>
    <w:tmpl w:val="575D50A1"/>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1">
    <w:nsid w:val="581E473D"/>
    <w:multiLevelType w:val="multilevel"/>
    <w:tmpl w:val="581E473D"/>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2">
    <w:nsid w:val="58FC152C"/>
    <w:multiLevelType w:val="multilevel"/>
    <w:tmpl w:val="58FC152C"/>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3">
    <w:nsid w:val="59486BB4"/>
    <w:multiLevelType w:val="multilevel"/>
    <w:tmpl w:val="59486BB4"/>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4">
    <w:nsid w:val="59CD5913"/>
    <w:multiLevelType w:val="multilevel"/>
    <w:tmpl w:val="59CD5913"/>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5">
    <w:nsid w:val="5B3836BA"/>
    <w:multiLevelType w:val="multilevel"/>
    <w:tmpl w:val="5B3836BA"/>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6">
    <w:nsid w:val="5BE53A0E"/>
    <w:multiLevelType w:val="multilevel"/>
    <w:tmpl w:val="5BE53A0E"/>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7">
    <w:nsid w:val="5C4D35BF"/>
    <w:multiLevelType w:val="multilevel"/>
    <w:tmpl w:val="5C4D35BF"/>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8">
    <w:nsid w:val="5D0E36F7"/>
    <w:multiLevelType w:val="multilevel"/>
    <w:tmpl w:val="5D0E36F7"/>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9">
    <w:nsid w:val="5D6B115D"/>
    <w:multiLevelType w:val="multilevel"/>
    <w:tmpl w:val="5D6B115D"/>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0">
    <w:nsid w:val="5E7043D1"/>
    <w:multiLevelType w:val="multilevel"/>
    <w:tmpl w:val="5E7043D1"/>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1">
    <w:nsid w:val="5FC54E54"/>
    <w:multiLevelType w:val="multilevel"/>
    <w:tmpl w:val="5FC54E54"/>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2">
    <w:nsid w:val="611117CC"/>
    <w:multiLevelType w:val="multilevel"/>
    <w:tmpl w:val="611117CC"/>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3">
    <w:nsid w:val="626634E6"/>
    <w:multiLevelType w:val="multilevel"/>
    <w:tmpl w:val="626634E6"/>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4">
    <w:nsid w:val="62E95C42"/>
    <w:multiLevelType w:val="multilevel"/>
    <w:tmpl w:val="62E95C42"/>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5">
    <w:nsid w:val="63B02278"/>
    <w:multiLevelType w:val="multilevel"/>
    <w:tmpl w:val="63B02278"/>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6">
    <w:nsid w:val="650423F7"/>
    <w:multiLevelType w:val="multilevel"/>
    <w:tmpl w:val="650423F7"/>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7">
    <w:nsid w:val="66DA7D11"/>
    <w:multiLevelType w:val="multilevel"/>
    <w:tmpl w:val="66DA7D11"/>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8">
    <w:nsid w:val="674F1095"/>
    <w:multiLevelType w:val="multilevel"/>
    <w:tmpl w:val="674F1095"/>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9">
    <w:nsid w:val="67DF1944"/>
    <w:multiLevelType w:val="multilevel"/>
    <w:tmpl w:val="67DF1944"/>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0">
    <w:nsid w:val="688056DB"/>
    <w:multiLevelType w:val="multilevel"/>
    <w:tmpl w:val="688056DB"/>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1">
    <w:nsid w:val="6A976B9B"/>
    <w:multiLevelType w:val="multilevel"/>
    <w:tmpl w:val="6A976B9B"/>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2">
    <w:nsid w:val="6C2F08B0"/>
    <w:multiLevelType w:val="multilevel"/>
    <w:tmpl w:val="6C2F08B0"/>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3">
    <w:nsid w:val="6CED1DFE"/>
    <w:multiLevelType w:val="multilevel"/>
    <w:tmpl w:val="6CED1DFE"/>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4">
    <w:nsid w:val="71424C1F"/>
    <w:multiLevelType w:val="multilevel"/>
    <w:tmpl w:val="71424C1F"/>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5">
    <w:nsid w:val="71C02283"/>
    <w:multiLevelType w:val="multilevel"/>
    <w:tmpl w:val="71C02283"/>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6">
    <w:nsid w:val="71CC6038"/>
    <w:multiLevelType w:val="multilevel"/>
    <w:tmpl w:val="71CC6038"/>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7">
    <w:nsid w:val="724C1FCF"/>
    <w:multiLevelType w:val="multilevel"/>
    <w:tmpl w:val="724C1FCF"/>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8">
    <w:nsid w:val="72A329D9"/>
    <w:multiLevelType w:val="multilevel"/>
    <w:tmpl w:val="72A329D9"/>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9">
    <w:nsid w:val="7337522B"/>
    <w:multiLevelType w:val="multilevel"/>
    <w:tmpl w:val="7337522B"/>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0">
    <w:nsid w:val="7439755E"/>
    <w:multiLevelType w:val="multilevel"/>
    <w:tmpl w:val="7439755E"/>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1">
    <w:nsid w:val="749A1522"/>
    <w:multiLevelType w:val="multilevel"/>
    <w:tmpl w:val="749A1522"/>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2">
    <w:nsid w:val="76CF3E06"/>
    <w:multiLevelType w:val="multilevel"/>
    <w:tmpl w:val="76CF3E06"/>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3">
    <w:nsid w:val="77890C2A"/>
    <w:multiLevelType w:val="multilevel"/>
    <w:tmpl w:val="77890C2A"/>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4">
    <w:nsid w:val="77E9661D"/>
    <w:multiLevelType w:val="multilevel"/>
    <w:tmpl w:val="77E9661D"/>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5">
    <w:nsid w:val="79F86AB4"/>
    <w:multiLevelType w:val="multilevel"/>
    <w:tmpl w:val="79F86AB4"/>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6">
    <w:nsid w:val="7AD50B62"/>
    <w:multiLevelType w:val="multilevel"/>
    <w:tmpl w:val="7AD50B62"/>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7">
    <w:nsid w:val="7CAE734D"/>
    <w:multiLevelType w:val="multilevel"/>
    <w:tmpl w:val="7CAE734D"/>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8">
    <w:nsid w:val="7CB86728"/>
    <w:multiLevelType w:val="multilevel"/>
    <w:tmpl w:val="7CB86728"/>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9">
    <w:nsid w:val="7D2A7879"/>
    <w:multiLevelType w:val="multilevel"/>
    <w:tmpl w:val="7D2A7879"/>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0">
    <w:nsid w:val="7D2E105C"/>
    <w:multiLevelType w:val="multilevel"/>
    <w:tmpl w:val="7D2E105C"/>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1">
    <w:nsid w:val="7F5F249C"/>
    <w:multiLevelType w:val="multilevel"/>
    <w:tmpl w:val="7F5F249C"/>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2">
    <w:nsid w:val="7F715B77"/>
    <w:multiLevelType w:val="multilevel"/>
    <w:tmpl w:val="7F715B77"/>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08"/>
  </w:num>
  <w:num w:numId="2">
    <w:abstractNumId w:val="5"/>
  </w:num>
  <w:num w:numId="3">
    <w:abstractNumId w:val="71"/>
  </w:num>
  <w:num w:numId="4">
    <w:abstractNumId w:val="112"/>
  </w:num>
  <w:num w:numId="5">
    <w:abstractNumId w:val="137"/>
  </w:num>
  <w:num w:numId="6">
    <w:abstractNumId w:val="106"/>
  </w:num>
  <w:num w:numId="7">
    <w:abstractNumId w:val="26"/>
  </w:num>
  <w:num w:numId="8">
    <w:abstractNumId w:val="132"/>
  </w:num>
  <w:num w:numId="9">
    <w:abstractNumId w:val="50"/>
  </w:num>
  <w:num w:numId="10">
    <w:abstractNumId w:val="90"/>
  </w:num>
  <w:num w:numId="11">
    <w:abstractNumId w:val="77"/>
  </w:num>
  <w:num w:numId="12">
    <w:abstractNumId w:val="136"/>
  </w:num>
  <w:num w:numId="13">
    <w:abstractNumId w:val="93"/>
  </w:num>
  <w:num w:numId="14">
    <w:abstractNumId w:val="61"/>
  </w:num>
  <w:num w:numId="15">
    <w:abstractNumId w:val="84"/>
  </w:num>
  <w:num w:numId="16">
    <w:abstractNumId w:val="28"/>
  </w:num>
  <w:num w:numId="17">
    <w:abstractNumId w:val="94"/>
  </w:num>
  <w:num w:numId="18">
    <w:abstractNumId w:val="67"/>
  </w:num>
  <w:num w:numId="19">
    <w:abstractNumId w:val="34"/>
  </w:num>
  <w:num w:numId="20">
    <w:abstractNumId w:val="7"/>
  </w:num>
  <w:num w:numId="21">
    <w:abstractNumId w:val="126"/>
  </w:num>
  <w:num w:numId="22">
    <w:abstractNumId w:val="40"/>
  </w:num>
  <w:num w:numId="23">
    <w:abstractNumId w:val="89"/>
  </w:num>
  <w:num w:numId="24">
    <w:abstractNumId w:val="29"/>
  </w:num>
  <w:num w:numId="25">
    <w:abstractNumId w:val="51"/>
  </w:num>
  <w:num w:numId="26">
    <w:abstractNumId w:val="96"/>
  </w:num>
  <w:num w:numId="27">
    <w:abstractNumId w:val="48"/>
  </w:num>
  <w:num w:numId="28">
    <w:abstractNumId w:val="64"/>
  </w:num>
  <w:num w:numId="29">
    <w:abstractNumId w:val="24"/>
  </w:num>
  <w:num w:numId="30">
    <w:abstractNumId w:val="95"/>
  </w:num>
  <w:num w:numId="31">
    <w:abstractNumId w:val="113"/>
  </w:num>
  <w:num w:numId="32">
    <w:abstractNumId w:val="127"/>
  </w:num>
  <w:num w:numId="33">
    <w:abstractNumId w:val="37"/>
  </w:num>
  <w:num w:numId="34">
    <w:abstractNumId w:val="76"/>
  </w:num>
  <w:num w:numId="35">
    <w:abstractNumId w:val="75"/>
  </w:num>
  <w:num w:numId="36">
    <w:abstractNumId w:val="16"/>
  </w:num>
  <w:num w:numId="37">
    <w:abstractNumId w:val="63"/>
  </w:num>
  <w:num w:numId="38">
    <w:abstractNumId w:val="114"/>
  </w:num>
  <w:num w:numId="39">
    <w:abstractNumId w:val="131"/>
  </w:num>
  <w:num w:numId="40">
    <w:abstractNumId w:val="49"/>
  </w:num>
  <w:num w:numId="41">
    <w:abstractNumId w:val="25"/>
  </w:num>
  <w:num w:numId="42">
    <w:abstractNumId w:val="105"/>
  </w:num>
  <w:num w:numId="43">
    <w:abstractNumId w:val="6"/>
  </w:num>
  <w:num w:numId="44">
    <w:abstractNumId w:val="81"/>
  </w:num>
  <w:num w:numId="45">
    <w:abstractNumId w:val="52"/>
  </w:num>
  <w:num w:numId="46">
    <w:abstractNumId w:val="42"/>
  </w:num>
  <w:num w:numId="47">
    <w:abstractNumId w:val="123"/>
  </w:num>
  <w:num w:numId="48">
    <w:abstractNumId w:val="20"/>
  </w:num>
  <w:num w:numId="49">
    <w:abstractNumId w:val="0"/>
  </w:num>
  <w:num w:numId="50">
    <w:abstractNumId w:val="128"/>
  </w:num>
  <w:num w:numId="51">
    <w:abstractNumId w:val="15"/>
  </w:num>
  <w:num w:numId="52">
    <w:abstractNumId w:val="44"/>
  </w:num>
  <w:num w:numId="53">
    <w:abstractNumId w:val="22"/>
  </w:num>
  <w:num w:numId="54">
    <w:abstractNumId w:val="129"/>
  </w:num>
  <w:num w:numId="55">
    <w:abstractNumId w:val="117"/>
  </w:num>
  <w:num w:numId="56">
    <w:abstractNumId w:val="36"/>
  </w:num>
  <w:num w:numId="57">
    <w:abstractNumId w:val="39"/>
  </w:num>
  <w:num w:numId="58">
    <w:abstractNumId w:val="98"/>
  </w:num>
  <w:num w:numId="59">
    <w:abstractNumId w:val="19"/>
  </w:num>
  <w:num w:numId="60">
    <w:abstractNumId w:val="65"/>
  </w:num>
  <w:num w:numId="61">
    <w:abstractNumId w:val="130"/>
  </w:num>
  <w:num w:numId="62">
    <w:abstractNumId w:val="17"/>
  </w:num>
  <w:num w:numId="63">
    <w:abstractNumId w:val="97"/>
  </w:num>
  <w:num w:numId="64">
    <w:abstractNumId w:val="78"/>
  </w:num>
  <w:num w:numId="65">
    <w:abstractNumId w:val="53"/>
  </w:num>
  <w:num w:numId="66">
    <w:abstractNumId w:val="142"/>
  </w:num>
  <w:num w:numId="67">
    <w:abstractNumId w:val="66"/>
  </w:num>
  <w:num w:numId="68">
    <w:abstractNumId w:val="1"/>
  </w:num>
  <w:num w:numId="69">
    <w:abstractNumId w:val="11"/>
  </w:num>
  <w:num w:numId="70">
    <w:abstractNumId w:val="92"/>
  </w:num>
  <w:num w:numId="71">
    <w:abstractNumId w:val="111"/>
  </w:num>
  <w:num w:numId="72">
    <w:abstractNumId w:val="79"/>
  </w:num>
  <w:num w:numId="73">
    <w:abstractNumId w:val="133"/>
  </w:num>
  <w:num w:numId="74">
    <w:abstractNumId w:val="115"/>
  </w:num>
  <w:num w:numId="75">
    <w:abstractNumId w:val="41"/>
  </w:num>
  <w:num w:numId="76">
    <w:abstractNumId w:val="73"/>
  </w:num>
  <w:num w:numId="77">
    <w:abstractNumId w:val="102"/>
  </w:num>
  <w:num w:numId="78">
    <w:abstractNumId w:val="72"/>
  </w:num>
  <w:num w:numId="79">
    <w:abstractNumId w:val="30"/>
  </w:num>
  <w:num w:numId="80">
    <w:abstractNumId w:val="60"/>
  </w:num>
  <w:num w:numId="81">
    <w:abstractNumId w:val="109"/>
  </w:num>
  <w:num w:numId="82">
    <w:abstractNumId w:val="135"/>
  </w:num>
  <w:num w:numId="83">
    <w:abstractNumId w:val="21"/>
  </w:num>
  <w:num w:numId="84">
    <w:abstractNumId w:val="80"/>
  </w:num>
  <w:num w:numId="85">
    <w:abstractNumId w:val="116"/>
  </w:num>
  <w:num w:numId="86">
    <w:abstractNumId w:val="138"/>
  </w:num>
  <w:num w:numId="87">
    <w:abstractNumId w:val="59"/>
  </w:num>
  <w:num w:numId="88">
    <w:abstractNumId w:val="99"/>
  </w:num>
  <w:num w:numId="89">
    <w:abstractNumId w:val="58"/>
  </w:num>
  <w:num w:numId="90">
    <w:abstractNumId w:val="47"/>
  </w:num>
  <w:num w:numId="91">
    <w:abstractNumId w:val="141"/>
  </w:num>
  <w:num w:numId="92">
    <w:abstractNumId w:val="14"/>
  </w:num>
  <w:num w:numId="93">
    <w:abstractNumId w:val="124"/>
  </w:num>
  <w:num w:numId="94">
    <w:abstractNumId w:val="82"/>
  </w:num>
  <w:num w:numId="95">
    <w:abstractNumId w:val="45"/>
  </w:num>
  <w:num w:numId="96">
    <w:abstractNumId w:val="13"/>
  </w:num>
  <w:num w:numId="97">
    <w:abstractNumId w:val="23"/>
  </w:num>
  <w:num w:numId="98">
    <w:abstractNumId w:val="86"/>
  </w:num>
  <w:num w:numId="99">
    <w:abstractNumId w:val="38"/>
  </w:num>
  <w:num w:numId="100">
    <w:abstractNumId w:val="54"/>
  </w:num>
  <w:num w:numId="101">
    <w:abstractNumId w:val="74"/>
  </w:num>
  <w:num w:numId="102">
    <w:abstractNumId w:val="120"/>
  </w:num>
  <w:num w:numId="103">
    <w:abstractNumId w:val="87"/>
  </w:num>
  <w:num w:numId="104">
    <w:abstractNumId w:val="134"/>
  </w:num>
  <w:num w:numId="105">
    <w:abstractNumId w:val="12"/>
  </w:num>
  <w:num w:numId="106">
    <w:abstractNumId w:val="35"/>
  </w:num>
  <w:num w:numId="107">
    <w:abstractNumId w:val="70"/>
  </w:num>
  <w:num w:numId="108">
    <w:abstractNumId w:val="46"/>
  </w:num>
  <w:num w:numId="109">
    <w:abstractNumId w:val="121"/>
  </w:num>
  <w:num w:numId="110">
    <w:abstractNumId w:val="2"/>
  </w:num>
  <w:num w:numId="111">
    <w:abstractNumId w:val="3"/>
  </w:num>
  <w:num w:numId="112">
    <w:abstractNumId w:val="69"/>
  </w:num>
  <w:num w:numId="113">
    <w:abstractNumId w:val="68"/>
  </w:num>
  <w:num w:numId="114">
    <w:abstractNumId w:val="88"/>
  </w:num>
  <w:num w:numId="115">
    <w:abstractNumId w:val="62"/>
  </w:num>
  <w:num w:numId="116">
    <w:abstractNumId w:val="8"/>
  </w:num>
  <w:num w:numId="117">
    <w:abstractNumId w:val="10"/>
  </w:num>
  <w:num w:numId="118">
    <w:abstractNumId w:val="118"/>
  </w:num>
  <w:num w:numId="119">
    <w:abstractNumId w:val="31"/>
  </w:num>
  <w:num w:numId="120">
    <w:abstractNumId w:val="55"/>
  </w:num>
  <w:num w:numId="121">
    <w:abstractNumId w:val="107"/>
  </w:num>
  <w:num w:numId="122">
    <w:abstractNumId w:val="32"/>
  </w:num>
  <w:num w:numId="123">
    <w:abstractNumId w:val="140"/>
  </w:num>
  <w:num w:numId="124">
    <w:abstractNumId w:val="43"/>
  </w:num>
  <w:num w:numId="125">
    <w:abstractNumId w:val="83"/>
  </w:num>
  <w:num w:numId="126">
    <w:abstractNumId w:val="27"/>
  </w:num>
  <w:num w:numId="127">
    <w:abstractNumId w:val="103"/>
  </w:num>
  <w:num w:numId="128">
    <w:abstractNumId w:val="57"/>
  </w:num>
  <w:num w:numId="129">
    <w:abstractNumId w:val="85"/>
  </w:num>
  <w:num w:numId="130">
    <w:abstractNumId w:val="9"/>
  </w:num>
  <w:num w:numId="131">
    <w:abstractNumId w:val="4"/>
  </w:num>
  <w:num w:numId="132">
    <w:abstractNumId w:val="122"/>
  </w:num>
  <w:num w:numId="133">
    <w:abstractNumId w:val="110"/>
  </w:num>
  <w:num w:numId="134">
    <w:abstractNumId w:val="125"/>
  </w:num>
  <w:num w:numId="135">
    <w:abstractNumId w:val="91"/>
  </w:num>
  <w:num w:numId="136">
    <w:abstractNumId w:val="56"/>
  </w:num>
  <w:num w:numId="137">
    <w:abstractNumId w:val="33"/>
  </w:num>
  <w:num w:numId="138">
    <w:abstractNumId w:val="100"/>
  </w:num>
  <w:num w:numId="139">
    <w:abstractNumId w:val="101"/>
  </w:num>
  <w:num w:numId="140">
    <w:abstractNumId w:val="104"/>
  </w:num>
  <w:num w:numId="141">
    <w:abstractNumId w:val="119"/>
  </w:num>
  <w:num w:numId="142">
    <w:abstractNumId w:val="139"/>
  </w:num>
  <w:num w:numId="1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953"/>
    <w:rsid w:val="0016741E"/>
    <w:rsid w:val="006227C2"/>
    <w:rsid w:val="006B4414"/>
    <w:rsid w:val="00727931"/>
    <w:rsid w:val="008B05CA"/>
    <w:rsid w:val="009F5953"/>
    <w:rsid w:val="00A914E1"/>
    <w:rsid w:val="00B06290"/>
    <w:rsid w:val="00E176A3"/>
    <w:rsid w:val="47A60BB5"/>
    <w:rsid w:val="517B7E3D"/>
    <w:rsid w:val="75697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18730</Words>
  <Characters>21660</Characters>
  <Lines>185</Lines>
  <Paragraphs>52</Paragraphs>
  <TotalTime>16</TotalTime>
  <ScaleCrop>false</ScaleCrop>
  <LinksUpToDate>false</LinksUpToDate>
  <CharactersWithSpaces>21759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2025-12-05T01:32:00Z</dcterms:created>
  <dc:creator>Apache POI</dc:creator>
  <cp:lastModifiedBy>LFC</cp:lastModifiedBy>
  <dcterms:modified xsi:type="dcterms:W3CDTF">2025-12-05T09:19:46Z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eyJoZGlkIjoiM2FkNzNjZDA5NzAxNmQ1ZjhmOGFjNmE5YTJlNTc4OWMiLCJ1c2VySWQiOiIzNDA2NjkzNzIifQ==</vt:lpwstr>
  </property>
  <property fmtid="{D5CDD505-2E9C-101B-9397-08002B2CF9AE}" pid="3" name="KSOProductBuildVer">
    <vt:lpwstr>2052-12.1.0.23542</vt:lpwstr>
  </property>
  <property fmtid="{D5CDD505-2E9C-101B-9397-08002B2CF9AE}" pid="4" name="ICV">
    <vt:lpwstr>E8D976964998407EAD067CF1FDB70110_12</vt:lpwstr>
  </property>
</Properties>
</file>