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olor w:val="718096"/>
          <w:sz w:val="20"/>
        </w:rPr>
        <w:t>МОСКОВСКИЙ ТЕХНИЧЕСКИЙ УНИВЕРСИТЕТ СВЯЗИ И ИНФОРМАТИКИ</w:t>
        <w:br/>
        <w:t>Центр заочного обучения по программам бакалавриата | Кафедра истории</w:t>
      </w:r>
    </w:p>
    <w:p>
      <w:pPr>
        <w:spacing w:before="160" w:after="80"/>
        <w:jc w:val="center"/>
      </w:pPr>
      <w:r>
        <w:rPr>
          <w:rFonts w:ascii="Georgia" w:hAnsi="Georgia"/>
          <w:b/>
          <w:color w:val="1A365D"/>
          <w:sz w:val="30"/>
        </w:rPr>
        <w:t>СЕМИНАР №2: «КУЛЬТУРА ДВОРЯНСКОГО ДЕТСТВА»</w:t>
        <w:br/>
        <w:t>(XVIII — первая половина XIX в.)</w:t>
      </w:r>
    </w:p>
    <w:p>
      <w:pPr>
        <w:spacing w:after="240"/>
        <w:jc w:val="center"/>
      </w:pPr>
      <w:r>
        <w:rPr>
          <w:rFonts w:ascii="Times New Roman" w:hAnsi="Times New Roman"/>
          <w:i/>
          <w:color w:val="4A5568"/>
          <w:sz w:val="21"/>
        </w:rPr>
        <w:t>Аналитическая разработка групповых докладов и концептуальных вопросов</w:t>
        <w:br/>
        <w:t>по монографии А. Шокаревой «Дворянская семья: культура общения...» (Часть 2, главы 1–5)</w:t>
      </w:r>
    </w:p>
    <w:tbl>
      <w:tblPr>
        <w:tblW w:type="auto" w:w="0"/>
        <w:jc w:val="center"/>
        <w:tblLook w:firstColumn="1" w:firstRow="1" w:lastColumn="0" w:lastRow="0" w:noHBand="0" w:noVBand="1" w:val="04A0"/>
      </w:tblPr>
      <w:tblGrid>
        <w:gridCol w:w="4845"/>
        <w:gridCol w:w="4845"/>
      </w:tblGrid>
      <w:tr>
        <w:tc>
          <w:tcPr>
            <w:tcW w:type="dxa" w:w="3456"/>
            <w:shd w:fill="EDF2F7"/>
            <w:tcMar>
              <w:top w:w="50" w:type="dxa"/>
              <w:bottom w:w="50" w:type="dxa"/>
              <w:left w:w="90" w:type="dxa"/>
              <w:right w:w="90" w:type="dxa"/>
            </w:tcMar>
          </w:tcPr>
          <w:p>
            <w:pPr>
              <w:spacing w:after="20"/>
            </w:pPr>
            <w:r>
              <w:rPr>
                <w:rFonts w:ascii="Calibri" w:hAnsi="Calibri"/>
                <w:b/>
                <w:color w:val="2D3748"/>
                <w:sz w:val="19"/>
              </w:rPr>
              <w:t>Студент:</w:t>
            </w:r>
          </w:p>
        </w:tc>
        <w:tc>
          <w:tcPr>
            <w:tcW w:type="dxa" w:w="6192"/>
            <w:shd w:fill="F7FAFC"/>
            <w:tcMar>
              <w:top w:w="50" w:type="dxa"/>
              <w:bottom w:w="50" w:type="dxa"/>
              <w:left w:w="90" w:type="dxa"/>
              <w:right w:w="90" w:type="dxa"/>
            </w:tcMar>
          </w:tcPr>
          <w:p>
            <w:pPr>
              <w:spacing w:after="20"/>
            </w:pPr>
            <w:r>
              <w:rPr>
                <w:rFonts w:ascii="Calibri" w:hAnsi="Calibri"/>
                <w:color w:val="1A202C"/>
                <w:sz w:val="19"/>
              </w:rPr>
              <w:t>Смирнов Вячеслав Юрьевич</w:t>
            </w:r>
          </w:p>
        </w:tc>
      </w:tr>
      <w:tr>
        <w:tc>
          <w:tcPr>
            <w:tcW w:type="dxa" w:w="3456"/>
            <w:shd w:fill="EDF2F7"/>
            <w:tcMar>
              <w:top w:w="50" w:type="dxa"/>
              <w:bottom w:w="50" w:type="dxa"/>
              <w:left w:w="90" w:type="dxa"/>
              <w:right w:w="90" w:type="dxa"/>
            </w:tcMar>
          </w:tcPr>
          <w:p>
            <w:pPr>
              <w:spacing w:after="20"/>
            </w:pPr>
            <w:r>
              <w:rPr>
                <w:rFonts w:ascii="Calibri" w:hAnsi="Calibri"/>
                <w:b/>
                <w:color w:val="2D3748"/>
                <w:sz w:val="19"/>
              </w:rPr>
              <w:t>Учебная группа / Шифр:</w:t>
            </w:r>
          </w:p>
        </w:tc>
        <w:tc>
          <w:tcPr>
            <w:tcW w:type="dxa" w:w="6192"/>
            <w:shd w:fill="F7FAFC"/>
            <w:tcMar>
              <w:top w:w="50" w:type="dxa"/>
              <w:bottom w:w="50" w:type="dxa"/>
              <w:left w:w="90" w:type="dxa"/>
              <w:right w:w="90" w:type="dxa"/>
            </w:tcMar>
          </w:tcPr>
          <w:p>
            <w:pPr>
              <w:spacing w:after="20"/>
            </w:pPr>
            <w:r>
              <w:rPr>
                <w:rFonts w:ascii="Calibri" w:hAnsi="Calibri"/>
                <w:color w:val="1A202C"/>
                <w:sz w:val="19"/>
              </w:rPr>
              <w:t>БСТ2556 / ЗБСТ25066 (2 курс, 3 семестр)</w:t>
            </w:r>
          </w:p>
        </w:tc>
      </w:tr>
      <w:tr>
        <w:tc>
          <w:tcPr>
            <w:tcW w:type="dxa" w:w="3456"/>
            <w:shd w:fill="EDF2F7"/>
            <w:tcMar>
              <w:top w:w="50" w:type="dxa"/>
              <w:bottom w:w="50" w:type="dxa"/>
              <w:left w:w="90" w:type="dxa"/>
              <w:right w:w="90" w:type="dxa"/>
            </w:tcMar>
          </w:tcPr>
          <w:p>
            <w:pPr>
              <w:spacing w:after="20"/>
            </w:pPr>
            <w:r>
              <w:rPr>
                <w:rFonts w:ascii="Calibri" w:hAnsi="Calibri"/>
                <w:b/>
                <w:color w:val="2D3748"/>
                <w:sz w:val="19"/>
              </w:rPr>
              <w:t>Направление / Профиль:</w:t>
            </w:r>
          </w:p>
        </w:tc>
        <w:tc>
          <w:tcPr>
            <w:tcW w:type="dxa" w:w="6192"/>
            <w:shd w:fill="F7FAFC"/>
            <w:tcMar>
              <w:top w:w="50" w:type="dxa"/>
              <w:bottom w:w="50" w:type="dxa"/>
              <w:left w:w="90" w:type="dxa"/>
              <w:right w:w="90" w:type="dxa"/>
            </w:tcMar>
          </w:tcPr>
          <w:p>
            <w:pPr>
              <w:spacing w:after="20"/>
            </w:pPr>
            <w:r>
              <w:rPr>
                <w:rFonts w:ascii="Calibri" w:hAnsi="Calibri"/>
                <w:color w:val="1A202C"/>
                <w:sz w:val="19"/>
              </w:rPr>
              <w:t>09.03.02 Информационные системы и технологии / Инженерия DevSecOps</w:t>
            </w:r>
          </w:p>
        </w:tc>
      </w:tr>
      <w:tr>
        <w:tc>
          <w:tcPr>
            <w:tcW w:type="dxa" w:w="3456"/>
            <w:shd w:fill="EDF2F7"/>
            <w:tcMar>
              <w:top w:w="50" w:type="dxa"/>
              <w:bottom w:w="50" w:type="dxa"/>
              <w:left w:w="90" w:type="dxa"/>
              <w:right w:w="90" w:type="dxa"/>
            </w:tcMar>
          </w:tcPr>
          <w:p>
            <w:pPr>
              <w:spacing w:after="20"/>
            </w:pPr>
            <w:r>
              <w:rPr>
                <w:rFonts w:ascii="Calibri" w:hAnsi="Calibri"/>
                <w:b/>
                <w:color w:val="2D3748"/>
                <w:sz w:val="19"/>
              </w:rPr>
              <w:t>Дисциплина / Форма контроля:</w:t>
            </w:r>
          </w:p>
        </w:tc>
        <w:tc>
          <w:tcPr>
            <w:tcW w:type="dxa" w:w="6192"/>
            <w:shd w:fill="F7FAFC"/>
            <w:tcMar>
              <w:top w:w="50" w:type="dxa"/>
              <w:bottom w:w="50" w:type="dxa"/>
              <w:left w:w="90" w:type="dxa"/>
              <w:right w:w="90" w:type="dxa"/>
            </w:tcMar>
          </w:tcPr>
          <w:p>
            <w:pPr>
              <w:spacing w:after="20"/>
            </w:pPr>
            <w:r>
              <w:rPr>
                <w:rFonts w:ascii="Calibri" w:hAnsi="Calibri"/>
                <w:color w:val="1A202C"/>
                <w:sz w:val="19"/>
              </w:rPr>
              <w:t>История России / Дифференцированный зачёт (2 ЗЕТ, 72 ч.)</w:t>
            </w:r>
          </w:p>
        </w:tc>
      </w:tr>
    </w:tbl>
    <w:p>
      <w:pPr>
        <w:spacing w:after="120"/>
      </w:pPr>
    </w:p>
    <w:p>
      <w:pPr>
        <w:pStyle w:val="Heading1"/>
        <w:keepNext/>
        <w:spacing w:before="320" w:after="160"/>
      </w:pPr>
      <w:r>
        <w:rPr>
          <w:rFonts w:ascii="Georgia" w:hAnsi="Georgia"/>
          <w:b/>
          <w:color w:val="1A365D"/>
          <w:sz w:val="30"/>
        </w:rPr>
        <w:t>ВВЕДЕНИЕ: ИСТОРИЯ ДЕТСТВА КАК НАПРАВЛЕНИЕ ИСТОРИЧЕСКОЙ НАУКИ</w:t>
      </w:r>
    </w:p>
    <w:p>
      <w:pPr>
        <w:spacing w:after="100" w:line="276" w:lineRule="auto"/>
        <w:jc w:val="both"/>
      </w:pPr>
      <w:r>
        <w:rPr>
          <w:rFonts w:ascii="Times New Roman" w:hAnsi="Times New Roman"/>
          <w:b/>
          <w:color w:val="1A202C"/>
          <w:sz w:val="22"/>
        </w:rPr>
        <w:t xml:space="preserve">Историографический контекст: </w:t>
      </w:r>
      <w:r>
        <w:rPr>
          <w:rFonts w:ascii="Times New Roman" w:hAnsi="Times New Roman"/>
          <w:i w:val="0"/>
          <w:color w:val="2D3748"/>
          <w:sz w:val="22"/>
        </w:rPr>
        <w:t>Изучение феномена детства представляет собой одно из наиболее динамично развивающихся направлений современной исторической науки, лежащее на стыке истории повседневности, микроистории, исторической демографии и истории ментальностей (школа «Анналов»). Основоположником направления по праву считается французский историк Филипп Арьес, опубликовавший в 1960 году фундаментальный труд «Ребенок и семейная жизнь при Старом порядке» («L'Enfant et la vie familiale sous l'Ancien Régime»). Арьес доказал, что детство не является неизменной биологической данностью: это культурно-исторический конструкт, меняющийся вместе с эволюцией общества. В Средние века понятия «детства» в современном смысле практически не существовало — ребенок рассматривался как «маленький взрослый», включавшийся в трудовой и общественный быт по достижении минимальной физической самостоятельности. Лишь в Новое время возникает «чувство детства» — осознание уникальной ценности детского возраста, требующего особой заботы, педагогики и изолированного пространства.</w:t>
      </w:r>
    </w:p>
    <w:p>
      <w:pPr>
        <w:spacing w:after="100" w:line="276" w:lineRule="auto"/>
        <w:jc w:val="both"/>
      </w:pPr>
      <w:r>
        <w:rPr>
          <w:rFonts w:ascii="Times New Roman" w:hAnsi="Times New Roman"/>
          <w:b/>
          <w:color w:val="1A202C"/>
          <w:sz w:val="22"/>
        </w:rPr>
        <w:t xml:space="preserve">Отечественная историография и специфика исследования А. Шокаревой: </w:t>
      </w:r>
      <w:r>
        <w:rPr>
          <w:rFonts w:ascii="Times New Roman" w:hAnsi="Times New Roman"/>
          <w:i w:val="0"/>
          <w:color w:val="2D3748"/>
          <w:sz w:val="22"/>
        </w:rPr>
        <w:t>В отечественной науке фундаментальный вклад в изучение мира ребенка и сословной культуры внесли академик Ю.М. Лотман («Беседы о русской культуре: Быт и традиции русского дворянства»), социолог и антрополог И.С. Кон («Ребенок и общество»), а также современные исследователи В.В. Пономарева, Л.Б. Хорошилова и автор анализируемой монографии — А. Шокарева. В книге «Дворянская семья: культура общения...» (Часть 2, главы 1–5) автор на богатейшем массиве источников личного происхождения (дневники, переписка, автобиографии, мемуары Пушкиных, Вяземских, Дельвигов, Толстых, Достоевских, Герцена, Аксакова, декабристов Трубецких и Давыдовых) детально реконструирует закрытый мир дворянского детства, систему воспитания и эволюцию межличностных отношений.</w:t>
      </w:r>
    </w:p>
    <w:p>
      <w:pPr>
        <w:pStyle w:val="Heading1"/>
        <w:keepNext/>
        <w:spacing w:before="320" w:after="160"/>
      </w:pPr>
      <w:r>
        <w:rPr>
          <w:rFonts w:ascii="Georgia" w:hAnsi="Georgia"/>
          <w:b/>
          <w:color w:val="1A365D"/>
          <w:sz w:val="30"/>
        </w:rPr>
        <w:t>ГРУППА 1. «Появление на свет и таинство крещения» (Глава 1, стр. 147–154)</w:t>
      </w:r>
    </w:p>
    <w:p>
      <w:pPr>
        <w:pStyle w:val="Heading2"/>
        <w:keepNext/>
        <w:spacing w:before="260" w:after="120"/>
      </w:pPr>
      <w:r>
        <w:rPr>
          <w:rFonts w:ascii="Georgia" w:hAnsi="Georgia"/>
          <w:b/>
          <w:color w:val="2B6CB0"/>
          <w:sz w:val="25"/>
        </w:rPr>
        <w:t>1.1. Восприятие рождения ребенка в дворянской семье: эмоциональные реакции родителей</w:t>
      </w:r>
    </w:p>
    <w:p>
      <w:pPr>
        <w:spacing w:after="100" w:line="276" w:lineRule="auto"/>
        <w:jc w:val="both"/>
      </w:pPr>
      <w:r>
        <w:rPr>
          <w:rFonts w:ascii="Times New Roman" w:hAnsi="Times New Roman"/>
          <w:b/>
          <w:color w:val="1A202C"/>
          <w:sz w:val="22"/>
        </w:rPr>
        <w:t xml:space="preserve">Смысловой контекст и смена парадигм восприятия детства: </w:t>
      </w:r>
      <w:r>
        <w:rPr>
          <w:rFonts w:ascii="Times New Roman" w:hAnsi="Times New Roman"/>
          <w:i w:val="0"/>
          <w:color w:val="2D3748"/>
          <w:sz w:val="22"/>
        </w:rPr>
        <w:t>В традиционном патриархальном обществе XVIII века появление ребенка воспринималось преимущественно в категориях продолжения рода, сохранения фамильного статуса и исполнения христианского долга. Однако под влиянием идей Просвещения (в частности, педагогических трудов Джона Локка и Жан-Жака Руссо) и развития сентиментализма на рубеже XVIII–XIX веков дворянское сознание переживает глубокую трансформацию. На страницах дворянских дневников, частных писем и мемуаров рождение ребенка все чаще описывается как величайшее эмоциональное событие, открывающее новый этап духовной жизни родителей.</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Свидетельства мемуаристов: радость отцовства и сакрализация младенца</w:t>
              <w:br/>
            </w:r>
            <w:r>
              <w:rPr>
                <w:rFonts w:ascii="Calibri" w:hAnsi="Calibri"/>
                <w:i/>
                <w:color w:val="2D3748"/>
                <w:sz w:val="19"/>
              </w:rPr>
              <w:t>• Н.М. Карамзин (март 1802 г., рождение дочери Софьи): «Я отец маленькой Софьи. Лизанька родила благополучно, но еще очень слаба. Выпей целую рюмку вина за здоровье матери и дочери. Я уже люблю Софью всею душою и радуюсь ею... Теперь я каждую минуту занят и матерью и дочерью».</w:t>
              <w:br/>
              <w:t>• Д.Н. Свербеев (историк и дипломат): Отец Свербеева, став родителем в преклонном возрасте, испытал столь глубокое потрясение и благодарность, что глубокой ночью пешком отправился в церковь Симеона Столпника на Поварской, разбудил священника и упросил немедленно отслужить молебен святителю Димитрию Ростовскому.</w:t>
              <w:br/>
              <w:t>• Сенатор А.В. Кони: «Не могу описать затем чувство радости, охватившее меня, когда я услышал первый крик новорожденного ребенка. У меня родился сын Петр».</w:t>
              <w:br/>
              <w:t>• В.Ф. Одоевский (рассказ «Новый год»): Описание благоговейной тишины дворянского дома — родители и гости говорят шепотом, боясь потревожить чуткий сон младенца, а отец и мать замирают у колыбели, «светясь от счастья».</w:t>
              <w:br/>
              <w:t>• В.К. Кюхельбекер: «Миша мой истинно благословенное дитя: с его рождения вокруг меня будто просветлело».</w:t>
            </w:r>
          </w:p>
        </w:tc>
      </w:tr>
    </w:tbl>
    <w:p>
      <w:pPr>
        <w:spacing w:before="0" w:after="80"/>
      </w:pPr>
    </w:p>
    <w:p>
      <w:pPr>
        <w:spacing w:after="100" w:line="276" w:lineRule="auto"/>
        <w:jc w:val="both"/>
      </w:pPr>
      <w:r>
        <w:rPr>
          <w:rFonts w:ascii="Times New Roman" w:hAnsi="Times New Roman"/>
          <w:b/>
          <w:color w:val="1A202C"/>
          <w:sz w:val="22"/>
        </w:rPr>
        <w:t xml:space="preserve">Контраст эмоциональных паттернов: отстраненность и сословная дистанция: </w:t>
      </w:r>
      <w:r>
        <w:rPr>
          <w:rFonts w:ascii="Times New Roman" w:hAnsi="Times New Roman"/>
          <w:i w:val="0"/>
          <w:color w:val="2D3748"/>
          <w:sz w:val="22"/>
        </w:rPr>
        <w:t>Наряду с сентиментальным культом родительской любви в мемуаристике зафиксирован и противоположный тип поведения — отстраненность отцов от мира детской. Мужская часть дворянского сословия была ориентирована на государственную, военную или придворную службу, поэтому младенческий возраст традиционно рассматривался как чисто женская сфера забот. Ярким литературным выражением этого архетипа служит реакция князя Андрея Болконского в романе Л.Н. Толстого «Война и мир» («в углу комнаты хрюкнуло и пискнуло что-то маленькое, красное...»). Сходный историко-психологический типаж реконструирует Ю.Н. Тынянов в романе «Пушкин»: Сергей Львович Пушкин эмоционально осознал себя отцом лишь при рождении третьего сына (Льва), в то время как посещение детской комнаты в раннем возрасте сыновей считалось им «смешным, неудобным и ненужным».</w:t>
      </w:r>
    </w:p>
    <w:p>
      <w:pPr>
        <w:spacing w:after="100" w:line="276" w:lineRule="auto"/>
        <w:jc w:val="both"/>
      </w:pPr>
      <w:r>
        <w:rPr>
          <w:rFonts w:ascii="Times New Roman" w:hAnsi="Times New Roman"/>
          <w:b/>
          <w:color w:val="1A202C"/>
          <w:sz w:val="22"/>
        </w:rPr>
        <w:t xml:space="preserve">Специфика царской семьи: </w:t>
      </w:r>
      <w:r>
        <w:rPr>
          <w:rFonts w:ascii="Times New Roman" w:hAnsi="Times New Roman"/>
          <w:i w:val="0"/>
          <w:color w:val="2D3748"/>
          <w:sz w:val="22"/>
        </w:rPr>
        <w:t>В семье монарха рождение ребенка носило государственный, династический характер. Роды проходили под строгим наблюдением лейб-медиков и в присутствии царственных особ. Так, великая княгиня Александра Федоровна (супруга будущего Николая I) при рождении первенца Александра (будущего императора Александра II) испытала двойственное чувство: безграничную радость материнства и одновременно острую грусть и бремя ответственности от мысли, что этому новорожденному младенцу суждено взойти на российский престол.</w:t>
      </w:r>
    </w:p>
    <w:p>
      <w:pPr>
        <w:pStyle w:val="Heading2"/>
        <w:keepNext/>
        <w:spacing w:before="260" w:after="120"/>
      </w:pPr>
      <w:r>
        <w:rPr>
          <w:rFonts w:ascii="Georgia" w:hAnsi="Georgia"/>
          <w:b/>
          <w:color w:val="2B6CB0"/>
          <w:sz w:val="25"/>
        </w:rPr>
        <w:t>1.2. Ритуал крестин: выбор восприемников, церемония, этикет подарков и очистительные визиты</w:t>
      </w:r>
    </w:p>
    <w:p>
      <w:pPr>
        <w:spacing w:after="100" w:line="276" w:lineRule="auto"/>
        <w:jc w:val="both"/>
      </w:pPr>
      <w:r>
        <w:rPr>
          <w:rFonts w:ascii="Times New Roman" w:hAnsi="Times New Roman"/>
          <w:b/>
          <w:color w:val="1A202C"/>
          <w:sz w:val="22"/>
        </w:rPr>
        <w:t xml:space="preserve">Сроки и метрическая фиксация: </w:t>
      </w:r>
      <w:r>
        <w:rPr>
          <w:rFonts w:ascii="Times New Roman" w:hAnsi="Times New Roman"/>
          <w:i w:val="0"/>
          <w:color w:val="2D3748"/>
          <w:sz w:val="22"/>
        </w:rPr>
        <w:t>Обычно крещение совершалось на третий или восьмой день после рождения (иногда откладывалось до сорокового дня по соображениям здоровья матери или младенца). Обряд имел колоссальное юридическое и сословное значение: факт крещения заносился в метрическую книгу приходского храма (или собора), где фиксировались имена законных родителей, статус, чины и имена крестных восприемников (кума и кумы). Запись в метрической книге служила единственным неоспоримым государственным доказательством дворянского происхождения ребенка.</w:t>
      </w:r>
    </w:p>
    <w:p>
      <w:pPr>
        <w:spacing w:after="100" w:line="276" w:lineRule="auto"/>
        <w:jc w:val="both"/>
      </w:pPr>
      <w:r>
        <w:rPr>
          <w:rFonts w:ascii="Times New Roman" w:hAnsi="Times New Roman"/>
          <w:b/>
          <w:color w:val="1A202C"/>
          <w:sz w:val="22"/>
        </w:rPr>
        <w:t xml:space="preserve">Выбор восприемников и этикет подготовки: </w:t>
      </w:r>
      <w:r>
        <w:rPr>
          <w:rFonts w:ascii="Times New Roman" w:hAnsi="Times New Roman"/>
          <w:i w:val="0"/>
          <w:color w:val="2D3748"/>
          <w:sz w:val="22"/>
        </w:rPr>
        <w:t>Согласно светским кодексам (в частности, «Руководству к познанию правил общежития»), приглашение восприемников делалось заблаговременно, чтобы они успели приготовить подобающие дары и распределить церемониальные траты. Сословные роли восприемников были строго распределены:</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Обязанности и дары участников таинства крещения</w:t>
              <w:br/>
            </w:r>
            <w:r>
              <w:rPr>
                <w:rFonts w:ascii="Calibri" w:hAnsi="Calibri"/>
                <w:i/>
                <w:color w:val="2D3748"/>
                <w:sz w:val="19"/>
              </w:rPr>
              <w:t>1. Крестный отец (кум): Покупал для ребенка нательный золотой или серебряный крест на шелковой ленте; брал на себя все церковные расходы — плату священнику за проведение таинства, оплату восковых свечей, елея, освящения купели, а также щедрые чаевые дьякону, церковным служителям и швейцару.</w:t>
              <w:br/>
              <w:t>2. Крестная мать (кума): Привозила в дар роженице и младенцу «ризки» — дорогие отрезы ткани (кисею, ситец, гарус или шелк), собственноручно сшитую крестильную белую рубашечку и кружевную шапочку, а также нарядный шелковый или батистовый платок в подарок священнику.</w:t>
              <w:br/>
              <w:t>3. Светские дары и «на зубок»: Крестный преподносил подарок матери по ее вкусу, куме — дюжину белых лайковых перчаток (и букет померанцевых цветов, если кума была незамужней девицей), засахаренные фрукты для гостей (не менее 24 изящных коробочек). Все гости и крестные одаривали мать золотыми монетами — «на зубок» (символ благополучия при прорезывании зубов).</w:t>
            </w:r>
          </w:p>
        </w:tc>
      </w:tr>
    </w:tbl>
    <w:p>
      <w:pPr>
        <w:spacing w:before="0" w:after="80"/>
      </w:pPr>
    </w:p>
    <w:p>
      <w:pPr>
        <w:spacing w:after="100" w:line="276" w:lineRule="auto"/>
        <w:jc w:val="both"/>
      </w:pPr>
      <w:r>
        <w:rPr>
          <w:rFonts w:ascii="Times New Roman" w:hAnsi="Times New Roman"/>
          <w:b/>
          <w:color w:val="1A202C"/>
          <w:sz w:val="22"/>
        </w:rPr>
        <w:t xml:space="preserve">Заочные восприемники и церемония с повивальной бабкой: </w:t>
      </w:r>
      <w:r>
        <w:rPr>
          <w:rFonts w:ascii="Times New Roman" w:hAnsi="Times New Roman"/>
          <w:i w:val="0"/>
          <w:color w:val="2D3748"/>
          <w:sz w:val="22"/>
        </w:rPr>
        <w:t>Дворянский статус позволял приглашать в качестве крестных высокопоставленных сановников или родственников из других городов заочно. В храме у купели их официально представляли доверенные лица (так, у Петра Аркадьевича Кочубея заочными крестными были дед князь Н.Г. Вяземский и графиня М.Г. Разумовская, которых у купели представляли княгиня А.Н. Голицына и доверенное лицо). По окончании церковного чина совершался традиционный обряд с повивальной бабкой: она подносила чашу с вином священнику, куму и куме, которые поздравляли родителей и клали на блюдо золотые и серебряные монеты в пользу бабки. Завершался день торжественным семейным обедом с шампанским.</w:t>
      </w:r>
    </w:p>
    <w:p>
      <w:pPr>
        <w:spacing w:after="100" w:line="276" w:lineRule="auto"/>
        <w:jc w:val="both"/>
      </w:pPr>
      <w:r>
        <w:rPr>
          <w:rFonts w:ascii="Times New Roman" w:hAnsi="Times New Roman"/>
          <w:b/>
          <w:color w:val="1A202C"/>
          <w:sz w:val="22"/>
        </w:rPr>
        <w:t xml:space="preserve">Последующие очистительные визиты: </w:t>
      </w:r>
      <w:r>
        <w:rPr>
          <w:rFonts w:ascii="Times New Roman" w:hAnsi="Times New Roman"/>
          <w:i w:val="0"/>
          <w:color w:val="2D3748"/>
          <w:sz w:val="22"/>
        </w:rPr>
        <w:t>Через 6 недель (40 дней) после родов мать ребенка принимала в храме очистительную молитву («молитву сорокового дня»), после чего совершала торжественный официальный визит к куме. В ходе этого визита крестная мать совершала символический обряд — «подпоясывала новорожденного» пояском и вручала ему памятный подарок. Отец ребенка также наносил ответный благодарственный визит крестным.</w:t>
      </w:r>
    </w:p>
    <w:p>
      <w:pPr>
        <w:pStyle w:val="Heading2"/>
        <w:keepNext/>
        <w:spacing w:before="260" w:after="120"/>
      </w:pPr>
      <w:r>
        <w:rPr>
          <w:rFonts w:ascii="Georgia" w:hAnsi="Georgia"/>
          <w:b/>
          <w:color w:val="2B6CB0"/>
          <w:sz w:val="25"/>
        </w:rPr>
        <w:t>1.3. Социально-политическое значение участия императора и императрицы в качестве восприемников</w:t>
      </w:r>
    </w:p>
    <w:p>
      <w:pPr>
        <w:spacing w:after="100" w:line="276" w:lineRule="auto"/>
        <w:jc w:val="both"/>
      </w:pPr>
      <w:r>
        <w:rPr>
          <w:rFonts w:ascii="Times New Roman" w:hAnsi="Times New Roman"/>
          <w:b/>
          <w:color w:val="1A202C"/>
          <w:sz w:val="22"/>
        </w:rPr>
        <w:t xml:space="preserve">Крещение как инструмент монаршей милости и сословной консолидации: </w:t>
      </w:r>
      <w:r>
        <w:rPr>
          <w:rFonts w:ascii="Times New Roman" w:hAnsi="Times New Roman"/>
          <w:i w:val="0"/>
          <w:color w:val="2D3748"/>
          <w:sz w:val="22"/>
        </w:rPr>
        <w:t>Участие государя или государыни в крестинах детей дворян было высшим актом монаршего благоволения. Оно мгновенно поднимало социальный престиж всей фамилии, открывало доступ к придворной протекции и превращало крестника в личного подопечного короны. Если государь лично присутствовал при таинстве, обряд нередко совершался прямо в дворцовой церкви; при этом крестик покупал отец ребенка, а не царь.</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Исторические примеры царского восприемничества</w:t>
              <w:br/>
            </w:r>
            <w:r>
              <w:rPr>
                <w:rFonts w:ascii="Calibri" w:hAnsi="Calibri"/>
                <w:i/>
                <w:color w:val="2D3748"/>
                <w:sz w:val="19"/>
              </w:rPr>
              <w:t>• Семья баронов Розенов: Император Александр I и его супруга были посажеными родителями на свадьбе барона Г.В. Розена и фрейлины Е.Д. Зубовой, а затем Александр I крестил их первенца и дочь Лидию (причем лично на квартире барона). После смерти Александра I семья пользовалась неизменным покровительством Николая I: государь присылал матери цветы и фрукты, играл с детьми и брал их во дворец в компанию великим княжнам.</w:t>
              <w:br/>
              <w:t>• Семья композитора А.Ф. Львова: Николай I заочно стал крестным отцом Федора, сына Алексея Федоровича Львова (создателя гимна «Боже, Царя храни!»). Позже государь лично посетил дом Львова, нянчил и качал младенца на руках, а когда кормилица от волнения уронила пеленку, император сам поднял ее с пола и подал женщине. После этого случая отношение придворных к Львову кардинально переменилось на глубочайшее почтение.</w:t>
            </w:r>
          </w:p>
        </w:tc>
      </w:tr>
    </w:tbl>
    <w:p>
      <w:pPr>
        <w:spacing w:before="0" w:after="80"/>
      </w:pPr>
    </w:p>
    <w:p>
      <w:pPr>
        <w:pStyle w:val="Heading1"/>
        <w:keepNext/>
        <w:spacing w:before="320" w:after="160"/>
      </w:pPr>
      <w:r>
        <w:rPr>
          <w:rFonts w:ascii="Georgia" w:hAnsi="Georgia"/>
          <w:b/>
          <w:color w:val="1A365D"/>
          <w:sz w:val="30"/>
        </w:rPr>
        <w:t>ГРУППА 2. «Система воспитания: от няни до гувернера» (Глава 5, стр. 193–199)</w:t>
      </w:r>
    </w:p>
    <w:p>
      <w:pPr>
        <w:pStyle w:val="Heading2"/>
        <w:keepNext/>
        <w:spacing w:before="260" w:after="120"/>
      </w:pPr>
      <w:r>
        <w:rPr>
          <w:rFonts w:ascii="Georgia" w:hAnsi="Georgia"/>
          <w:b/>
          <w:color w:val="2B6CB0"/>
          <w:sz w:val="25"/>
        </w:rPr>
        <w:t>2.1. Этапы взросления дворянского ребенка и соответствующие фигуры воспитателей</w:t>
      </w:r>
    </w:p>
    <w:p>
      <w:pPr>
        <w:spacing w:after="100" w:line="276" w:lineRule="auto"/>
        <w:jc w:val="both"/>
      </w:pPr>
      <w:r>
        <w:rPr>
          <w:rFonts w:ascii="Times New Roman" w:hAnsi="Times New Roman"/>
          <w:b/>
          <w:color w:val="1A202C"/>
          <w:sz w:val="22"/>
        </w:rPr>
        <w:t xml:space="preserve">Корреляция сословной системы с возрастной психологией: </w:t>
      </w:r>
      <w:r>
        <w:rPr>
          <w:rFonts w:ascii="Times New Roman" w:hAnsi="Times New Roman"/>
          <w:i w:val="0"/>
          <w:color w:val="2D3748"/>
          <w:sz w:val="22"/>
        </w:rPr>
        <w:t>Дворянское воспитание представляло собой четко регламентированную ступенчатую систему, поразительно точно предвосхитившую классическую периодизацию возрастного развития (позднее теоретически оформленную Л.С. Выготским: кризис новорожденности, раннее детство до 3 лет, дошкольный возраст 3–7 лет, школьный возраст 7–13 лет, пубертатный/юношеский возраст 13–17 лет). Каждому возрастному этапу соответствовал свой круг воспитателей, наделенных строго дифференцированными педагогическими, физиологическими и статусными функциями.</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Иерархия воспитателей в дворянском доме</w:t>
              <w:br/>
            </w:r>
            <w:r>
              <w:rPr>
                <w:rFonts w:ascii="Calibri" w:hAnsi="Calibri"/>
                <w:i/>
                <w:color w:val="2D3748"/>
                <w:sz w:val="19"/>
              </w:rPr>
              <w:t>1. Кормилица (от рождения до 1 года / до прорезывания 12 зубов): Физическое выживание и вскармливание младенца. Кормилицами становились крепостные крестьянки, проходившие строжайший отбор. Согласно журналу «Патриот» (1804 г.) и придворным предписаниям, кормилица должна была быть в возрасте 20–35 лет, безупречного здоровья, согласной семейной жизни, с письменным свидетельством духовника о нравственной чистоте, и предпочтительно не светлорусой (считалось, что у них «молоко кисловато»).</w:t>
              <w:br/>
              <w:t>2. Крепостная няня (от младенчества до 3–5 лет и старше): Повседневный уход, физическая безопасность, эмоциональный комфорт. Погружение ребенка в мир русского фольклора (сказки, колыбельные, предания) и православной веры (молитвы, просфорки, жития святых).</w:t>
              <w:br/>
              <w:t>3. Дядька (с 5–7 лет для мальчиков): Крепостной мужчина-наставник. Приучение к мужскому быту, физической дисциплине, обучение начальной русской и церковнославянской грамоте, счету и церковному пению (пример Д.Н. Свербеева и дядьки Афанасия Пивоварова).</w:t>
              <w:br/>
              <w:t>4. «Мадам» / Бонна (с 3–4 до 7–9 лет): Иностранка (француженка, немка, швейцарка). Постановка правильного французского или немецкого произношения, начальный этикет поведения за столом и в гостиной (пример А.И. Герцена: русская няня Вера Артамоновна и француженка m-me Прово).</w:t>
              <w:br/>
              <w:t>5. Гувернеры и домашние наставники (с 7–8 лет до 14–16 лет): Профессиональное домашнее обучение по широкому спектру дисциплин (языки, литература, математика, история, география, фехтование, танцы) вплоть до поступления в кадетский корпус, лицей, университет или до выхода в свет.</w:t>
            </w:r>
          </w:p>
        </w:tc>
      </w:tr>
    </w:tbl>
    <w:p>
      <w:pPr>
        <w:spacing w:before="0" w:after="80"/>
      </w:pPr>
    </w:p>
    <w:p>
      <w:pPr>
        <w:pStyle w:val="Heading2"/>
        <w:keepNext/>
        <w:spacing w:before="260" w:after="120"/>
      </w:pPr>
      <w:r>
        <w:rPr>
          <w:rFonts w:ascii="Georgia" w:hAnsi="Georgia"/>
          <w:b/>
          <w:color w:val="2B6CB0"/>
          <w:sz w:val="25"/>
        </w:rPr>
        <w:t>2.2. Роль крепостных нянь в формировании личности дворянского ребенка</w:t>
      </w:r>
    </w:p>
    <w:p>
      <w:pPr>
        <w:spacing w:after="100" w:line="276" w:lineRule="auto"/>
        <w:jc w:val="both"/>
      </w:pPr>
      <w:r>
        <w:rPr>
          <w:rFonts w:ascii="Times New Roman" w:hAnsi="Times New Roman"/>
          <w:b/>
          <w:color w:val="1A202C"/>
          <w:sz w:val="22"/>
        </w:rPr>
        <w:t xml:space="preserve">Положительное эмоциональное и культурное воздействие: </w:t>
      </w:r>
      <w:r>
        <w:rPr>
          <w:rFonts w:ascii="Times New Roman" w:hAnsi="Times New Roman"/>
          <w:i w:val="0"/>
          <w:color w:val="2D3748"/>
          <w:sz w:val="22"/>
        </w:rPr>
        <w:t>Крепостная няня была ключевой фигурой эмоционального мира дворянского дитяти. В отличие от родителей, скованных светскими приличиями и сословной дистанцией, няня дарила ребенку безусловную материнскую нежность, ласку и психологическую безопасность. Писатель С.П. Победоносцев описывает классический тип няни, которая каждое утро приносила воспитаннице просфорку с ранней обедни («Бог милости прислал!»), пела старинные колыбельные и засыпала с ребенком под предания об Иване Грозном, Марфе-Посаднице, Стеньке Разине и Шемякином суде. Именно няне русское дворянство было обязано живым чувством православной веры и органическим знанием родного языка.</w:t>
      </w:r>
    </w:p>
    <w:p>
      <w:pPr>
        <w:spacing w:after="100" w:line="276" w:lineRule="auto"/>
        <w:jc w:val="both"/>
      </w:pPr>
      <w:r>
        <w:rPr>
          <w:rFonts w:ascii="Times New Roman" w:hAnsi="Times New Roman"/>
          <w:b/>
          <w:color w:val="1A202C"/>
          <w:sz w:val="22"/>
        </w:rPr>
        <w:t xml:space="preserve">Преданность длиною в жизнь: </w:t>
      </w:r>
      <w:r>
        <w:rPr>
          <w:rFonts w:ascii="Times New Roman" w:hAnsi="Times New Roman"/>
          <w:i w:val="0"/>
          <w:color w:val="2D3748"/>
          <w:sz w:val="22"/>
        </w:rPr>
        <w:t>Связь с няней часто сохранялась до глубокой зрелости воспитанников. Знаменитый скульптор и медальер граф Ф.П. Толстой вспоминал свою няню Матрену Ефимовну, которая буквально «царствовала» в его доме во взрослом возрасте, распоряжалась его жалованьем и имела решающий голос в семейных делах. У графини А.С. Шереметевой няня Груша (Аграфена Соболева) после замужества графини заведовала всем ее гардеробом. Мемуарист А.Г. Витковский описывал, как при отъезде в училище няня со слезами принесла ему на прощание выборгский трехкопеечный крендель и пять яблок — этот бедный дар остался в его памяти как высшее проявление чистой любви.</w:t>
      </w:r>
    </w:p>
    <w:p>
      <w:pPr>
        <w:spacing w:after="100" w:line="276" w:lineRule="auto"/>
        <w:jc w:val="both"/>
      </w:pPr>
      <w:r>
        <w:rPr>
          <w:rFonts w:ascii="Times New Roman" w:hAnsi="Times New Roman"/>
          <w:b/>
          <w:color w:val="1A202C"/>
          <w:sz w:val="22"/>
        </w:rPr>
        <w:t xml:space="preserve">Теневая сторона: социальный дуализм, суеверия и психологические противоречия: </w:t>
      </w:r>
      <w:r>
        <w:rPr>
          <w:rFonts w:ascii="Times New Roman" w:hAnsi="Times New Roman"/>
          <w:i w:val="0"/>
          <w:color w:val="2D3748"/>
          <w:sz w:val="22"/>
        </w:rPr>
        <w:t>Вместе с тем институт крепостных воспитателей нес в себе глубокий внутренний конфликт. Как отмечал великий педагог К.Д. Ушинский, дворянский ребенок с ранних лет сталкивался с вопиющим раздвоением реальности: возвышенная книжная мораль, которую внушали гувернеры, сталкивалась с бесправием крепостных нянь и слуг, над которыми ребенок ощущал себя маленьким господином. Это порождало нравственный релятивизм, цинизм и деспотические замашки. Кроме того, няни и дворовые приживалки нередко транслировали архаичные суеверия и страхи. С.М. Загоскин признавался, что няня развила в нем непреодолимую трусость: он панически боялся темноты, лошадей и выстрелов ружья. Князь И.М. Долгоруков с горечью вспоминал растлевающее влияние дворовых мальчиков, оставившее след на всю жизнь.</w:t>
      </w:r>
    </w:p>
    <w:p>
      <w:pPr>
        <w:pStyle w:val="Heading2"/>
        <w:keepNext/>
        <w:spacing w:before="260" w:after="120"/>
      </w:pPr>
      <w:r>
        <w:rPr>
          <w:rFonts w:ascii="Georgia" w:hAnsi="Georgia"/>
          <w:b/>
          <w:color w:val="2B6CB0"/>
          <w:sz w:val="25"/>
        </w:rPr>
        <w:t>2.3. Домашнее образование с участием иностранных гувернеров: плюсы, минусы и этика отношений</w:t>
      </w:r>
    </w:p>
    <w:p>
      <w:pPr>
        <w:spacing w:after="100" w:line="276" w:lineRule="auto"/>
        <w:jc w:val="both"/>
      </w:pPr>
      <w:r>
        <w:rPr>
          <w:rFonts w:ascii="Times New Roman" w:hAnsi="Times New Roman"/>
          <w:b/>
          <w:color w:val="1A202C"/>
          <w:sz w:val="22"/>
        </w:rPr>
        <w:t xml:space="preserve">Преимущества и сословная иерархия наставников: </w:t>
      </w:r>
      <w:r>
        <w:rPr>
          <w:rFonts w:ascii="Times New Roman" w:hAnsi="Times New Roman"/>
          <w:i w:val="0"/>
          <w:color w:val="2D3748"/>
          <w:sz w:val="22"/>
        </w:rPr>
        <w:t>Главным плюсом института гувернеров было раннее, органичное овладение европейскими языками (французским, немецким, английским) и освоение универсального европейского культурного кода. В первой четверти XIX века на вершине престижа находились французы, затем немцы; к середине века мода изменилась в пользу англичанок (ценившихся выше мужчин-англичан) и швейцарцев. Дворянское образование сохраняло высочайший уровень даже в экстремальных условиях: дети декабристов в Сибири (например, сын И.П. Коновницына) получали домашнее образование по тем же столичным стандартам.</w:t>
      </w:r>
    </w:p>
    <w:p>
      <w:pPr>
        <w:spacing w:after="100" w:line="276" w:lineRule="auto"/>
        <w:jc w:val="both"/>
      </w:pPr>
      <w:r>
        <w:rPr>
          <w:rFonts w:ascii="Times New Roman" w:hAnsi="Times New Roman"/>
          <w:b/>
          <w:color w:val="1A202C"/>
          <w:sz w:val="22"/>
        </w:rPr>
        <w:t xml:space="preserve">Негативные стороны и культурный раскол: </w:t>
      </w:r>
      <w:r>
        <w:rPr>
          <w:rFonts w:ascii="Times New Roman" w:hAnsi="Times New Roman"/>
          <w:i w:val="0"/>
          <w:color w:val="2D3748"/>
          <w:sz w:val="22"/>
        </w:rPr>
        <w:t>Существенными минусами системы были космополитизм, отрыв ребенка от национальной культуры и сословный снобизм иностранцев. Мемуарист П.И. Сумароков возмущался тем, что наемные иностранные гувернеры «толкуют, что у них в сутках по 40 часов, вода розового цвета, а мы варвары». Князь П.А. Вяземский указывал на психологическую опасность: вспыльчивый, раздражительный наставник даже без розог мог заронить в чуткую душу ребенка семена злобы и непокорства. В литературе (повесть В.Т. Нарежного «Мария») описан мировоззренческий конфликт: гувернер-республиканец Бертольд внушил воспитанникам идеалы равенства, сделавшие их чужими и неприкаянными в крепостнической России.</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Наставления гувернанткам семьи Воеводских (правила Хондзынской)</w:t>
              <w:br/>
            </w:r>
            <w:r>
              <w:rPr>
                <w:rFonts w:ascii="Calibri" w:hAnsi="Calibri"/>
                <w:i/>
                <w:color w:val="2D3748"/>
                <w:sz w:val="19"/>
              </w:rPr>
              <w:t>«Гувернантка должна быть терпелива; приходится иногда воспитывать детей упорных, непослушных, и тогда без терпения и твердости характера нелегко достичь желаемого результата... Тон обращения с детьми должен быть чужд плоскостей, фамильярности или лести, унижения и потворства, равно как взыскательности и педантства, повелительности. Он должен всегда соответствовать достоинству наставника, несущего ответ за ребенка перед родителями и перед Богом».</w:t>
            </w:r>
          </w:p>
        </w:tc>
      </w:tr>
    </w:tbl>
    <w:p>
      <w:pPr>
        <w:spacing w:before="0" w:after="80"/>
      </w:pPr>
    </w:p>
    <w:p>
      <w:pPr>
        <w:pStyle w:val="Heading1"/>
        <w:keepNext/>
        <w:spacing w:before="320" w:after="160"/>
      </w:pPr>
      <w:r>
        <w:rPr>
          <w:rFonts w:ascii="Georgia" w:hAnsi="Georgia"/>
          <w:b/>
          <w:color w:val="1A365D"/>
          <w:sz w:val="30"/>
        </w:rPr>
        <w:t>ГРУППА 3. «Родители и дети: иерархия и привязанность» (Главы 2, 3, стр. 155–178)</w:t>
      </w:r>
    </w:p>
    <w:p>
      <w:pPr>
        <w:pStyle w:val="Heading2"/>
        <w:keepNext/>
        <w:spacing w:before="260" w:after="120"/>
      </w:pPr>
      <w:r>
        <w:rPr>
          <w:rFonts w:ascii="Georgia" w:hAnsi="Georgia"/>
          <w:b/>
          <w:color w:val="2B6CB0"/>
          <w:sz w:val="25"/>
        </w:rPr>
        <w:t>3.1. Положение детей в дворянском доме: изоляция детского мира и семейная иерархия</w:t>
      </w:r>
    </w:p>
    <w:p>
      <w:pPr>
        <w:spacing w:after="100" w:line="276" w:lineRule="auto"/>
        <w:jc w:val="both"/>
      </w:pPr>
      <w:r>
        <w:rPr>
          <w:rFonts w:ascii="Times New Roman" w:hAnsi="Times New Roman"/>
          <w:b/>
          <w:color w:val="1A202C"/>
          <w:sz w:val="22"/>
        </w:rPr>
        <w:t xml:space="preserve">Пространственная и социальная сегрегация: </w:t>
      </w:r>
      <w:r>
        <w:rPr>
          <w:rFonts w:ascii="Times New Roman" w:hAnsi="Times New Roman"/>
          <w:i w:val="0"/>
          <w:color w:val="2D3748"/>
          <w:sz w:val="22"/>
        </w:rPr>
        <w:t>В традиционной дворянской усадьбе и городском особняке XVIII — первой половины XIX века мир детей был институционально и топографически отделен от мира взрослых. Детские комнаты (детская половина дома) располагались обособленно — в мезонине, флигеле или отдаленных покоях, куда родители заходили нечасто. Повседневное общение ребенка протекало в замкнутом микросоциуме кормилиц, нянек и гувернеров.</w:t>
      </w:r>
    </w:p>
    <w:p>
      <w:pPr>
        <w:spacing w:after="100" w:line="276" w:lineRule="auto"/>
        <w:jc w:val="both"/>
      </w:pPr>
      <w:r>
        <w:rPr>
          <w:rFonts w:ascii="Times New Roman" w:hAnsi="Times New Roman"/>
          <w:b/>
          <w:color w:val="1A202C"/>
          <w:sz w:val="22"/>
        </w:rPr>
        <w:t xml:space="preserve">Регламентация контактов и этикетные барьеры: </w:t>
      </w:r>
      <w:r>
        <w:rPr>
          <w:rFonts w:ascii="Times New Roman" w:hAnsi="Times New Roman"/>
          <w:i w:val="0"/>
          <w:color w:val="2D3748"/>
          <w:sz w:val="22"/>
        </w:rPr>
        <w:t>Присутствие детей во «взрослых» пространствах (гостиная, кабинет, парадная столовая) строго дозировалось. Детям категорически возбранялось присутствовать при беседах взрослых на политические, финансовые или служебные темы: при первых же серьезных разговорах гувернерам предписывалось немедленно увести воспитанников. Контакты с родителями носили характер ритуализованных аудиенций: утром детей приводили поздороваться с маменькой и папенькой, в полдень — чинно поблагодарить за обед и поцеловать руку, вечером — получить родительское благословение на сон. Обращение к родителям на «ты» считалось грубейшим нарушением приличий: допускалось исключительно уважительное «вы», «маменька» и «папенька».</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Свидетельство графа В.А. Соллогуба о духе сословного воспитания</w:t>
              <w:br/>
            </w:r>
            <w:r>
              <w:rPr>
                <w:rFonts w:ascii="Calibri" w:hAnsi="Calibri"/>
                <w:i/>
                <w:color w:val="2D3748"/>
                <w:sz w:val="19"/>
              </w:rPr>
              <w:t>«В то время любовь к детям не пересаливали. Они держались в духе подобострастия, чуть ли не крепостного права, и чувствовали, что они созданы для родителей, а не родители для них».</w:t>
            </w:r>
          </w:p>
        </w:tc>
      </w:tr>
    </w:tbl>
    <w:p>
      <w:pPr>
        <w:spacing w:before="0" w:after="80"/>
      </w:pPr>
    </w:p>
    <w:p>
      <w:pPr>
        <w:pStyle w:val="Heading2"/>
        <w:keepNext/>
        <w:spacing w:before="260" w:after="120"/>
      </w:pPr>
      <w:r>
        <w:rPr>
          <w:rFonts w:ascii="Georgia" w:hAnsi="Georgia"/>
          <w:b/>
          <w:color w:val="2B6CB0"/>
          <w:sz w:val="25"/>
        </w:rPr>
        <w:t>3.2. Спектр родительского отношения: от глубокой нежности до сословного деспотизма</w:t>
      </w:r>
    </w:p>
    <w:p>
      <w:pPr>
        <w:spacing w:after="100" w:line="276" w:lineRule="auto"/>
        <w:jc w:val="both"/>
      </w:pPr>
      <w:r>
        <w:rPr>
          <w:rFonts w:ascii="Times New Roman" w:hAnsi="Times New Roman"/>
          <w:b/>
          <w:color w:val="1A202C"/>
          <w:sz w:val="22"/>
        </w:rPr>
        <w:t xml:space="preserve">Полюс глубокой любви, эмпатии и заботы: </w:t>
      </w:r>
      <w:r>
        <w:rPr>
          <w:rFonts w:ascii="Times New Roman" w:hAnsi="Times New Roman"/>
          <w:i w:val="0"/>
          <w:color w:val="2D3748"/>
          <w:sz w:val="22"/>
        </w:rPr>
        <w:t>Реальная практика дворянской жизни демонстрировала колоссальное разнообразие. Целый ряд мемуаров сохранил примеры самоотверженной родительской нежности. Поразительным историческим документом является личный дневник декабриста князя С.П. Трубецкого в сибирской ссылке: глава семейства лично пеленал младенцев, дежурил ночами у кроваток больных детей (Лизы и Никиты), вел подробнейшие записи о прорезывании зубок, психологических склонностях каждого ребенка и сам обучал их грамоте. Граф Д.Н. Шереметев после смерти жены окружил сына Сергея фанатичной заботой: лично составил кодекс правил безопасности (запрет лазить по заборам, сидеть на окнах, резвиться у зеркал и печей) и наставлял его в благотворительности. Граф М.Д. Бутурлин с восторгом описывал первые слова и пение дочери Аннетины («bravo sole, bravo!»). Князь П.Н. Оболенский вникал во все горести дочерей, заменяя им самую заботливую мать. Даже император Павел I, грозный на парадах, дома был нежнейшим отцом, называл детей «мои барашки» и дарил сыну Николаю золоченую коляску с шотландскими пони.</w:t>
      </w:r>
    </w:p>
    <w:p>
      <w:pPr>
        <w:spacing w:after="100" w:line="276" w:lineRule="auto"/>
        <w:jc w:val="both"/>
      </w:pPr>
      <w:r>
        <w:rPr>
          <w:rFonts w:ascii="Times New Roman" w:hAnsi="Times New Roman"/>
          <w:b/>
          <w:color w:val="1A202C"/>
          <w:sz w:val="22"/>
        </w:rPr>
        <w:t xml:space="preserve">Полюс суровости, спартанского закаливания и деспотизма: </w:t>
      </w:r>
      <w:r>
        <w:rPr>
          <w:rFonts w:ascii="Times New Roman" w:hAnsi="Times New Roman"/>
          <w:i w:val="0"/>
          <w:color w:val="2D3748"/>
          <w:sz w:val="22"/>
        </w:rPr>
        <w:t>На другом полюсе находились жесткие формы педагогического давления. Князь П.А. Вяземский вспоминал, что отец воспитывал его в постоянном страхе: чтобы победить природную робость сына, отец заставлял мальчика одного барахтаться на глубине Остафьевского пруда и в глухую полночь посылал в темную рощу. Домашний тиран Н.П. Воейков, не вынося слез пятилетней болезненной дочери, выливал ей на голову ведро ледяной воды. Граф Алексей Орлов-Чесменский ради демонстрации смирения заставлял дочь графиню Анну мыть полы перед высокопоставленными гостями. Мемуаристка Е.А. Сабанеева описывала, как светская дама А.Е. Боборыкина при всем честном народе отвесила взрослой дочери звонкую пощечину за малейшую провинность.</w:t>
      </w:r>
    </w:p>
    <w:p>
      <w:pPr>
        <w:spacing w:after="100" w:line="276" w:lineRule="auto"/>
        <w:jc w:val="both"/>
      </w:pPr>
      <w:r>
        <w:rPr>
          <w:rFonts w:ascii="Times New Roman" w:hAnsi="Times New Roman"/>
          <w:b/>
          <w:color w:val="1A202C"/>
          <w:sz w:val="22"/>
        </w:rPr>
        <w:t xml:space="preserve">Фаворитизм, балование и отверженные дети: </w:t>
      </w:r>
      <w:r>
        <w:rPr>
          <w:rFonts w:ascii="Times New Roman" w:hAnsi="Times New Roman"/>
          <w:i w:val="0"/>
          <w:color w:val="2D3748"/>
          <w:sz w:val="22"/>
        </w:rPr>
        <w:t>Шокарева подробно исследует феномен любимых и нелюбимых детей. В семье генерала И.П. Бибикова открыто исповедовался принцип: «Mes filles sont des anges, et mes fils de la chair au canon» («Мои дочери — ангелы, а сыновья — пушечное мясо»). В семье Аксаковых все поклонялись первенцу Константину, а у Толстого в «Войне и мире» старшая дочь Вера оставалась эмоционально чужой. Сын графини Виельгорской Иосиф вел дневник, полный мучительной ревности к обласканным братьям и сестрам. С другой стороны, чрезмерное балование (М.И. Глинка у деспотичной бабушки; избалованный сын Ваня в повести Вонлярлярского «Сосед», дерзящий пожилым гостям) приводило к моральной деградации (дети С.Х. Зуева, промотавшие жизнь).</w:t>
      </w:r>
    </w:p>
    <w:p>
      <w:pPr>
        <w:spacing w:after="100" w:line="276" w:lineRule="auto"/>
        <w:jc w:val="both"/>
      </w:pPr>
      <w:r>
        <w:rPr>
          <w:rFonts w:ascii="Times New Roman" w:hAnsi="Times New Roman"/>
          <w:b/>
          <w:color w:val="1A202C"/>
          <w:sz w:val="22"/>
        </w:rPr>
        <w:t xml:space="preserve">Институт воспитанниц и родовая солидарность: </w:t>
      </w:r>
      <w:r>
        <w:rPr>
          <w:rFonts w:ascii="Times New Roman" w:hAnsi="Times New Roman"/>
          <w:i w:val="0"/>
          <w:color w:val="2D3748"/>
          <w:sz w:val="22"/>
        </w:rPr>
        <w:t>Дворянская корпорация не оставляла сирот и обедневших родственников. В богатых домах (дом И.А. Пашкова в Москве, семья Бартеневых) воспитывались целые пансионы бедных кузин и племянников. Однако статус бедной воспитанницы был психологически уязвим (классический образ Лизаветы Ивановны в «Пиковой даме» Пушкина). При этом благородные благодетельницы (как графиня Е.П. Риччи, удочерившая Лизу Нащокину) обеспечивали воспитанницам блестящее образование и приданое.</w:t>
      </w:r>
    </w:p>
    <w:p>
      <w:pPr>
        <w:pStyle w:val="Heading2"/>
        <w:keepNext/>
        <w:spacing w:before="260" w:after="120"/>
      </w:pPr>
      <w:r>
        <w:rPr>
          <w:rFonts w:ascii="Georgia" w:hAnsi="Georgia"/>
          <w:b/>
          <w:color w:val="2B6CB0"/>
          <w:sz w:val="25"/>
        </w:rPr>
        <w:t>3.3. Формы обращения, культура семейной переписки и этикет родственных уз</w:t>
      </w:r>
    </w:p>
    <w:p>
      <w:pPr>
        <w:spacing w:after="100" w:line="276" w:lineRule="auto"/>
        <w:jc w:val="both"/>
      </w:pPr>
      <w:r>
        <w:rPr>
          <w:rFonts w:ascii="Times New Roman" w:hAnsi="Times New Roman"/>
          <w:b/>
          <w:color w:val="1A202C"/>
          <w:sz w:val="22"/>
        </w:rPr>
        <w:t xml:space="preserve">Домашняя ономастика и семейные прозвища: </w:t>
      </w:r>
      <w:r>
        <w:rPr>
          <w:rFonts w:ascii="Times New Roman" w:hAnsi="Times New Roman"/>
          <w:i w:val="0"/>
          <w:color w:val="2D3748"/>
          <w:sz w:val="22"/>
        </w:rPr>
        <w:t>За официальным сословным фасадом скрывался богатый мир интимных домашних имен и ласковых прозвищ: Льва Толстого в детстве звали «Левка-пузырь», княжну Варвару Оболенскую — «Барбуха», детей Николая I — «Низи», «Оли», «Адини», поэтессу Евдокию Ростопчину — «Додо», Александра Герцена — «Шушка», Павла Вяземского после пушкинского альбома — «душа моя Павел».</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Эпистолярный канон: между сословным этикетом и сыновним чувством</w:t>
              <w:br/>
            </w:r>
            <w:r>
              <w:rPr>
                <w:rFonts w:ascii="Calibri" w:hAnsi="Calibri"/>
                <w:i/>
                <w:color w:val="2D3748"/>
                <w:sz w:val="19"/>
              </w:rPr>
              <w:t>Дворянские дети обучались эпистолярному жанру как обязательному искусству. Письма родителям строились по строгим формулам французской и русской риторики: обязательное испрашивание родительского благословения, целование ручек, уверения в вечной покорности. Но сквозь этикетную форму прорывалась подлинная детская тоска. В архиве семьи Воеводских сохранились потрясающие письма маленькой Ольги Воеводской, которая сквозь канонические фразы восклицала: «Душечка, ангел мой Мамаша!! Приезжайте ради Бога ко мне, я всякую минуту тоскую об вас!» Не менее показательны письма ссыльных детей декабриста В.Л. Давыдова, скреплявшие родственные узы сквозь тысячи верст сибирского тракта.</w:t>
            </w:r>
          </w:p>
        </w:tc>
      </w:tr>
    </w:tbl>
    <w:p>
      <w:pPr>
        <w:spacing w:before="0" w:after="80"/>
      </w:pPr>
    </w:p>
    <w:p>
      <w:pPr>
        <w:pStyle w:val="Heading1"/>
        <w:keepNext/>
        <w:spacing w:before="320" w:after="160"/>
      </w:pPr>
      <w:r>
        <w:rPr>
          <w:rFonts w:ascii="Georgia" w:hAnsi="Georgia"/>
          <w:b/>
          <w:color w:val="1A365D"/>
          <w:sz w:val="30"/>
        </w:rPr>
        <w:t>ГРУППА 4. «Мир детской субкультуры» (Глава 4, стр. 183–192)</w:t>
      </w:r>
    </w:p>
    <w:p>
      <w:pPr>
        <w:pStyle w:val="Heading2"/>
        <w:keepNext/>
        <w:spacing w:before="260" w:after="120"/>
      </w:pPr>
      <w:r>
        <w:rPr>
          <w:rFonts w:ascii="Georgia" w:hAnsi="Georgia"/>
          <w:b/>
          <w:color w:val="2B6CB0"/>
          <w:sz w:val="25"/>
        </w:rPr>
        <w:t>4.1. Понятие «субкультуры детства» и ее структурные элементы</w:t>
      </w:r>
    </w:p>
    <w:p>
      <w:pPr>
        <w:spacing w:after="100" w:line="276" w:lineRule="auto"/>
        <w:jc w:val="both"/>
      </w:pPr>
      <w:r>
        <w:rPr>
          <w:rFonts w:ascii="Times New Roman" w:hAnsi="Times New Roman"/>
          <w:b/>
          <w:color w:val="1A202C"/>
          <w:sz w:val="22"/>
        </w:rPr>
        <w:t xml:space="preserve">Теоретический фундамент концепта: </w:t>
      </w:r>
      <w:r>
        <w:rPr>
          <w:rFonts w:ascii="Times New Roman" w:hAnsi="Times New Roman"/>
          <w:i w:val="0"/>
          <w:color w:val="2D3748"/>
          <w:sz w:val="22"/>
        </w:rPr>
        <w:t>А. Шокарева опирается на классическое культурологическое определение П.С. Гуревича, трактующего субкультуру как «особую сферу культуры, суверенное целостное образование внутри господствующей культуры, отличающуюся собственным ценностным строем, обычаями, нормами». Применительно к детству фундаментальную структуру субкультуры сформулировал выдающийся социолог и антрополог И.С. Кон, выделивший три базовые подсистемы:</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Триединая структура субкультуры детства (по И.С. Кону)</w:t>
              <w:br/>
            </w:r>
            <w:r>
              <w:rPr>
                <w:rFonts w:ascii="Calibri" w:hAnsi="Calibri"/>
                <w:i/>
                <w:color w:val="2D3748"/>
                <w:sz w:val="19"/>
              </w:rPr>
              <w:t>1. Детская игра: Ролевые, сюжетные, подвижные и дидактические практики, через которые ребенок осваивает окружающий универсум и примеряет социальные роли взрослых.</w:t>
              <w:br/>
              <w:t>2. Детский фольклор и художественное творчество: Сказки, прибаутки, считалки, страшные истории, колыбельные, детское рисование, сочинительство и ведение рукописных альбомов.</w:t>
              <w:br/>
              <w:t>3. Коммуникативное поведение и общение детей: Специфический этикет детского сообщества, законы дружбы, братской солидарности, кодекс чести сиблингов, механизмы ссор, примирений и неписаные табу (в частности, абсолютный запрет на доносительство взрослым).</w:t>
            </w:r>
          </w:p>
        </w:tc>
      </w:tr>
    </w:tbl>
    <w:p>
      <w:pPr>
        <w:spacing w:before="0" w:after="80"/>
      </w:pPr>
    </w:p>
    <w:p>
      <w:pPr>
        <w:pStyle w:val="Heading2"/>
        <w:keepNext/>
        <w:spacing w:before="260" w:after="120"/>
      </w:pPr>
      <w:r>
        <w:rPr>
          <w:rFonts w:ascii="Georgia" w:hAnsi="Georgia"/>
          <w:b/>
          <w:color w:val="2B6CB0"/>
          <w:sz w:val="25"/>
        </w:rPr>
        <w:t>4.2. Межличностное общение детей: сиблинги, детские балы, дружба и социализация</w:t>
      </w:r>
    </w:p>
    <w:p>
      <w:pPr>
        <w:spacing w:after="100" w:line="276" w:lineRule="auto"/>
        <w:jc w:val="both"/>
      </w:pPr>
      <w:r>
        <w:rPr>
          <w:rFonts w:ascii="Times New Roman" w:hAnsi="Times New Roman"/>
          <w:b/>
          <w:color w:val="1A202C"/>
          <w:sz w:val="22"/>
        </w:rPr>
        <w:t xml:space="preserve">Отношения между братьями и сестрами (сиблингами): </w:t>
      </w:r>
      <w:r>
        <w:rPr>
          <w:rFonts w:ascii="Times New Roman" w:hAnsi="Times New Roman"/>
          <w:i w:val="0"/>
          <w:color w:val="2D3748"/>
          <w:sz w:val="22"/>
        </w:rPr>
        <w:t>В дворянских семьях отношения детей формировались под воздействием половозрастной дифференциации. Братья Достоевские (Михаил и Федор), будучи погодками, делили общий зал, неразлучно дружили и сохранили духовную близость на всю жизнь, хотя меньших братьев шутливо прогоняли, зовя своим «хвостиком». Сестры Бибиковы вставали в пять утра, вместе готовили уроки и трогательно выручали друг друга (Лиза будила засыпавшую за фортепиано Катю, а старший брат Александр отдал последние деньги на шелковый фартук для сестры). Дети декабриста В.Л. Давыдова, разделенные ссылкой, через сотни верст слали трогательные письма и самодельные подарки (Вася прислал сестре нарисованного им рыцаря с надписью «Je t'embrasse de tout mon coeur»). Однако борьба за отцовское наследство или сословная зависть могла расколоть семью во взрослом возрасте («брат-враг» отца Герцена, пьеса Гоголя «Владимир 3-й степени»).</w:t>
      </w:r>
    </w:p>
    <w:p>
      <w:pPr>
        <w:spacing w:after="100" w:line="276" w:lineRule="auto"/>
        <w:jc w:val="both"/>
      </w:pPr>
      <w:r>
        <w:rPr>
          <w:rFonts w:ascii="Times New Roman" w:hAnsi="Times New Roman"/>
          <w:b/>
          <w:color w:val="1A202C"/>
          <w:sz w:val="22"/>
        </w:rPr>
        <w:t xml:space="preserve">Социализация вне семьи: детские балы и ритуалы вежливости: </w:t>
      </w:r>
      <w:r>
        <w:rPr>
          <w:rFonts w:ascii="Times New Roman" w:hAnsi="Times New Roman"/>
          <w:i w:val="0"/>
          <w:color w:val="2D3748"/>
          <w:sz w:val="22"/>
        </w:rPr>
        <w:t>Дворянский ребенок редко общался со случайными сверстниками. Главной ареной межсемейной социализации выступали детские балы (например, у графа Толстого, где Н.М. Карамзин «чуть не залился слезами от умиления, глядя на малюток»). На балах и званых вечерах дети педантично воспроизводили салонный этикет взрослых: мальчики проявляли галантность, подавали дамам стулья и фрукты, сыпали изысканными комплиментами. Мемуарист Л.В. Брант с улыбкой вспоминал высокопарные фразы семилетних детей: «Простите моей откровенности: с первого взгляда вы мне очень понравились — я бы желал приобресть дружбу вашу!» На балах зарождались первые детские влюбленности (поэт М.А. Дмитриев женился на кузине, в которую влюбился в 14 лет; классическая сцена детской влюбленности Наташи Ростовой и Бориса Друбецкого у Л.Н. Толстого).</w:t>
      </w:r>
    </w:p>
    <w:p>
      <w:pPr>
        <w:pStyle w:val="Heading2"/>
        <w:keepNext/>
        <w:spacing w:before="260" w:after="120"/>
      </w:pPr>
      <w:r>
        <w:rPr>
          <w:rFonts w:ascii="Georgia" w:hAnsi="Georgia"/>
          <w:b/>
          <w:color w:val="2B6CB0"/>
          <w:sz w:val="25"/>
        </w:rPr>
        <w:t>4.3. Детские игры, игрушки и чтение: моделирование взрослого мира и воспитание для подвига</w:t>
      </w:r>
    </w:p>
    <w:p>
      <w:pPr>
        <w:spacing w:after="100" w:line="276" w:lineRule="auto"/>
        <w:jc w:val="both"/>
      </w:pPr>
      <w:r>
        <w:rPr>
          <w:rFonts w:ascii="Times New Roman" w:hAnsi="Times New Roman"/>
          <w:b/>
          <w:color w:val="1A202C"/>
          <w:sz w:val="22"/>
        </w:rPr>
        <w:t xml:space="preserve">Игровые практики и предметный мир детства: </w:t>
      </w:r>
      <w:r>
        <w:rPr>
          <w:rFonts w:ascii="Times New Roman" w:hAnsi="Times New Roman"/>
          <w:i w:val="0"/>
          <w:color w:val="2D3748"/>
          <w:sz w:val="22"/>
        </w:rPr>
        <w:t>Игры дворянских детей прямо моделировали будущее сословное предназначение. Девочки играли в куклы («дочки-матери», обустройство игрушечных комнат; у князя П.Н. Оболенского куклы внучек спали в шкафах, а кареты стояли под диваном, как в каретном сарае). Мальчики играли исключительно в военные игры: оловянные солдатики, осады крепостей, деревянные кони, игрушечные сабли. Главным культурным героем эпохи был русский офицер-победитель. Наряду с этим популярны были подвижные забавы: жмурки, зайцы (догонялки), жгуты, городки. Появлялись и сложные механические игрушки (Александр Герцен разобрал пружинную модель кухни с механическими поварами).</w:t>
      </w:r>
    </w:p>
    <w:p>
      <w:pPr>
        <w:spacing w:after="100" w:line="276" w:lineRule="auto"/>
        <w:jc w:val="both"/>
      </w:pPr>
      <w:r>
        <w:rPr>
          <w:rFonts w:ascii="Times New Roman" w:hAnsi="Times New Roman"/>
          <w:b/>
          <w:color w:val="1A202C"/>
          <w:sz w:val="22"/>
        </w:rPr>
        <w:t xml:space="preserve">Круг детского чтения и духовные ориентиры: </w:t>
      </w:r>
      <w:r>
        <w:rPr>
          <w:rFonts w:ascii="Times New Roman" w:hAnsi="Times New Roman"/>
          <w:i w:val="0"/>
          <w:color w:val="2D3748"/>
          <w:sz w:val="22"/>
        </w:rPr>
        <w:t>Рождение русской детской литературы связано с просветителем Н.И. Новиковым и его журналом «Детское чтение для сердца и разума» (1785–1789 гг.). Дети читали «Зеркало добродетели», «Лечебник Бухана» (С.Т. Аксаков «Детские годы Багрова-внука»), классические европейские романы («Робинзон Крузо», «Дон Кихот»), французских классиков (Корнель, Расин, Мольер, Вольтер).</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Концепция Ю.М. Лотмана: дворянское детство как воспитание для подвига</w:t>
              <w:br/>
            </w:r>
            <w:r>
              <w:rPr>
                <w:rFonts w:ascii="Calibri" w:hAnsi="Calibri"/>
                <w:i/>
                <w:color w:val="2D3748"/>
                <w:sz w:val="19"/>
              </w:rPr>
              <w:t>Как блестяще доказал академик Ю.М. Лотман, русское дворянское детство начала XIX века было уникальным: оно создавало людей, «заранее подготовленных не для рутинной карьеры, а для подвигов». Начитавшись античных авторов, Карамзина и героических романов, молодые дворяне мечтали об идеальных деяниях. Будущие декабристы Муравьевы грезили побегом на Сахалин ради основания идеальной республики; гимназист В.К. Кюхельбекер готовил романтический побег с дочерью наставника в лесную хижину. А в семье Бестужевых детская игра в «атамана Ринальдо» закалила железный кодекс чести: когда младший брат Михаил ударился головой о плот и потерял сознание, старший Александр принял его в «помощники атамана», и ни один из братьев даже не подумал пожаловаться родителям — малодушие и ябедничество считались несмываемым позором.</w:t>
            </w:r>
          </w:p>
        </w:tc>
      </w:tr>
    </w:tbl>
    <w:p>
      <w:pPr>
        <w:spacing w:before="0" w:after="80"/>
      </w:pPr>
    </w:p>
    <w:p>
      <w:pPr>
        <w:pStyle w:val="Heading1"/>
        <w:keepNext/>
        <w:spacing w:before="320" w:after="160"/>
      </w:pPr>
      <w:r>
        <w:rPr>
          <w:rFonts w:ascii="Georgia" w:hAnsi="Georgia"/>
          <w:b/>
          <w:color w:val="1A365D"/>
          <w:sz w:val="30"/>
        </w:rPr>
        <w:t>ФИНАЛЬНЫЕ ВОПРОСЫ-РАССУЖДЕНИЯ ДЛЯ ВСЕХ</w:t>
      </w:r>
    </w:p>
    <w:p>
      <w:pPr>
        <w:pStyle w:val="Heading2"/>
        <w:keepNext/>
        <w:spacing w:before="260" w:after="120"/>
      </w:pPr>
      <w:r>
        <w:rPr>
          <w:rFonts w:ascii="Georgia" w:hAnsi="Georgia"/>
          <w:b/>
          <w:color w:val="2B6CB0"/>
          <w:sz w:val="25"/>
        </w:rPr>
        <w:t>Вопрос 1. Автономность мира ребенка: «субкультура детства» vs подготовка к миру взрослых в XIX веке</w:t>
      </w:r>
    </w:p>
    <w:p>
      <w:pPr>
        <w:spacing w:after="100" w:line="276" w:lineRule="auto"/>
        <w:jc w:val="both"/>
      </w:pPr>
      <w:r>
        <w:rPr>
          <w:rFonts w:ascii="Times New Roman" w:hAnsi="Times New Roman"/>
          <w:b/>
          <w:color w:val="1A202C"/>
          <w:sz w:val="22"/>
        </w:rPr>
        <w:t xml:space="preserve">Тезис об автономности мира ребенка: </w:t>
      </w:r>
      <w:r>
        <w:rPr>
          <w:rFonts w:ascii="Times New Roman" w:hAnsi="Times New Roman"/>
          <w:i w:val="0"/>
          <w:color w:val="2D3748"/>
          <w:sz w:val="22"/>
        </w:rPr>
        <w:t>Понятие «субкультура детства» применительно к дворянской семье XIX века в высшей степени оправдано, однако эта автономность носила диалектический, сложносоставной характер. С одной стороны, мир ребенка действительно обладал суверенным статусом: он был локализован в особом физическом пространстве (детская половина дома), имел свой собственный круг доверительного общения (крепостные няни, дядьки, сверстники-сиблинги), свой язык (семейные прозвища, тайные словечки), фольклор (сказки, предания, приметы) и строгий внутренний кодекс чести (запрет на жалобы взрослым, стойкость перед болью, верность детской клятве).</w:t>
      </w:r>
    </w:p>
    <w:p>
      <w:pPr>
        <w:spacing w:after="100" w:line="276" w:lineRule="auto"/>
        <w:jc w:val="both"/>
      </w:pPr>
      <w:r>
        <w:rPr>
          <w:rFonts w:ascii="Times New Roman" w:hAnsi="Times New Roman"/>
          <w:b/>
          <w:color w:val="1A202C"/>
          <w:sz w:val="22"/>
        </w:rPr>
        <w:t xml:space="preserve">Сословная детерминация и социализирующая функция: </w:t>
      </w:r>
      <w:r>
        <w:rPr>
          <w:rFonts w:ascii="Times New Roman" w:hAnsi="Times New Roman"/>
          <w:i w:val="0"/>
          <w:color w:val="2D3748"/>
          <w:sz w:val="22"/>
        </w:rPr>
        <w:t>С другой стороны, эта автономия никогда не была абсолютной изоляцией от взрослого социума. В сословном дворянском обществе детство не мыслилось как самоцель — оно изначально конструировалось взрослыми как инструмент целенаправленной социализации. Игры девочек в куклы моделировали управление усадебным хозяйством и светский прием; военные маневры мальчиков с оловянными батальонами и саблями готовили офицеров императорской гвардии; салонные диалоги на детских балах муштровали будущих дипломатов и светских дам. Таким образом, детская субкультура дворянства представляла собой уникальное пространство, где спонтанная детская игра органично переплеталась с жесткой проекцией взрослых сословных ролей.</w:t>
      </w:r>
    </w:p>
    <w:p>
      <w:pPr>
        <w:pStyle w:val="Heading2"/>
        <w:keepNext/>
        <w:spacing w:before="260" w:after="120"/>
      </w:pPr>
      <w:r>
        <w:rPr>
          <w:rFonts w:ascii="Georgia" w:hAnsi="Georgia"/>
          <w:b/>
          <w:color w:val="2B6CB0"/>
          <w:sz w:val="25"/>
        </w:rPr>
        <w:t>Вопрос 2. Главная фигура в воспитании: родители, няни или гувернеры? Чье влияние глубже?</w:t>
      </w:r>
    </w:p>
    <w:p>
      <w:pPr>
        <w:spacing w:after="100" w:line="276" w:lineRule="auto"/>
        <w:jc w:val="both"/>
      </w:pPr>
      <w:r>
        <w:rPr>
          <w:rFonts w:ascii="Times New Roman" w:hAnsi="Times New Roman"/>
          <w:b/>
          <w:color w:val="1A202C"/>
          <w:sz w:val="22"/>
        </w:rPr>
        <w:t xml:space="preserve">Триадическая модель дворянского воспитания: </w:t>
      </w:r>
      <w:r>
        <w:rPr>
          <w:rFonts w:ascii="Times New Roman" w:hAnsi="Times New Roman"/>
          <w:i w:val="0"/>
          <w:color w:val="2D3748"/>
          <w:sz w:val="22"/>
        </w:rPr>
        <w:t>Анализ монографии А. Шокаревой позволяет сделать вывод, что воспитание дворянина опиралось на три взаимодополняющих, но функционально различных полюса влияния:</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Сравнительная характеристика институтов воспитания</w:t>
              <w:br/>
            </w:r>
            <w:r>
              <w:rPr>
                <w:rFonts w:ascii="Calibri" w:hAnsi="Calibri"/>
                <w:i/>
                <w:color w:val="2D3748"/>
                <w:sz w:val="19"/>
              </w:rPr>
              <w:t>1. Крепостная няня («Сердце и душа»): Оказывала наиболее глубокое эмоциональное, подсознательное и нравственное воздействие. Она давала ребенку базовое психологическое доверие к миру, безусловную любовь, материнское тепло, приобщала к живому русскому языку, народному эпосу и православной вере. Это влияние оставалось с человеком до конца дней (пример графа Ф.П. Толстого, А.С. Пушкина).</w:t>
              <w:br/>
              <w:t>2. Иностранный гувернер / наставник («Интеллект и форма»): Формировал рационально-мыслительный аппарат, европейский кругозор, безупречное владение иностранными языками и светские манеры. Гувернер задавал интеллектуальный стандарт дворянина как человека просвещенной Европы.</w:t>
              <w:br/>
              <w:t>3. Родители («Закон, авторитет и сословный статус»): Выступали высшей символической инстанцией. Родители транслировали родовую честь, социальный статус, нормы чести дворянина и гражданского долга перед Отечеством. Родительский авторитет был абсолютным регулятором поведения.</w:t>
            </w:r>
          </w:p>
        </w:tc>
      </w:tr>
    </w:tbl>
    <w:p>
      <w:pPr>
        <w:spacing w:before="0" w:after="80"/>
      </w:pPr>
    </w:p>
    <w:p>
      <w:pPr>
        <w:spacing w:after="100" w:line="276" w:lineRule="auto"/>
        <w:jc w:val="both"/>
      </w:pPr>
      <w:r>
        <w:rPr>
          <w:rFonts w:ascii="Times New Roman" w:hAnsi="Times New Roman"/>
          <w:b/>
          <w:color w:val="1A202C"/>
          <w:sz w:val="22"/>
        </w:rPr>
        <w:t xml:space="preserve">Итоговый вывод о глубине воздействия: </w:t>
      </w:r>
      <w:r>
        <w:rPr>
          <w:rFonts w:ascii="Times New Roman" w:hAnsi="Times New Roman"/>
          <w:i w:val="0"/>
          <w:color w:val="2D3748"/>
          <w:sz w:val="22"/>
        </w:rPr>
        <w:t>Наиболее глубинным и экзистенциальным являлось влияние крепостной няни (в раннем возрасте) и домашнего наставника (в отрочестве), поскольку именно они проводили с ребенком 24 часа в сутки, тогда как родительское влияние носило нормативно-дистанционный характер и проявлялось в ключевые поворотные моменты взросления.</w:t>
      </w:r>
    </w:p>
    <w:p>
      <w:pPr>
        <w:pStyle w:val="Heading2"/>
        <w:keepNext/>
        <w:spacing w:before="260" w:after="120"/>
      </w:pPr>
      <w:r>
        <w:rPr>
          <w:rFonts w:ascii="Georgia" w:hAnsi="Georgia"/>
          <w:b/>
          <w:color w:val="2B6CB0"/>
          <w:sz w:val="25"/>
        </w:rPr>
        <w:t>Вопрос 3. Главная цель воспитания дворянина: послушание нормам vs внутренний мир и самостоятельность</w:t>
      </w:r>
    </w:p>
    <w:p>
      <w:pPr>
        <w:spacing w:after="100" w:line="276" w:lineRule="auto"/>
        <w:jc w:val="both"/>
      </w:pPr>
      <w:r>
        <w:rPr>
          <w:rFonts w:ascii="Times New Roman" w:hAnsi="Times New Roman"/>
          <w:b/>
          <w:color w:val="1A202C"/>
          <w:sz w:val="22"/>
        </w:rPr>
        <w:t xml:space="preserve">Историческая эволюция педагогического идеала: </w:t>
      </w:r>
      <w:r>
        <w:rPr>
          <w:rFonts w:ascii="Times New Roman" w:hAnsi="Times New Roman"/>
          <w:i w:val="0"/>
          <w:color w:val="2D3748"/>
          <w:sz w:val="22"/>
        </w:rPr>
        <w:t>В дворянской культуре цели воспитания претерпели существенную эволюцию на протяжении XVIII — первой половины XIX века. В петровскую и послепетровскую эпоху доминировал строго утилитарный государственный заказ: воспитать послушного, дисциплинированного слугу государева, безупречно исполняющего служебные предписания и светские конвенции («Юности честное зерцало»). Однако к началу XIX века (эпоха Александра I и декабристов) под воздействием Просвещения и романтизма акценты радикально сместились.</w:t>
      </w:r>
    </w:p>
    <w:p>
      <w:pPr>
        <w:spacing w:after="100" w:line="276" w:lineRule="auto"/>
        <w:jc w:val="both"/>
      </w:pPr>
      <w:r>
        <w:rPr>
          <w:rFonts w:ascii="Times New Roman" w:hAnsi="Times New Roman"/>
          <w:b/>
          <w:color w:val="1A202C"/>
          <w:sz w:val="22"/>
        </w:rPr>
        <w:t xml:space="preserve">Синтез сословной чести и личностного достоинства: </w:t>
      </w:r>
      <w:r>
        <w:rPr>
          <w:rFonts w:ascii="Times New Roman" w:hAnsi="Times New Roman"/>
          <w:i w:val="0"/>
          <w:color w:val="2D3748"/>
          <w:sz w:val="22"/>
        </w:rPr>
        <w:t>Как формулировал публицист Н.И. Греч, высшей целью стало «образование ума и сердца, а не простое наполнение памяти». Дворянское общество требовало сформировать личность, обладающую высоким чувством чести, внутренней свободой и готовностью к жертвенному гражданскому служению (концепция Ю.М. Лотмана о «человеке подвига»). Внешнее послушание нормам этикета было лишь обязательной сословной оболочкой; подлинной же целью признавалось воспитание морального субъекта, способного на самостоятельный поступок, верность долгу и Отечеству даже вопреки конъюнктуре власти.</w:t>
      </w:r>
    </w:p>
    <w:p>
      <w:pPr>
        <w:pStyle w:val="Heading2"/>
        <w:keepNext/>
        <w:spacing w:before="260" w:after="120"/>
      </w:pPr>
      <w:r>
        <w:rPr>
          <w:rFonts w:ascii="Georgia" w:hAnsi="Georgia"/>
          <w:b/>
          <w:color w:val="2B6CB0"/>
          <w:sz w:val="25"/>
        </w:rPr>
        <w:t>Вопрос 4. Какие уникальные данные о прошлом дает исторической науке история детства?</w:t>
      </w:r>
    </w:p>
    <w:p>
      <w:pPr>
        <w:spacing w:after="100" w:line="276" w:lineRule="auto"/>
        <w:jc w:val="both"/>
      </w:pPr>
      <w:r>
        <w:rPr>
          <w:rFonts w:ascii="Times New Roman" w:hAnsi="Times New Roman"/>
          <w:b/>
          <w:color w:val="1A202C"/>
          <w:sz w:val="22"/>
        </w:rPr>
        <w:t xml:space="preserve">Эвристический потенциал истории детства (History of Childhood): </w:t>
      </w:r>
      <w:r>
        <w:rPr>
          <w:rFonts w:ascii="Times New Roman" w:hAnsi="Times New Roman"/>
          <w:i w:val="0"/>
          <w:color w:val="2D3748"/>
          <w:sz w:val="22"/>
        </w:rPr>
        <w:t>Изучение детства превратилось в новейшей историографии из маргинальной темы в фундаментальный ключ к пониманию цивилизационных процессов. История детства предоставляет науке:</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Научная ценность исследования истории детства</w:t>
              <w:br/>
            </w:r>
            <w:r>
              <w:rPr>
                <w:rFonts w:ascii="Calibri" w:hAnsi="Calibri"/>
                <w:i/>
                <w:color w:val="2D3748"/>
                <w:sz w:val="19"/>
              </w:rPr>
              <w:t>• Механизмы социокультурного воспроизводства: Показывает, как сословие воспроизводит свою идентичность, передает ценности, ментальные клише и социальные предрассудки из поколения в поколение.</w:t>
              <w:br/>
              <w:t>• История эмоций (History of Emotions): Позволяет реконструировать эмоциональный строй эпохи — эволюцию родительской нежности, понятий горя, детских привязанностей, страхов и семейного тепла.</w:t>
              <w:br/>
              <w:t>• Глубинные противоречия социума: Вскрывает скрытые социальные антагонизмы, в частности психологический парадокс русского крепостничества, где будущий рабовладелец вскармливался молоком и лаской бесправной крепостной рабыни.</w:t>
              <w:br/>
              <w:t>• Микроистория повседневности: Дает уникальные сведения о материальной культуре (одежда, питание, медицина, гигиена, игрушки, архитектура жилища) и приватной сфере жизни, скрытой от официальных государственных актов.</w:t>
            </w:r>
          </w:p>
        </w:tc>
      </w:tr>
    </w:tbl>
    <w:p>
      <w:pPr>
        <w:spacing w:before="0" w:after="80"/>
      </w:pPr>
    </w:p>
    <w:p>
      <w:pPr>
        <w:pStyle w:val="Heading2"/>
        <w:keepNext/>
        <w:spacing w:before="260" w:after="120"/>
      </w:pPr>
      <w:r>
        <w:rPr>
          <w:rFonts w:ascii="Georgia" w:hAnsi="Georgia"/>
          <w:b/>
          <w:color w:val="2B6CB0"/>
          <w:sz w:val="25"/>
        </w:rPr>
        <w:t>Вопрос 5. Какие сложности и методологические проблемы возникают при изучении истории детства?</w:t>
      </w:r>
    </w:p>
    <w:p>
      <w:pPr>
        <w:spacing w:after="100" w:line="276" w:lineRule="auto"/>
        <w:jc w:val="both"/>
      </w:pPr>
      <w:r>
        <w:rPr>
          <w:rFonts w:ascii="Times New Roman" w:hAnsi="Times New Roman"/>
          <w:b/>
          <w:color w:val="1A202C"/>
          <w:sz w:val="22"/>
        </w:rPr>
        <w:t xml:space="preserve">Источниковедческие и теоретические барьеры: </w:t>
      </w:r>
      <w:r>
        <w:rPr>
          <w:rFonts w:ascii="Times New Roman" w:hAnsi="Times New Roman"/>
          <w:i w:val="0"/>
          <w:color w:val="2D3748"/>
          <w:sz w:val="22"/>
        </w:rPr>
        <w:t>Исследователь истории детства сталкивается с целым комплексом специфических гносеологических трудностей:</w:t>
      </w:r>
    </w:p>
    <w:tbl>
      <w:tblPr>
        <w:tblW w:type="auto" w:w="0"/>
        <w:jc w:val="center"/>
        <w:tblLook w:firstColumn="1" w:firstRow="1" w:lastColumn="0" w:lastRow="0" w:noHBand="0" w:noVBand="1" w:val="04A0"/>
      </w:tblPr>
      <w:tblGrid>
        <w:gridCol w:w="9691"/>
      </w:tblGrid>
      <w:tr>
        <w:tc>
          <w:tcPr>
            <w:tcW w:type="dxa" w:w="9691"/>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Ключевые исследовательские проблемы</w:t>
              <w:br/>
            </w:r>
            <w:r>
              <w:rPr>
                <w:rFonts w:ascii="Calibri" w:hAnsi="Calibri"/>
                <w:i/>
                <w:color w:val="2D3748"/>
                <w:sz w:val="19"/>
              </w:rPr>
              <w:t>1. Проблема «немоты» объекта исследования: Маленькие дети не оставляют прямых письменных памятников. Историк вынужден изучать детский мир через свидетельства взрослых — родителей, педагогов, надзирателей или врачей, которые преломляют мир ребенка через свои нормативные сетки.</w:t>
              <w:br/>
              <w:t>2. Аберрация ретроспективной мемуарной оптики: Автобиографии и воспоминания («Детские годы Багрова-внука», воспоминания Герцена, Вяземского, Дельвига) пишутся взрослыми людьми спустя десятилетия. Детские впечатления неизбежно подвергаются идеализации, литературной стилизации или переосмыслению под углом позднейших идеологических взглядов автора.</w:t>
              <w:br/>
              <w:t>3. Сословная и гендерная асимметрия источников: Источниковая база почти целиком создана высшей аристократией и столичным дворянством. Быт детей мелкопоместных дворян, провинциалов, а тем более крестьянских и дворовых детей представлен крайне фрагментарно.</w:t>
              <w:br/>
              <w:t>4. Опасность модернизации и психологического анахронизма: Риск некритического переноса современных представлений о детстве (концепция безусловной ценности прав ребенка, эгалитарная семья, недопустимость авторитаризма) на сословный социум XVIII–XIX веков, живший по законам религиозного патернализма и жесткой сословной иерархии.</w:t>
            </w:r>
          </w:p>
        </w:tc>
      </w:tr>
    </w:tbl>
    <w:p>
      <w:pPr>
        <w:spacing w:before="0" w:after="80"/>
      </w:pPr>
    </w:p>
    <w:p>
      <w:pPr>
        <w:pStyle w:val="Heading1"/>
        <w:keepNext/>
        <w:spacing w:before="320" w:after="160"/>
      </w:pPr>
      <w:r>
        <w:rPr>
          <w:rFonts w:ascii="Georgia" w:hAnsi="Georgia"/>
          <w:b/>
          <w:color w:val="1A365D"/>
          <w:sz w:val="30"/>
        </w:rPr>
        <w:t>ИСТОЧНИКИ И ЛИТЕРАТУРА</w:t>
      </w:r>
    </w:p>
    <w:p>
      <w:pPr>
        <w:spacing w:after="100" w:line="276" w:lineRule="auto"/>
        <w:jc w:val="both"/>
      </w:pPr>
      <w:r>
        <w:rPr>
          <w:rFonts w:ascii="Times New Roman" w:hAnsi="Times New Roman"/>
          <w:i w:val="0"/>
          <w:color w:val="2D3748"/>
          <w:sz w:val="22"/>
        </w:rPr>
        <w:t>1. Шокарева А. Дворянская семья: культура общения. Россия, XVIII — первая половина XIX века. — М.: Новое литературное обозрение, 2017. — Часть 2. Главы 1–5. — С. 147–214.</w:t>
      </w:r>
    </w:p>
    <w:p>
      <w:pPr>
        <w:spacing w:after="100" w:line="276" w:lineRule="auto"/>
        <w:jc w:val="both"/>
      </w:pPr>
      <w:r>
        <w:rPr>
          <w:rFonts w:ascii="Times New Roman" w:hAnsi="Times New Roman"/>
          <w:i w:val="0"/>
          <w:color w:val="2D3748"/>
          <w:sz w:val="22"/>
        </w:rPr>
        <w:t>2. Арьес Ф. Ребенок и семейная жизнь при Старом порядке / Пер. с франц. — Екатеринбург: Изд-во Урал. ун-та, 1999. — 416 с.</w:t>
      </w:r>
    </w:p>
    <w:p>
      <w:pPr>
        <w:spacing w:after="100" w:line="276" w:lineRule="auto"/>
        <w:jc w:val="both"/>
      </w:pPr>
      <w:r>
        <w:rPr>
          <w:rFonts w:ascii="Times New Roman" w:hAnsi="Times New Roman"/>
          <w:i w:val="0"/>
          <w:color w:val="2D3748"/>
          <w:sz w:val="22"/>
        </w:rPr>
        <w:t>3. Кон И.С. Ребенок и общество: Историко-этнографическая перспектива. — М.: Наука, 1988. — 270 с.</w:t>
      </w:r>
    </w:p>
    <w:p>
      <w:pPr>
        <w:spacing w:after="100" w:line="276" w:lineRule="auto"/>
        <w:jc w:val="both"/>
      </w:pPr>
      <w:r>
        <w:rPr>
          <w:rFonts w:ascii="Times New Roman" w:hAnsi="Times New Roman"/>
          <w:i w:val="0"/>
          <w:color w:val="2D3748"/>
          <w:sz w:val="22"/>
        </w:rPr>
        <w:t>4. Лотман Ю.М. Беседы о русской культуре: Быт и традиции русского дворянства (XVIII — начало XIX века). — СПб.: Искусство-СПБ, 1994. — 399 с.</w:t>
      </w:r>
    </w:p>
    <w:p>
      <w:pPr>
        <w:spacing w:after="100" w:line="276" w:lineRule="auto"/>
        <w:jc w:val="both"/>
      </w:pPr>
      <w:r>
        <w:rPr>
          <w:rFonts w:ascii="Times New Roman" w:hAnsi="Times New Roman"/>
          <w:i w:val="0"/>
          <w:color w:val="2D3748"/>
          <w:sz w:val="22"/>
        </w:rPr>
        <w:t>5. Пономарева В.В., Хорошилова Л.Б. Мир русской женщины: воспитание, образование, судьба. XVIII — начало XX века. — М.: Русское слово, 2008. — 320 с.</w:t>
      </w:r>
    </w:p>
    <w:p>
      <w:pPr>
        <w:spacing w:after="100" w:line="276" w:lineRule="auto"/>
        <w:jc w:val="both"/>
      </w:pPr>
      <w:r>
        <w:rPr>
          <w:rFonts w:ascii="Times New Roman" w:hAnsi="Times New Roman"/>
          <w:i w:val="0"/>
          <w:color w:val="2D3748"/>
          <w:sz w:val="22"/>
        </w:rPr>
        <w:t>6. Ушинский К.Д. Педагогические сочинения: В 6 т. — М.: Педагогика, 1990.</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