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32"/>
          <w:szCs w:val="32"/>
          <w:highlight w:val="none"/>
          <w14:ligatures w14:val="none"/>
        </w:rPr>
      </w:pPr>
      <w:r>
        <w:rPr>
          <w:sz w:val="32"/>
          <w:szCs w:val="32"/>
          <w14:ligatures w14:val="none"/>
        </w:rPr>
        <w:t xml:space="preserve">Дорогие студенты, </w:t>
      </w: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14:ligatures w14:val="none"/>
        </w:rPr>
      </w:r>
    </w:p>
    <w:p>
      <w:pPr>
        <w:rPr>
          <w:sz w:val="32"/>
          <w:szCs w:val="32"/>
          <w:highlight w:val="none"/>
          <w14:ligatures w14:val="none"/>
        </w:rPr>
      </w:pP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14:ligatures w14:val="none"/>
        </w:rPr>
      </w:r>
    </w:p>
    <w:p>
      <w:pPr>
        <w:rPr>
          <w:sz w:val="32"/>
          <w:szCs w:val="32"/>
          <w:highlight w:val="none"/>
          <w14:ligatures w14:val="none"/>
        </w:rPr>
      </w:pPr>
      <w:r>
        <w:rPr>
          <w:sz w:val="32"/>
          <w:szCs w:val="32"/>
          <w:highlight w:val="none"/>
          <w14:ligatures w14:val="none"/>
        </w:rPr>
        <w:t xml:space="preserve">Следующий семинар будет по</w:t>
      </w:r>
      <w:r>
        <w:rPr>
          <w:sz w:val="32"/>
          <w:szCs w:val="32"/>
          <w:highlight w:val="none"/>
          <w14:ligatures w14:val="none"/>
        </w:rPr>
        <w:t xml:space="preserve">священ культуре дворянского детства. Будем работать с книгой А. Шокаревой «Дворянская семья: культура общения....», </w:t>
      </w:r>
      <w:r>
        <w:rPr>
          <w:sz w:val="32"/>
          <w:szCs w:val="32"/>
          <w:highlight w:val="yellow"/>
          <w14:ligatures w14:val="none"/>
        </w:rPr>
        <w:t xml:space="preserve">Часть 2</w:t>
      </w:r>
      <w:r>
        <w:rPr>
          <w:sz w:val="32"/>
          <w:szCs w:val="32"/>
          <w:highlight w:val="none"/>
          <w14:ligatures w14:val="none"/>
        </w:rPr>
        <w:t xml:space="preserve">, главы 1-5. На этом материале обсудим : А. дворянскую повседневность, Б. Историю детства как одно из направлений исторической науки.</w:t>
      </w: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14:ligatures w14:val="none"/>
        </w:rPr>
      </w:r>
    </w:p>
    <w:p>
      <w:pPr>
        <w:rPr>
          <w:sz w:val="32"/>
          <w:szCs w:val="32"/>
          <w:highlight w:val="none"/>
          <w14:ligatures w14:val="none"/>
        </w:rPr>
      </w:pP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14:ligatures w14:val="none"/>
        </w:rPr>
      </w:r>
    </w:p>
    <w:p>
      <w:pPr>
        <w:rPr>
          <w:sz w:val="32"/>
          <w:szCs w:val="32"/>
          <w:highlight w:val="none"/>
          <w14:ligatures w14:val="none"/>
        </w:rPr>
      </w:pPr>
      <w:r>
        <w:rPr>
          <w:sz w:val="32"/>
          <w:szCs w:val="32"/>
          <w:highlight w:val="none"/>
          <w14:ligatures w14:val="none"/>
        </w:rPr>
        <w:t xml:space="preserve">Формат работы: сначала – групповые доклады, потом – ответы-рассуждения на финальные вопросы по теме.</w:t>
      </w: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14:ligatures w14:val="none"/>
        </w:rPr>
      </w:r>
    </w:p>
    <w:p>
      <w:pPr>
        <w:rPr>
          <w:sz w:val="32"/>
          <w:szCs w:val="32"/>
          <w:highlight w:val="none"/>
          <w14:ligatures w14:val="none"/>
        </w:rPr>
      </w:pPr>
      <w:r>
        <w:rPr>
          <w:sz w:val="32"/>
          <w:szCs w:val="32"/>
          <w:highlight w:val="none"/>
          <w14:ligatures w14:val="none"/>
        </w:rPr>
        <w:t xml:space="preserve">Домашнего задания нет.</w:t>
      </w: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Янина Карпенкина</cp:lastModifiedBy>
  <cp:revision>4</cp:revision>
  <dcterms:modified xsi:type="dcterms:W3CDTF">2026-03-10T15:15:05Z</dcterms:modified>
</cp:coreProperties>
</file>