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Times New Roman" w:hAnsi="Times New Roman"/>
          <w:b/>
          <w:sz w:val="20"/>
        </w:rPr>
        <w:t>МИНИСТЕРСТВО ЦИФРОВОГО РАЗВИТИЯ, СВЯЗИ И МАССОВЫХ КОММУНИКАЦИЙ</w:t>
        <w:br/>
        <w:t>РОССИЙСКОЙ ФЕДЕРАЦИИ</w:t>
      </w:r>
    </w:p>
    <w:p>
      <w:pPr>
        <w:spacing w:before="40" w:after="360" w:line="240" w:lineRule="auto"/>
        <w:jc w:val="center"/>
      </w:pPr>
      <w:r>
        <w:rPr>
          <w:rFonts w:ascii="Times New Roman" w:hAnsi="Times New Roman"/>
          <w:b/>
          <w:sz w:val="22"/>
        </w:rPr>
        <w:t>Ордена Трудового Красного Знамени федеральное государственное бюджетное</w:t>
        <w:br/>
        <w:t>образовательное учреждение высшего образования</w:t>
        <w:br/>
        <w:t>«МОСКОВСКИЙ ТЕХНИЧЕСКИЙ УНИВЕРСИТЕТ СВЯЗИ И ИНФОРМАТИКИ»</w:t>
        <w:br/>
        <w:t>(МТУСИ)</w:t>
      </w:r>
    </w:p>
    <w:p>
      <w:pPr>
        <w:spacing w:before="0" w:after="720" w:line="240" w:lineRule="auto"/>
        <w:jc w:val="center"/>
      </w:pPr>
      <w:r>
        <w:rPr>
          <w:rFonts w:ascii="Times New Roman" w:hAnsi="Times New Roman"/>
          <w:sz w:val="22"/>
        </w:rPr>
        <w:t>Центр заочного обучения по программам бакалавриата</w:t>
        <w:br/>
        <w:t>Кафедра «Экология, безопасность жизнедеятельности и электропитание»</w:t>
      </w:r>
    </w:p>
    <w:p>
      <w:pPr>
        <w:spacing w:before="480" w:after="120" w:line="276" w:lineRule="auto"/>
        <w:jc w:val="center"/>
      </w:pPr>
      <w:r>
        <w:rPr>
          <w:rFonts w:ascii="Times New Roman" w:hAnsi="Times New Roman"/>
          <w:b/>
          <w:color w:val="182B49"/>
          <w:sz w:val="32"/>
        </w:rPr>
        <w:t>ОТЧЕТ</w:t>
        <w:br/>
        <w:t>ПО ЛАБОРАТОРНОЙ РАБОТЕ № 1</w:t>
      </w:r>
    </w:p>
    <w:p>
      <w:pPr>
        <w:spacing w:before="0" w:after="240" w:line="276" w:lineRule="auto"/>
        <w:jc w:val="center"/>
      </w:pPr>
      <w:r>
        <w:rPr>
          <w:rFonts w:ascii="Times New Roman" w:hAnsi="Times New Roman"/>
          <w:i/>
          <w:sz w:val="26"/>
        </w:rPr>
        <w:t>по дисциплине «Информационная экология»</w:t>
      </w:r>
    </w:p>
    <w:p>
      <w:pPr>
        <w:spacing w:before="120" w:after="1200" w:line="276" w:lineRule="auto"/>
        <w:jc w:val="center"/>
      </w:pPr>
      <w:r>
        <w:rPr>
          <w:rFonts w:ascii="Times New Roman" w:hAnsi="Times New Roman"/>
          <w:b/>
          <w:sz w:val="28"/>
        </w:rPr>
        <w:t>Тема: «Расчёт естественной освещённости в производственном помещении»</w:t>
        <w:br/>
        <w:t>(Вариант № 6)</w:t>
      </w:r>
    </w:p>
    <w:p>
      <w:pPr>
        <w:spacing w:before="240" w:after="1200" w:line="276" w:lineRule="auto"/>
        <w:jc w:val="right"/>
      </w:pPr>
      <w:r>
        <w:rPr>
          <w:rFonts w:ascii="Times New Roman" w:hAnsi="Times New Roman"/>
          <w:sz w:val="24"/>
        </w:rPr>
        <w:t>Выполнил: студент группы БСТ2556</w:t>
        <w:br/>
        <w:t>Смирнов Вячеслав Юрьевич</w:t>
        <w:br/>
        <w:t>Зачетная книжка: ЗБСТ25066</w:t>
        <w:br/>
        <w:t>Направление: 09.03.02 Информационные системы и технологии</w:t>
        <w:br/>
        <w:t>Профиль: Инженерия DevSecOps (2 курс)</w:t>
        <w:br/>
        <w:br/>
        <w:t>Проверил: доцент кафедры ЭБЖиЭ</w:t>
        <w:br/>
        <w:t>Курбатов В.А.</w:t>
        <w:br/>
      </w:r>
    </w:p>
    <w:p>
      <w:pPr>
        <w:spacing w:before="720" w:after="0" w:line="240" w:lineRule="auto"/>
        <w:jc w:val="center"/>
      </w:pPr>
      <w:r>
        <w:rPr>
          <w:rFonts w:ascii="Times New Roman" w:hAnsi="Times New Roman"/>
          <w:sz w:val="24"/>
        </w:rPr>
        <w:t>Москва, 2026 г.</w:t>
      </w:r>
    </w:p>
    <w:p>
      <w:r>
        <w:br w:type="page"/>
      </w:r>
    </w:p>
    <w:p>
      <w:pPr>
        <w:spacing w:before="240" w:after="120" w:line="276" w:lineRule="auto"/>
        <w:jc w:val="left"/>
      </w:pPr>
      <w:r>
        <w:rPr>
          <w:rFonts w:ascii="Times New Roman" w:hAnsi="Times New Roman"/>
          <w:b/>
          <w:color w:val="182B49"/>
          <w:sz w:val="32"/>
        </w:rPr>
        <w:t>1. Цель и задачи работы</w:t>
      </w:r>
    </w:p>
    <w:p>
      <w:pPr>
        <w:spacing w:before="0" w:after="120" w:line="276" w:lineRule="auto"/>
        <w:ind w:firstLine="706"/>
        <w:jc w:val="both"/>
      </w:pPr>
      <w:r>
        <w:rPr>
          <w:rFonts w:ascii="Times New Roman" w:hAnsi="Times New Roman"/>
          <w:sz w:val="24"/>
        </w:rPr>
        <w:t>Цель работы: изучить методику нормирования и инженерного расчёта естественного бокового освещения в производственных помещениях вычислительных центров и аппаратных залов предприятий связи в соответствии с требованиями СП 52.13330 (СНиП 23-05-95) и методическими указаниями кафедры ЭБЖиЭ МТУСИ.</w:t>
      </w:r>
    </w:p>
    <w:p>
      <w:pPr>
        <w:spacing w:before="0" w:after="120" w:line="276" w:lineRule="auto"/>
        <w:ind w:firstLine="706"/>
        <w:jc w:val="both"/>
      </w:pPr>
      <w:r>
        <w:rPr>
          <w:rFonts w:ascii="Times New Roman" w:hAnsi="Times New Roman"/>
          <w:sz w:val="24"/>
        </w:rPr>
        <w:t>Задачи работы:</w:t>
        <w:br/>
        <w:t>1. На основе нормативного разряда зрительной работы определить нормированное значение коэффициента естественной освещённости (КЕО l_min).</w:t>
        <w:br/>
        <w:t>2. Вычислить геометрические параметры помещения, световых проемов и взаимного расположения с противостоящим зданием (h1, A/B, B/h1, L/H).</w:t>
        <w:br/>
        <w:t>3. Определить нормативные коэффициенты: световую характеристику окна (η0), коэффициент затенения противостоящими зданиями (K_зд), коэффициент светопропускания (r0) и средневзвешенный коэффициент отражения внутренних поверхностей (ρ_ср).</w:t>
        <w:br/>
        <w:t>4. Рассчитать необходимую площадь световых проемов S0 для обеспечения нормируемой освещенности.</w:t>
        <w:br/>
        <w:t>5. Определить необходимое число окон n и величину межоконных промежутков b, провести инженерный анализ равномерности освещения и реализуемости односторонней и двусторонней схем размещения.</w:t>
      </w:r>
    </w:p>
    <w:p>
      <w:pPr>
        <w:spacing w:before="240" w:after="120" w:line="276" w:lineRule="auto"/>
        <w:jc w:val="left"/>
      </w:pPr>
      <w:r>
        <w:rPr>
          <w:rFonts w:ascii="Times New Roman" w:hAnsi="Times New Roman"/>
          <w:b/>
          <w:color w:val="182B49"/>
          <w:sz w:val="32"/>
        </w:rPr>
        <w:t>2. Исходные данные варианта № 6</w:t>
      </w:r>
    </w:p>
    <w:p>
      <w:pPr>
        <w:spacing w:before="0" w:after="120" w:line="276" w:lineRule="auto"/>
        <w:ind w:firstLine="706"/>
        <w:jc w:val="both"/>
      </w:pPr>
      <w:r>
        <w:rPr>
          <w:rFonts w:ascii="Times New Roman" w:hAnsi="Times New Roman"/>
          <w:sz w:val="24"/>
        </w:rPr>
        <w:t>Исходные данные приняты по Таблице 4.8 (последняя цифра зачетной книжки 6) и Таблице 4.9 (предпоследняя цифра зачетной книжки 6) методического пособия МТУСИ. Объект проектирования: аппаратный зал телеграфа / вычислительный зал на 3 этаже узла связи.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230"/>
        <w:gridCol w:w="3230"/>
        <w:gridCol w:w="3230"/>
      </w:tblGrid>
      <w:tr>
        <w:tc>
          <w:tcPr>
            <w:tcW w:type="dxa" w:w="3230"/>
            <w:shd w:fill="E8EEF5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Разряд зрительной работы</w:t>
            </w:r>
          </w:p>
        </w:tc>
        <w:tc>
          <w:tcPr>
            <w:tcW w:type="dxa" w:w="3230"/>
            <w:shd w:fill="E8EEF5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III</w:t>
            </w:r>
          </w:p>
        </w:tc>
        <w:tc>
          <w:tcPr>
            <w:tcW w:type="dxa" w:w="3230"/>
            <w:shd w:fill="E8EEF5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Высокая точность (размер объекта различения 0,3–0,5 мм)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Длина помещения (A)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20,0 м</w:t>
            </w:r>
          </w:p>
        </w:tc>
        <w:tc>
          <w:tcPr>
            <w:tcW w:type="dxa" w:w="323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Размер вдоль наружной светонесущей стены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Ширина помещения (B)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10,0 м</w:t>
            </w:r>
          </w:p>
        </w:tc>
        <w:tc>
          <w:tcPr>
            <w:tcW w:type="dxa" w:w="323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Глубина помещения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Высота помещения (h)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5,0 м</w:t>
            </w:r>
          </w:p>
        </w:tc>
        <w:tc>
          <w:tcPr>
            <w:tcW w:type="dxa" w:w="323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Высота от пола до потолка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Высота оконного проема (h0)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3,5 м</w:t>
            </w:r>
          </w:p>
        </w:tc>
        <w:tc>
          <w:tcPr>
            <w:tcW w:type="dxa" w:w="323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Вертикальный размер окна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Высота подоконника над полом (h_под)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1,2 м</w:t>
            </w:r>
          </w:p>
        </w:tc>
        <w:tc>
          <w:tcPr>
            <w:tcW w:type="dxa" w:w="323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Расстояние от пола до подоконника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Высота рабочей поверхности (h_раб)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1,2 м</w:t>
            </w:r>
          </w:p>
        </w:tc>
        <w:tc>
          <w:tcPr>
            <w:tcW w:type="dxa" w:w="323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Уровень горизонтальной рабочей поверхности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Расстояние до здания напротив (L)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30,0 м</w:t>
            </w:r>
          </w:p>
        </w:tc>
        <w:tc>
          <w:tcPr>
            <w:tcW w:type="dxa" w:w="323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Расстояние между противостоящими зданиями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Высота карниза противостоящего здания (H)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30,0 м</w:t>
            </w:r>
          </w:p>
        </w:tc>
        <w:tc>
          <w:tcPr>
            <w:tcW w:type="dxa" w:w="323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Высота над уровнем подоконника зала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Ширина одного окна (b0)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2,0 м</w:t>
            </w:r>
          </w:p>
        </w:tc>
        <w:tc>
          <w:tcPr>
            <w:tcW w:type="dxa" w:w="323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Горизонтальный размер светового проема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Коэффициенты отражения поверхностей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ρ_п = 50%</w:t>
              <w:br/>
              <w:t>ρ_ст = 50%</w:t>
              <w:br/>
              <w:t>ρ_пол = 10%</w:t>
            </w:r>
          </w:p>
        </w:tc>
        <w:tc>
          <w:tcPr>
            <w:tcW w:type="dxa" w:w="323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Потолок и стены светлые, пол темный линолеум/бетон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Тип остекления и категория помещения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Категория Б</w:t>
              <w:br/>
              <w:t>(стальные переплеты, двойные)</w:t>
            </w:r>
          </w:p>
        </w:tc>
        <w:tc>
          <w:tcPr>
            <w:tcW w:type="dxa" w:w="323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Аппаратный зал с незначительным выделением пыли</w:t>
            </w:r>
          </w:p>
        </w:tc>
      </w:tr>
    </w:tbl>
    <w:p>
      <w:pPr>
        <w:spacing w:before="240" w:after="120" w:line="276" w:lineRule="auto"/>
        <w:jc w:val="left"/>
      </w:pPr>
      <w:r>
        <w:rPr>
          <w:rFonts w:ascii="Times New Roman" w:hAnsi="Times New Roman"/>
          <w:b/>
          <w:color w:val="182B49"/>
          <w:sz w:val="32"/>
        </w:rPr>
        <w:t>3. Методика и расчет параметров естественного освещения</w:t>
      </w:r>
    </w:p>
    <w:p>
      <w:pPr>
        <w:spacing w:before="0" w:after="120" w:line="276" w:lineRule="auto"/>
        <w:ind w:firstLine="706"/>
        <w:jc w:val="both"/>
      </w:pPr>
      <w:r>
        <w:rPr>
          <w:rFonts w:ascii="Times New Roman" w:hAnsi="Times New Roman"/>
          <w:sz w:val="24"/>
        </w:rPr>
        <w:t>3.1. Определение расчетного параметра окна h1</w:t>
        <w:br/>
        <w:t>Под параметром окна h1 понимается возвышение верхнего края оконного проема над горизонтальной рабочей поверхностью:</w:t>
        <w:br/>
        <w:t>h1 = h0 + h_под - h_раб</w:t>
        <w:br/>
        <w:t>h1 = 3,5 + 1,2 - 1,2 = 3.50 м.</w:t>
      </w:r>
    </w:p>
    <w:p>
      <w:pPr>
        <w:spacing w:before="0" w:after="120" w:line="276" w:lineRule="auto"/>
        <w:ind w:firstLine="706"/>
        <w:jc w:val="both"/>
      </w:pPr>
      <w:r>
        <w:rPr>
          <w:rFonts w:ascii="Times New Roman" w:hAnsi="Times New Roman"/>
          <w:sz w:val="24"/>
        </w:rPr>
        <w:t>3.2. Определение геометрических соотношений помещения</w:t>
        <w:br/>
        <w:t>• Отношение длины помещения к ширине: A / B = 20,0 / 10,0 = 2.00</w:t>
        <w:br/>
        <w:t>• Отношение ширины к расчетной высоте окна: B / h1 = 10,0 / 3.50 = 2.857</w:t>
        <w:br/>
        <w:t>• Отношение расстояния между зданиями к высоте карниза: L / H = 30,0 / 30,0 = 1.00</w:t>
      </w:r>
    </w:p>
    <w:p>
      <w:pPr>
        <w:spacing w:before="0" w:after="120" w:line="276" w:lineRule="auto"/>
        <w:ind w:firstLine="706"/>
        <w:jc w:val="both"/>
      </w:pPr>
      <w:r>
        <w:rPr>
          <w:rFonts w:ascii="Times New Roman" w:hAnsi="Times New Roman"/>
          <w:sz w:val="24"/>
        </w:rPr>
        <w:t>3.3. Выбор нормативных коэффициентов по таблицам пособия</w:t>
        <w:br/>
        <w:t>1. Нормированное значение КЕО l_min (Таблица 4.1): для III разряда зрительной работы при боковом освещении l_min = 2.0%.</w:t>
        <w:br/>
        <w:t>2. Коэффициент затемнения противостоящим зданием K_зд (Таблица 4.3): при L / H = 1,0 коэффициент составляет K_зд = 1.40.</w:t>
        <w:br/>
        <w:t>3. Световая характеристика окна η0 (Таблица 4.2): для отношения A / B = 2,0 и B / h1 = 2,857 путем интерполяции между значениями для B/h1=2,5 (η0=13,0) и B/h1=3,0 (η0=18,0) получаем:</w:t>
        <w:br/>
        <w:t>η0 = 13,0 + (18,0 - 13,0) × (2,857 - 2,5) / (3,0 - 2,5) = 16.57.</w:t>
        <w:br/>
        <w:t>4. Общий коэффициент светопропускания r0 (Таблица 4.5): для помещений категории Б при вертикальном остеклении и стальных двойных переплетах r0 = 0.40.</w:t>
      </w:r>
    </w:p>
    <w:p>
      <w:pPr>
        <w:spacing w:before="0" w:after="120" w:line="276" w:lineRule="auto"/>
        <w:ind w:firstLine="706"/>
        <w:jc w:val="both"/>
      </w:pPr>
      <w:r>
        <w:rPr>
          <w:rFonts w:ascii="Times New Roman" w:hAnsi="Times New Roman"/>
          <w:sz w:val="24"/>
        </w:rPr>
        <w:t>3.4. Определение средневзвешенного коэффициента отражения ρ_ср и коэффициента r1</w:t>
        <w:br/>
        <w:t>Площади ограждающих поверхностей производственного помещения:</w:t>
        <w:br/>
        <w:t>• Площадь пола: S_пол = A × B = 20 × 10 = 200.0 м²;</w:t>
        <w:br/>
        <w:t>• Площадь потолка: S_п = A × B = 20 × 10 = 200.0 м²;</w:t>
        <w:br/>
        <w:t>• Площадь стен: S_ст = 2 × (A + B) × h = 2 × (20 + 10) × 5,0 = 300.0 м²;</w:t>
        <w:br/>
        <w:t>• Полная внутренняя площадь: S_общ = 200.0 + 200.0 + 300.0 = 700.0 м².</w:t>
        <w:br/>
        <w:t>Средневзвешенный коэффициент отражения внутренних поверхностей:</w:t>
        <w:br/>
        <w:t>ρ_ср = (ρ_п·S_п + ρ_ст·S_ст + ρ_пол·S_пол) / S_общ</w:t>
        <w:br/>
        <w:t>ρ_ср = (0,50 × 200 + 0,50 × 300 + 0,10 × 200) / 700 = (100 + 150 + 20) / 700 = 270 / 700 = 0.3857 (38.6%).</w:t>
        <w:br/>
        <w:t>По Таблице 4.6 определяем коэффициент r1, учитывающий отраженный свет:</w:t>
        <w:br/>
        <w:t>• При одностороннем боковом освещении: r1 = 2.86;</w:t>
        <w:br/>
        <w:t>• При двустороннем боковом освещении: r1 = 1.63.</w:t>
      </w:r>
    </w:p>
    <w:p>
      <w:pPr>
        <w:spacing w:before="0" w:after="120" w:line="276" w:lineRule="auto"/>
        <w:ind w:firstLine="706"/>
        <w:jc w:val="both"/>
      </w:pPr>
      <w:r>
        <w:rPr>
          <w:rFonts w:ascii="Times New Roman" w:hAnsi="Times New Roman"/>
          <w:sz w:val="24"/>
        </w:rPr>
        <w:t>3.5. Расчет площади световых проемов S0 и числа окон для одностороннего освещения</w:t>
        <w:br/>
        <w:t>Необходимая площадь световых проемов определяется по основной формуле:</w:t>
        <w:br/>
        <w:t>S0 = (S_пол · l_min · η0 · K_зд) / (100 · r0 · r1)</w:t>
        <w:br/>
        <w:t>S0 = (200.0 × 2.0 × 16.57 × 1.40) / (100 × 0.40 × 2.86) = 81.20 м².</w:t>
        <w:br/>
        <w:t>Площадь одного типового окна: S_окна = h0 × b0 = 3,5 × 2,0 = 7.00 м².</w:t>
        <w:br/>
        <w:t>Расчетное число окон: n_точн = S0 / S_окна = 81.20 / 7.00 = 11.60 шт.</w:t>
        <w:br/>
        <w:t>Принимаем ближайшее целое число окон: n = 12 шт.</w:t>
        <w:br/>
        <w:t>Величина межоконного расстояния b при размещении n окон в наружной стене длиной A=20 м:</w:t>
        <w:br/>
        <w:t>b = (A - n · b0) / (n + 1) = (20,0 - 12 × 2,0) / (12 + 1) = (20,0 - 24.0) / 13 = -0.31 м.</w:t>
      </w:r>
    </w:p>
    <w:p>
      <w:pPr>
        <w:spacing w:before="240" w:after="120" w:line="276" w:lineRule="auto"/>
        <w:jc w:val="left"/>
      </w:pPr>
      <w:r>
        <w:rPr>
          <w:rFonts w:ascii="Times New Roman" w:hAnsi="Times New Roman"/>
          <w:b/>
          <w:color w:val="182B49"/>
          <w:sz w:val="32"/>
        </w:rPr>
        <w:t>4. Инженерный анализ и выбор рациональной схемы освещения</w:t>
      </w:r>
    </w:p>
    <w:p>
      <w:pPr>
        <w:spacing w:before="0" w:after="120" w:line="276" w:lineRule="auto"/>
        <w:ind w:firstLine="706"/>
        <w:jc w:val="both"/>
      </w:pPr>
      <w:r>
        <w:rPr>
          <w:rFonts w:ascii="Times New Roman" w:hAnsi="Times New Roman"/>
          <w:sz w:val="24"/>
        </w:rPr>
        <w:t>Анализ односторонней схемы освещения:</w:t>
        <w:br/>
        <w:t>Принятое расчетное число окон n = 12 шт. при ширине каждого окна b0 = 2,0 м требует суммарной ширины остекления 24.0 м, что превышает общую длину наружной стены помещения A = 20,0 м. Значение межоконного промежутка получилось отрицательным (b = -0.31 м). Это означает, что физически разместить необходимое количество световых проемов в один ряд по одной продольной стене НЕВОЗМОЖНО.</w:t>
      </w:r>
    </w:p>
    <w:p>
      <w:pPr>
        <w:spacing w:before="0" w:after="120" w:line="276" w:lineRule="auto"/>
        <w:ind w:firstLine="706"/>
        <w:jc w:val="both"/>
      </w:pPr>
      <w:r>
        <w:rPr>
          <w:rFonts w:ascii="Times New Roman" w:hAnsi="Times New Roman"/>
          <w:sz w:val="24"/>
        </w:rPr>
        <w:t>Инженерное решение — переход на двустороннее боковое освещение:</w:t>
        <w:br/>
        <w:t>Для обеспечения нормативной освещенности глубокого зала (B = 10 м) и равномерного распределения светового потока целесообразно организовать световые проемы в двух противоположных наружных стенах. При двустороннем освещении нормативный коэффициент r1 по Таблице 4.6 снижается до r1 = 1,70, что отражает более глубокое взаимное проникновение света с обеих сторон:</w:t>
        <w:br/>
        <w:t>S0_двуст = (200.0 × 2.0 × 16.57 × 1.40) / (100 × 0.40 × 1.63) = 87.81 м².</w:t>
        <w:br/>
        <w:t>Расчетное число окон для двух стен: n_точн = 87.81 / 7,0 = 12.54 шт.</w:t>
        <w:br/>
        <w:t>Принимаем четное число окон для симметричного размещения: n = 14 шт. (по 7 окон на каждой стене).</w:t>
        <w:br/>
        <w:t>Межоконное расстояние на каждой из двух стен длиной 20 м составит:</w:t>
        <w:br/>
        <w:t>b = (A - 7 × b0) / (7 + 1) = (20,0 - 14.0) / 8 = 0.75 м.</w:t>
        <w:br/>
        <w:t>Величина межоконного простенка b = 0.75 м обеспечивает высокую конструктивную надежность несущих простенков здания и равномерность естественного освещения рабочего пространства.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230"/>
        <w:gridCol w:w="3230"/>
        <w:gridCol w:w="3230"/>
      </w:tblGrid>
      <w:tr>
        <w:tc>
          <w:tcPr>
            <w:tcW w:type="dxa" w:w="3230"/>
            <w:shd w:fill="E8EEF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Показатель</w:t>
            </w:r>
          </w:p>
        </w:tc>
        <w:tc>
          <w:tcPr>
            <w:tcW w:type="dxa" w:w="3230"/>
            <w:shd w:fill="E8EEF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Одностороннее освещение</w:t>
            </w:r>
          </w:p>
        </w:tc>
        <w:tc>
          <w:tcPr>
            <w:tcW w:type="dxa" w:w="3230"/>
            <w:shd w:fill="E8EEF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Двустороннее освещение (рекомендовано)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Коэффициент отраженного света r1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2.86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1.63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Требуемая площадь остекления S0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81.20 м²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87.81 м²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Принятое число окон n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12 шт. (на 1 стену)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14 шт. (по 7 шт. на 2 стены)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Межоконный промежуток b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-0.31 м (не реализуемо)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0.75 м (оптимально)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Равномерность освещенности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Низкая (затухание света к дальней стене)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Высокая (перекрестное освещение)</w:t>
            </w:r>
          </w:p>
        </w:tc>
      </w:tr>
    </w:tbl>
    <w:p>
      <w:pPr>
        <w:spacing w:before="240" w:after="120" w:line="276" w:lineRule="auto"/>
        <w:jc w:val="left"/>
      </w:pPr>
      <w:r>
        <w:rPr>
          <w:rFonts w:ascii="Times New Roman" w:hAnsi="Times New Roman"/>
          <w:b/>
          <w:color w:val="182B49"/>
          <w:sz w:val="32"/>
        </w:rPr>
        <w:t>5. Ответы на контрольные вопросы</w:t>
      </w:r>
    </w:p>
    <w:p>
      <w:pPr>
        <w:spacing w:before="120" w:after="40" w:line="276" w:lineRule="auto"/>
      </w:pPr>
      <w:r>
        <w:rPr>
          <w:rFonts w:ascii="Times New Roman" w:hAnsi="Times New Roman"/>
          <w:b/>
          <w:color w:val="182B49"/>
          <w:sz w:val="24"/>
        </w:rPr>
        <w:t>Вопрос 1: Как нормируется естественная освещенность?</w:t>
      </w:r>
    </w:p>
    <w:p>
      <w:pPr>
        <w:spacing w:before="0" w:after="160" w:line="276" w:lineRule="auto"/>
        <w:ind w:firstLine="706"/>
        <w:jc w:val="both"/>
      </w:pPr>
      <w:r>
        <w:rPr>
          <w:rFonts w:ascii="Times New Roman" w:hAnsi="Times New Roman"/>
          <w:sz w:val="22"/>
        </w:rPr>
        <w:t>Ответ: Естественная освещенность нормируется в относительных единицах — через коэффициент естественной освещенности (КЕО, e_N, выражается в процентах). КЕО представляет собой отношение естественной освещенности, создаваемой в некоторой точке заданной плоскости внутри помещения светом неба (непосредственно или после отражений), к одновременному значению наружной горизонтальной освещенности, создаваемой светом полностью открытого небосвода: e = (E_внут / E_нар) × 100%. Нормирование в относительных величинах обусловлено непрерывным изменением наружной естественной освещенности в течение суток и сезонов года в зависимости от положения солнца и облачности.</w:t>
      </w:r>
    </w:p>
    <w:p>
      <w:pPr>
        <w:spacing w:before="120" w:after="40" w:line="276" w:lineRule="auto"/>
      </w:pPr>
      <w:r>
        <w:rPr>
          <w:rFonts w:ascii="Times New Roman" w:hAnsi="Times New Roman"/>
          <w:b/>
          <w:color w:val="182B49"/>
          <w:sz w:val="24"/>
        </w:rPr>
        <w:t>Вопрос 2: Какие виды естественного освещения вы знаете?</w:t>
      </w:r>
    </w:p>
    <w:p>
      <w:pPr>
        <w:spacing w:before="0" w:after="160" w:line="276" w:lineRule="auto"/>
        <w:ind w:firstLine="706"/>
        <w:jc w:val="both"/>
      </w:pPr>
      <w:r>
        <w:rPr>
          <w:rFonts w:ascii="Times New Roman" w:hAnsi="Times New Roman"/>
          <w:sz w:val="22"/>
        </w:rPr>
        <w:t>Ответ: В соответствии со строительными нормами различают три основных вида естественного освещения:</w:t>
        <w:br/>
        <w:t>1. Боковое освещение — осуществляется через световые проемы (окна) в наружных стенах здания. Может быть односторонним (окна на одной стене) или двусторонним (окна на противоположных или смежных стенах).</w:t>
        <w:br/>
        <w:t>2. Верхнее освещение — осуществляется через световые аэрационные или зенитные фонари, проемы в перекрытиях и светопрозрачные конструкции кровли.</w:t>
        <w:br/>
        <w:t>3. Комбинированное (смешанное) освещение — сочетание бокового и верхнего естественного освещения, обеспечивающее наиболее высокую освещенность и равномерность в крупногабаритных производственных цехах.</w:t>
      </w:r>
    </w:p>
    <w:p>
      <w:pPr>
        <w:spacing w:before="120" w:after="40" w:line="276" w:lineRule="auto"/>
      </w:pPr>
      <w:r>
        <w:rPr>
          <w:rFonts w:ascii="Times New Roman" w:hAnsi="Times New Roman"/>
          <w:b/>
          <w:color w:val="182B49"/>
          <w:sz w:val="24"/>
        </w:rPr>
        <w:t>Вопрос 3: Какие требования предъявляются к системам производственного освещения?</w:t>
      </w:r>
    </w:p>
    <w:p>
      <w:pPr>
        <w:spacing w:before="0" w:after="160" w:line="276" w:lineRule="auto"/>
        <w:ind w:firstLine="706"/>
        <w:jc w:val="both"/>
      </w:pPr>
      <w:r>
        <w:rPr>
          <w:rFonts w:ascii="Times New Roman" w:hAnsi="Times New Roman"/>
          <w:sz w:val="22"/>
        </w:rPr>
        <w:t>Ответ: К производственному освещению предъявляются следующие обязательные санитарно-гигиенические и технико-экономические требования:</w:t>
        <w:br/>
        <w:t>• Обеспечение нормативного уровня освещенности на рабочих поверхностях в соответствии с разрядом зрительной работы;</w:t>
        <w:br/>
        <w:t>• Равномерное распределение яркости в поле зрения и исключение резких теней на рабочих местах;</w:t>
        <w:br/>
        <w:t>• Отсутствие прямой и отраженной слепящей блесткости (ограничение показателя ослепленности);</w:t>
        <w:br/>
        <w:t>• Постоянство освещенности во времени (отсутствие стробоскопического эффекта и пульсаций светового потока);</w:t>
        <w:br/>
        <w:t>• Обеспечение правильной цветопередачи и спектрального состава света, близкого к естественному;</w:t>
        <w:br/>
        <w:t>• Пожаро- и электробезопасность осветительных установок, надежность, удобство эксплуатации и энергоэффективность.</w:t>
      </w:r>
    </w:p>
    <w:p>
      <w:pPr>
        <w:spacing w:before="120" w:after="40" w:line="276" w:lineRule="auto"/>
      </w:pPr>
      <w:r>
        <w:rPr>
          <w:rFonts w:ascii="Times New Roman" w:hAnsi="Times New Roman"/>
          <w:b/>
          <w:color w:val="182B49"/>
          <w:sz w:val="24"/>
        </w:rPr>
        <w:t>Вопрос 4: По каким параметрам определяется разряд зрительной работы?</w:t>
      </w:r>
    </w:p>
    <w:p>
      <w:pPr>
        <w:spacing w:before="0" w:after="160" w:line="276" w:lineRule="auto"/>
        <w:ind w:firstLine="706"/>
        <w:jc w:val="both"/>
      </w:pPr>
      <w:r>
        <w:rPr>
          <w:rFonts w:ascii="Times New Roman" w:hAnsi="Times New Roman"/>
          <w:sz w:val="22"/>
        </w:rPr>
        <w:t>Ответ: Разряд зрительной работы определяется по СП 52.13330 (СНиП 23-05-95) исходя из следующих параметров:</w:t>
        <w:br/>
        <w:t>1. Наименьший эквивалентный размер объекта различения (в миллиметрах). Например: до 0,15 мм — разряд I (наивысшая точность); от 0,15 до 0,3 мм — разряд II (очень высокая точность); от 0,3 до 0,5 мм — разряд III (высокая точность, как в варианте 6); от 0,5 до 1 мм — разряд IV (средняя точность); более 5 мм — разряд VI (грубая работа).</w:t>
        <w:br/>
        <w:t>2. Контраст объекта различения с фоном (малый, средний, большой), определяемый соотношением яркостей объекта и фона.</w:t>
        <w:br/>
        <w:t>3. Характеристика фона (светлый, средний, темный) в зависимости от коэффициента отражения поверхности фона.</w:t>
      </w:r>
    </w:p>
    <w:p>
      <w:pPr>
        <w:spacing w:before="120" w:after="40" w:line="276" w:lineRule="auto"/>
      </w:pPr>
      <w:r>
        <w:rPr>
          <w:rFonts w:ascii="Times New Roman" w:hAnsi="Times New Roman"/>
          <w:b/>
          <w:color w:val="182B49"/>
          <w:sz w:val="24"/>
        </w:rPr>
        <w:t>Вопрос 5: Что характеризует «спектральная видность», в чем заключается ее особенность? Энергетические и фотометрические величины.</w:t>
      </w:r>
    </w:p>
    <w:p>
      <w:pPr>
        <w:spacing w:before="0" w:after="160" w:line="276" w:lineRule="auto"/>
        <w:ind w:firstLine="706"/>
        <w:jc w:val="both"/>
      </w:pPr>
      <w:r>
        <w:rPr>
          <w:rFonts w:ascii="Times New Roman" w:hAnsi="Times New Roman"/>
          <w:sz w:val="22"/>
        </w:rPr>
        <w:t>Ответ: Спектральная чувствительность глаза (относительная спектральная световая эффективность, или спектральная видность V(λ)) характеризует избирательную чувствительность человеческого зрительного анализатора к электромагнитному излучению различных длин волн оптического диапазона при одинаковой мощности лучистого потока.</w:t>
        <w:br/>
        <w:t>Особенность: максимум чувствительности глаза в условиях дневного (колбочкового) зрения приходится на длину волны λ = 555 нм (желто-зеленая область спектра). При сумеречном (палочковом) зрении максимум сдвигается в сине-зеленую область (λ = 507 нм, эффект Пуркинье).</w:t>
        <w:br/>
        <w:t>Связь величин:</w:t>
        <w:br/>
        <w:t>• Энергетические величины характеризуют излучение безотносительно зрительного восприятия человека в абсолютных энергетических единицах (поток излучения Ф_е в ваттах Вт, энергетическая светимость Вт/м², энергетическая яркость Вт/(ср·м²)).</w:t>
        <w:br/>
        <w:t>• Фотометрические (световые) величины оценивают воздействие оптического излучения на орган зрения с учетом спектральной чувствительности V(λ): световой поток Ф измеряется в люменах (лм), освещенность E — в люксах (лк = лм/м²), сила света I — в канделах (кд), яркость L — в кд/м².</w:t>
      </w:r>
    </w:p>
    <w:p>
      <w:pPr>
        <w:spacing w:before="240" w:after="120" w:line="276" w:lineRule="auto"/>
        <w:jc w:val="left"/>
      </w:pPr>
      <w:r>
        <w:rPr>
          <w:rFonts w:ascii="Times New Roman" w:hAnsi="Times New Roman"/>
          <w:b/>
          <w:color w:val="182B49"/>
          <w:sz w:val="32"/>
        </w:rPr>
        <w:t>6. Выводы</w:t>
      </w:r>
    </w:p>
    <w:p>
      <w:pPr>
        <w:spacing w:before="0" w:after="120" w:line="276" w:lineRule="auto"/>
        <w:ind w:firstLine="706"/>
        <w:jc w:val="both"/>
      </w:pPr>
      <w:r>
        <w:rPr>
          <w:rFonts w:ascii="Times New Roman" w:hAnsi="Times New Roman"/>
          <w:sz w:val="24"/>
        </w:rPr>
        <w:t>1. В ходе выполнения лабораторной работы № 1 освоена методика расчета систем естественного освещения производственных помещений связи и IT-инфраструктуры по СП 52.13330 (СНиП 23-05-95).</w:t>
        <w:br/>
        <w:t>2. Для аппаратного зала телеграфа размерами 20 × 10 × 5 м (III разряд зрительной работы, КЕО l_min = 2,0%) выполнен полный пошаговый расчет световых параметров с учетом затенения противостоящим зданием (K_зд = 1.40), светопропускания окон (r0 = 0.40) и отражающих свойств поверхностей (ρ_ср = 38.6%, r1 = 2.86).</w:t>
        <w:br/>
        <w:t>3. Расчет показал, что для одностороннего бокового освещения требуемая площадь остекления составляет S0 = 81.20 м², что соответствует n = 12 окнам шириной по 2,0 м. Суммарная ширина оконных проемов (24.0 м) превышает длину стены здания (20,0 м), что делает одностороннюю схему физически нереализуемой (b = -0.31 м &lt; 0).</w:t>
        <w:br/>
        <w:t>4. Предложено рациональное инженерное решение: перейти на двустороннее боковое освещение. При двусторонней схеме (r1 = 1.63) требуемая площадь окон составляет S0 = 87.81 м², что реализуется установкой 14 окон (по 7 окон на каждой продольной стене). Межоконный промежуток составляет b = 0.75 м, что обеспечивает конструктивную прочность простенков, высокую равномерность естественной освещенности рабочих мест и соблюдение требований охраны труда.</w:t>
      </w:r>
    </w:p>
    <w:p>
      <w:pPr>
        <w:spacing w:before="240" w:after="120" w:line="276" w:lineRule="auto"/>
        <w:jc w:val="left"/>
      </w:pPr>
      <w:r>
        <w:rPr>
          <w:rFonts w:ascii="Times New Roman" w:hAnsi="Times New Roman"/>
          <w:b/>
          <w:color w:val="182B49"/>
          <w:sz w:val="32"/>
        </w:rPr>
        <w:t>7. Список использованных источников</w:t>
      </w:r>
    </w:p>
    <w:p>
      <w:pPr>
        <w:spacing w:before="40" w:after="80" w:line="276" w:lineRule="auto"/>
        <w:ind w:firstLine="706"/>
        <w:jc w:val="both"/>
      </w:pPr>
      <w:r>
        <w:rPr>
          <w:rFonts w:ascii="Times New Roman" w:hAnsi="Times New Roman"/>
          <w:sz w:val="22"/>
        </w:rPr>
        <w:t>1. Курбатов В.А. Расчёт естественной освещённости в производственном помещении: Учебно-методическое пособие по курсу «Безопасность жизнедеятельности» / В.А. Курбатов. — М.: МТУСИ, 2022. — 24 с.</w:t>
      </w:r>
    </w:p>
    <w:p>
      <w:pPr>
        <w:spacing w:before="40" w:after="80" w:line="276" w:lineRule="auto"/>
        <w:ind w:firstLine="706"/>
        <w:jc w:val="both"/>
      </w:pPr>
      <w:r>
        <w:rPr>
          <w:rFonts w:ascii="Times New Roman" w:hAnsi="Times New Roman"/>
          <w:sz w:val="22"/>
        </w:rPr>
        <w:t>2. СП 52.13330.2016. Естественное и искусственное освещение. Актуализированная редакция СНиП 23-05-95*. — М.: Минстрой России, 2016.</w:t>
      </w:r>
    </w:p>
    <w:p>
      <w:pPr>
        <w:spacing w:before="40" w:after="80" w:line="276" w:lineRule="auto"/>
        <w:ind w:firstLine="706"/>
        <w:jc w:val="both"/>
      </w:pPr>
      <w:r>
        <w:rPr>
          <w:rFonts w:ascii="Times New Roman" w:hAnsi="Times New Roman"/>
          <w:sz w:val="22"/>
        </w:rPr>
        <w:t>3. СанПиН 1.2.3685-21. Гигиенические нормативы и требования к обеспечению безопасности и (или) безвредности для человека факторов среды обитания.</w:t>
      </w:r>
    </w:p>
    <w:p>
      <w:pPr>
        <w:spacing w:before="40" w:after="80" w:line="276" w:lineRule="auto"/>
        <w:ind w:firstLine="706"/>
        <w:jc w:val="both"/>
      </w:pPr>
      <w:r>
        <w:rPr>
          <w:rFonts w:ascii="Times New Roman" w:hAnsi="Times New Roman"/>
          <w:sz w:val="22"/>
        </w:rPr>
        <w:t>4. ГОСТ 12.1.046-2014. Система стандартов безопасности труда. Строительство. Нормы освещения строительных площадок.</w:t>
      </w:r>
    </w:p>
    <w:p>
      <w:pPr>
        <w:spacing w:before="40" w:after="80" w:line="276" w:lineRule="auto"/>
        <w:ind w:firstLine="706"/>
        <w:jc w:val="both"/>
      </w:pPr>
      <w:r>
        <w:rPr>
          <w:rFonts w:ascii="Times New Roman" w:hAnsi="Times New Roman"/>
          <w:sz w:val="22"/>
        </w:rPr>
        <w:t>5. ГОСТ 7.32-2017. Система стандартов по информации, библиотечному и издательскому делу. Отчет о научно-исследовательской работе. Структура и правила оформления.</w:t>
      </w:r>
    </w:p>
    <w:sectPr w:rsidR="00FC693F" w:rsidRPr="0006063C" w:rsidSect="00034616">
      <w:pgSz w:w="12240" w:h="15840"/>
      <w:pgMar w:top="1138" w:right="850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