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19A45" w14:textId="77777777" w:rsidR="00E13D86" w:rsidRDefault="009B178E">
      <w:pPr>
        <w:spacing w:after="139"/>
        <w:ind w:left="471"/>
        <w:jc w:val="center"/>
      </w:pPr>
      <w:r>
        <w:rPr>
          <w:rFonts w:ascii="Cambria" w:eastAsia="Cambria" w:hAnsi="Cambria" w:cs="Cambria"/>
          <w:sz w:val="34"/>
        </w:rPr>
        <w:t>TSQL Homework 02a</w:t>
      </w:r>
    </w:p>
    <w:p w14:paraId="33A83B68" w14:textId="77777777" w:rsidR="00E13D86" w:rsidRDefault="009B178E">
      <w:pPr>
        <w:spacing w:after="553"/>
        <w:ind w:left="471"/>
        <w:jc w:val="center"/>
      </w:pPr>
      <w:r>
        <w:rPr>
          <w:rFonts w:ascii="Cambria" w:eastAsia="Cambria" w:hAnsi="Cambria" w:cs="Cambria"/>
          <w:sz w:val="24"/>
        </w:rPr>
        <w:t>Chapter 02a, T-SQL Query Fundamentals</w:t>
      </w:r>
    </w:p>
    <w:p w14:paraId="57FBE5AA" w14:textId="77777777" w:rsidR="00E13D86" w:rsidRDefault="009B178E">
      <w:pPr>
        <w:spacing w:after="71"/>
        <w:ind w:left="-5" w:hanging="10"/>
      </w:pPr>
      <w:r>
        <w:rPr>
          <w:rFonts w:ascii="Cambria" w:eastAsia="Cambria" w:hAnsi="Cambria" w:cs="Cambria"/>
          <w:b/>
          <w:sz w:val="29"/>
        </w:rPr>
        <w:t>Readings</w:t>
      </w:r>
    </w:p>
    <w:p w14:paraId="75A67F46" w14:textId="77777777" w:rsidR="00E13D86" w:rsidRDefault="009B178E">
      <w:pPr>
        <w:spacing w:after="400" w:line="265" w:lineRule="auto"/>
        <w:ind w:left="10" w:hanging="10"/>
      </w:pPr>
      <w:r>
        <w:rPr>
          <w:rFonts w:ascii="Cambria" w:eastAsia="Cambria" w:hAnsi="Cambria" w:cs="Cambria"/>
          <w:sz w:val="20"/>
        </w:rPr>
        <w:t>Read chapter 2 of the textbook T-SQL Fundamentals, pages 27 through 49.</w:t>
      </w:r>
    </w:p>
    <w:p w14:paraId="0F6D9C70" w14:textId="77777777" w:rsidR="00E13D86" w:rsidRDefault="009B178E">
      <w:pPr>
        <w:pStyle w:val="Heading1"/>
        <w:ind w:left="-5"/>
      </w:pPr>
      <w:r>
        <w:t>Homework questions</w:t>
      </w:r>
    </w:p>
    <w:p w14:paraId="7B173FD6" w14:textId="182AA9AA" w:rsidR="00E13D86" w:rsidRPr="00176B0C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>List the order of execution of a SQL query.</w:t>
      </w:r>
    </w:p>
    <w:p w14:paraId="37BBA3EB" w14:textId="5CD04610" w:rsidR="00176B0C" w:rsidRDefault="00176B0C" w:rsidP="00176B0C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From, Where, Group By, Having, Select, Order By</w:t>
      </w:r>
    </w:p>
    <w:p w14:paraId="45F8FC10" w14:textId="7B1A998F" w:rsidR="00E13D86" w:rsidRPr="00176B0C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from </w:t>
      </w:r>
      <w:r>
        <w:rPr>
          <w:rFonts w:ascii="Cambria" w:eastAsia="Cambria" w:hAnsi="Cambria" w:cs="Cambria"/>
          <w:sz w:val="20"/>
        </w:rPr>
        <w:t>clause do?</w:t>
      </w:r>
    </w:p>
    <w:p w14:paraId="4681F1D8" w14:textId="4986925E" w:rsidR="00176B0C" w:rsidRDefault="00176B0C" w:rsidP="00176B0C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Specifies the names of the table you want to query and table operators that operate on those tables</w:t>
      </w:r>
      <w:r w:rsidR="00171AC2">
        <w:rPr>
          <w:rFonts w:ascii="Cambria" w:eastAsia="Cambria" w:hAnsi="Cambria" w:cs="Cambria"/>
          <w:sz w:val="20"/>
        </w:rPr>
        <w:t>, pulls everything from the resource</w:t>
      </w:r>
    </w:p>
    <w:p w14:paraId="7BEACD72" w14:textId="2E9CC68A" w:rsidR="00E13D86" w:rsidRPr="00176B0C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where </w:t>
      </w:r>
      <w:r>
        <w:rPr>
          <w:rFonts w:ascii="Cambria" w:eastAsia="Cambria" w:hAnsi="Cambria" w:cs="Cambria"/>
          <w:sz w:val="20"/>
        </w:rPr>
        <w:t>clause do?</w:t>
      </w:r>
    </w:p>
    <w:p w14:paraId="4F795B12" w14:textId="1D5C036F" w:rsidR="00176B0C" w:rsidRDefault="00176B0C" w:rsidP="00176B0C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Specify a logical expression to filter the rows returned by the From clause, returns rows for which the predicate evaluates to T</w:t>
      </w:r>
      <w:r w:rsidR="003B59F2">
        <w:rPr>
          <w:rFonts w:ascii="Cambria" w:eastAsia="Cambria" w:hAnsi="Cambria" w:cs="Cambria"/>
          <w:sz w:val="20"/>
        </w:rPr>
        <w:t>ru</w:t>
      </w:r>
      <w:r>
        <w:rPr>
          <w:rFonts w:ascii="Cambria" w:eastAsia="Cambria" w:hAnsi="Cambria" w:cs="Cambria"/>
          <w:sz w:val="20"/>
        </w:rPr>
        <w:t>e</w:t>
      </w:r>
    </w:p>
    <w:p w14:paraId="79D8943C" w14:textId="6D54DB20" w:rsidR="00E13D86" w:rsidRPr="00176B0C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group by </w:t>
      </w:r>
      <w:r>
        <w:rPr>
          <w:rFonts w:ascii="Cambria" w:eastAsia="Cambria" w:hAnsi="Cambria" w:cs="Cambria"/>
          <w:sz w:val="20"/>
        </w:rPr>
        <w:t>clause do?</w:t>
      </w:r>
    </w:p>
    <w:p w14:paraId="6B675881" w14:textId="66D4F7C1" w:rsidR="00176B0C" w:rsidRDefault="00176B0C" w:rsidP="00176B0C">
      <w:pPr>
        <w:spacing w:after="175" w:line="265" w:lineRule="auto"/>
        <w:ind w:left="583"/>
      </w:pPr>
      <w:r>
        <w:t>Arranges the rows returned by the previous logical query processing clause in groups</w:t>
      </w:r>
      <w:r w:rsidR="000F77BA">
        <w:t>, the groups are determined by the elements you specify, creates a series of unique groups</w:t>
      </w:r>
    </w:p>
    <w:p w14:paraId="04BBAB86" w14:textId="0DFD89AD" w:rsidR="00E13D86" w:rsidRPr="00176B0C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having </w:t>
      </w:r>
      <w:r>
        <w:rPr>
          <w:rFonts w:ascii="Cambria" w:eastAsia="Cambria" w:hAnsi="Cambria" w:cs="Cambria"/>
          <w:sz w:val="20"/>
        </w:rPr>
        <w:t>clause do?</w:t>
      </w:r>
    </w:p>
    <w:p w14:paraId="52977475" w14:textId="63E37E83" w:rsidR="00176B0C" w:rsidRDefault="00176B0C" w:rsidP="00176B0C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Discards groups that predicates evaluates to False or Unknown</w:t>
      </w:r>
    </w:p>
    <w:p w14:paraId="2EAFF28C" w14:textId="3D1CBBD0" w:rsidR="00E13D86" w:rsidRPr="00176B0C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select </w:t>
      </w:r>
      <w:r>
        <w:rPr>
          <w:rFonts w:ascii="Cambria" w:eastAsia="Cambria" w:hAnsi="Cambria" w:cs="Cambria"/>
          <w:sz w:val="20"/>
        </w:rPr>
        <w:t>clause do?</w:t>
      </w:r>
    </w:p>
    <w:p w14:paraId="125DF8E6" w14:textId="14185799" w:rsidR="00176B0C" w:rsidRDefault="00176B0C" w:rsidP="00176B0C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Specifi</w:t>
      </w:r>
      <w:r w:rsidR="0080284A">
        <w:rPr>
          <w:rFonts w:ascii="Cambria" w:eastAsia="Cambria" w:hAnsi="Cambria" w:cs="Cambria"/>
          <w:sz w:val="20"/>
        </w:rPr>
        <w:t>es the columns you want to return in the result table of the query</w:t>
      </w:r>
    </w:p>
    <w:p w14:paraId="2EF8A78C" w14:textId="297962C6" w:rsidR="00E13D86" w:rsidRPr="00176B0C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distinct </w:t>
      </w:r>
      <w:r>
        <w:rPr>
          <w:rFonts w:ascii="Cambria" w:eastAsia="Cambria" w:hAnsi="Cambria" w:cs="Cambria"/>
          <w:sz w:val="20"/>
        </w:rPr>
        <w:t>keyword do?</w:t>
      </w:r>
    </w:p>
    <w:p w14:paraId="30CF1116" w14:textId="43696FCA" w:rsidR="00176B0C" w:rsidRDefault="0080284A" w:rsidP="00176B0C">
      <w:pPr>
        <w:spacing w:after="175" w:line="265" w:lineRule="auto"/>
        <w:ind w:left="583"/>
      </w:pPr>
      <w:r>
        <w:t>Removes duplicates from the result table</w:t>
      </w:r>
    </w:p>
    <w:p w14:paraId="144072AA" w14:textId="3EF2839B" w:rsidR="00E13D86" w:rsidRPr="0080284A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order by </w:t>
      </w:r>
      <w:r>
        <w:rPr>
          <w:rFonts w:ascii="Cambria" w:eastAsia="Cambria" w:hAnsi="Cambria" w:cs="Cambria"/>
          <w:sz w:val="20"/>
        </w:rPr>
        <w:t>clause do?</w:t>
      </w:r>
    </w:p>
    <w:p w14:paraId="78AFA85F" w14:textId="671D4DB0" w:rsidR="0080284A" w:rsidRDefault="0080284A" w:rsidP="0080284A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Sorts the rows in the output</w:t>
      </w:r>
      <w:r w:rsidR="009B178E">
        <w:rPr>
          <w:rFonts w:ascii="Cambria" w:eastAsia="Cambria" w:hAnsi="Cambria" w:cs="Cambria"/>
          <w:sz w:val="20"/>
        </w:rPr>
        <w:t xml:space="preserve"> for presentation purposes</w:t>
      </w:r>
    </w:p>
    <w:p w14:paraId="077B9E35" w14:textId="156BD178" w:rsidR="00E13D86" w:rsidRPr="0080284A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299C05" wp14:editId="53532D87">
                <wp:simplePos x="0" y="0"/>
                <wp:positionH relativeFrom="page">
                  <wp:posOffset>914400</wp:posOffset>
                </wp:positionH>
                <wp:positionV relativeFrom="page">
                  <wp:posOffset>9390723</wp:posOffset>
                </wp:positionV>
                <wp:extent cx="5943600" cy="6325"/>
                <wp:effectExtent l="0" t="0" r="0" b="0"/>
                <wp:wrapTopAndBottom/>
                <wp:docPr id="580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0" style="width:468pt;height:0.498pt;position:absolute;mso-position-horizontal-relative:page;mso-position-horizontal:absolute;margin-left:72pt;mso-position-vertical-relative:page;margin-top:739.427pt;" coordsize="59436,63">
                <v:shape id="Shape 67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limit </w:t>
      </w:r>
      <w:r>
        <w:rPr>
          <w:rFonts w:ascii="Cambria" w:eastAsia="Cambria" w:hAnsi="Cambria" w:cs="Cambria"/>
          <w:sz w:val="20"/>
        </w:rPr>
        <w:t>clause do? This is not in the book.</w:t>
      </w:r>
    </w:p>
    <w:p w14:paraId="644F9519" w14:textId="02950360" w:rsidR="0080284A" w:rsidRDefault="0080284A" w:rsidP="0080284A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Used to set an upper limit on the number of tuples returned</w:t>
      </w:r>
    </w:p>
    <w:p w14:paraId="2C70FE71" w14:textId="29AF26D5" w:rsidR="00E13D86" w:rsidRPr="0080284A" w:rsidRDefault="009B178E">
      <w:pPr>
        <w:numPr>
          <w:ilvl w:val="0"/>
          <w:numId w:val="1"/>
        </w:numPr>
        <w:spacing w:after="175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does the </w:t>
      </w:r>
      <w:r>
        <w:rPr>
          <w:rFonts w:ascii="Cambria" w:eastAsia="Cambria" w:hAnsi="Cambria" w:cs="Cambria"/>
          <w:i/>
          <w:sz w:val="20"/>
        </w:rPr>
        <w:t xml:space="preserve">top </w:t>
      </w:r>
      <w:r>
        <w:rPr>
          <w:rFonts w:ascii="Cambria" w:eastAsia="Cambria" w:hAnsi="Cambria" w:cs="Cambria"/>
          <w:sz w:val="20"/>
        </w:rPr>
        <w:t>clause do?</w:t>
      </w:r>
    </w:p>
    <w:p w14:paraId="3F71929F" w14:textId="552860E9" w:rsidR="0080284A" w:rsidRDefault="0080284A" w:rsidP="0080284A">
      <w:pPr>
        <w:spacing w:after="175" w:line="265" w:lineRule="auto"/>
        <w:ind w:left="583"/>
      </w:pPr>
      <w:r>
        <w:rPr>
          <w:rFonts w:ascii="Cambria" w:eastAsia="Cambria" w:hAnsi="Cambria" w:cs="Cambria"/>
          <w:sz w:val="20"/>
        </w:rPr>
        <w:t>Used to limit the number or percentage of rows in your query returns</w:t>
      </w:r>
    </w:p>
    <w:p w14:paraId="05DE0ED2" w14:textId="629D2274" w:rsidR="00E13D86" w:rsidRPr="0080284A" w:rsidRDefault="009B178E">
      <w:pPr>
        <w:numPr>
          <w:ilvl w:val="0"/>
          <w:numId w:val="1"/>
        </w:numPr>
        <w:spacing w:after="410" w:line="265" w:lineRule="auto"/>
        <w:ind w:hanging="354"/>
      </w:pPr>
      <w:r>
        <w:rPr>
          <w:rFonts w:ascii="Cambria" w:eastAsia="Cambria" w:hAnsi="Cambria" w:cs="Cambria"/>
          <w:sz w:val="20"/>
        </w:rPr>
        <w:t xml:space="preserve">What do the </w:t>
      </w:r>
      <w:r>
        <w:rPr>
          <w:rFonts w:ascii="Cambria" w:eastAsia="Cambria" w:hAnsi="Cambria" w:cs="Cambria"/>
          <w:i/>
          <w:sz w:val="20"/>
        </w:rPr>
        <w:t xml:space="preserve">offset ...fetch ... </w:t>
      </w:r>
      <w:r>
        <w:rPr>
          <w:rFonts w:ascii="Cambria" w:eastAsia="Cambria" w:hAnsi="Cambria" w:cs="Cambria"/>
          <w:sz w:val="20"/>
        </w:rPr>
        <w:t>clauses do?</w:t>
      </w:r>
    </w:p>
    <w:p w14:paraId="413FB9DF" w14:textId="6A9F4D9A" w:rsidR="0080284A" w:rsidRDefault="0080284A" w:rsidP="0080284A">
      <w:pPr>
        <w:spacing w:after="410" w:line="265" w:lineRule="auto"/>
        <w:ind w:left="583"/>
      </w:pPr>
      <w:r>
        <w:rPr>
          <w:rFonts w:ascii="Cambria" w:eastAsia="Cambria" w:hAnsi="Cambria" w:cs="Cambria"/>
          <w:sz w:val="20"/>
        </w:rPr>
        <w:lastRenderedPageBreak/>
        <w:t>Offset you indicate how many rows to skip, Fetch you indicate how many rows to filter after the skipped rows.</w:t>
      </w:r>
    </w:p>
    <w:p w14:paraId="06B01531" w14:textId="77777777" w:rsidR="00E13D86" w:rsidRDefault="009B178E">
      <w:pPr>
        <w:spacing w:before="99" w:after="0"/>
        <w:ind w:left="471"/>
        <w:jc w:val="center"/>
      </w:pPr>
      <w:r>
        <w:rPr>
          <w:rFonts w:ascii="Cambria" w:eastAsia="Cambria" w:hAnsi="Cambria" w:cs="Cambria"/>
          <w:sz w:val="16"/>
        </w:rPr>
        <w:t>Page 1, Revised on November 3, 2019 by Charles Carter</w:t>
      </w:r>
    </w:p>
    <w:sectPr w:rsidR="00E13D86">
      <w:pgSz w:w="12240" w:h="15840"/>
      <w:pgMar w:top="1440" w:right="19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D078A"/>
    <w:multiLevelType w:val="hybridMultilevel"/>
    <w:tmpl w:val="BC546AB0"/>
    <w:lvl w:ilvl="0" w:tplc="45F64128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7CD20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38F1F6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C49A1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CA478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5A0A8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8C1F3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BC70B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9E39A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3D1DF5"/>
    <w:multiLevelType w:val="hybridMultilevel"/>
    <w:tmpl w:val="08D069D8"/>
    <w:lvl w:ilvl="0" w:tplc="19A89AC6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14092C">
      <w:start w:val="1"/>
      <w:numFmt w:val="lowerLetter"/>
      <w:lvlText w:val="%2"/>
      <w:lvlJc w:val="left"/>
      <w:pPr>
        <w:ind w:left="1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5296A4">
      <w:start w:val="1"/>
      <w:numFmt w:val="lowerRoman"/>
      <w:lvlText w:val="%3"/>
      <w:lvlJc w:val="left"/>
      <w:pPr>
        <w:ind w:left="2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6C7814">
      <w:start w:val="1"/>
      <w:numFmt w:val="decimal"/>
      <w:lvlText w:val="%4"/>
      <w:lvlJc w:val="left"/>
      <w:pPr>
        <w:ind w:left="2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6210FE">
      <w:start w:val="1"/>
      <w:numFmt w:val="lowerLetter"/>
      <w:lvlText w:val="%5"/>
      <w:lvlJc w:val="left"/>
      <w:pPr>
        <w:ind w:left="3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CEB234">
      <w:start w:val="1"/>
      <w:numFmt w:val="lowerRoman"/>
      <w:lvlText w:val="%6"/>
      <w:lvlJc w:val="left"/>
      <w:pPr>
        <w:ind w:left="4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3849E0">
      <w:start w:val="1"/>
      <w:numFmt w:val="decimal"/>
      <w:lvlText w:val="%7"/>
      <w:lvlJc w:val="left"/>
      <w:pPr>
        <w:ind w:left="49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E807E2">
      <w:start w:val="1"/>
      <w:numFmt w:val="lowerLetter"/>
      <w:lvlText w:val="%8"/>
      <w:lvlJc w:val="left"/>
      <w:pPr>
        <w:ind w:left="56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0A9910">
      <w:start w:val="1"/>
      <w:numFmt w:val="lowerRoman"/>
      <w:lvlText w:val="%9"/>
      <w:lvlJc w:val="left"/>
      <w:pPr>
        <w:ind w:left="63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86"/>
    <w:rsid w:val="000F77BA"/>
    <w:rsid w:val="00171AC2"/>
    <w:rsid w:val="00176B0C"/>
    <w:rsid w:val="003B59F2"/>
    <w:rsid w:val="0080284A"/>
    <w:rsid w:val="009B178E"/>
    <w:rsid w:val="00E1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14FD"/>
  <w15:docId w15:val="{E5D6C6D8-4107-4070-A5F7-1F4ECFCB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cp:lastModifiedBy>Nijii Daniels</cp:lastModifiedBy>
  <cp:revision>7</cp:revision>
  <dcterms:created xsi:type="dcterms:W3CDTF">2020-07-08T11:56:00Z</dcterms:created>
  <dcterms:modified xsi:type="dcterms:W3CDTF">2020-07-09T14:53:00Z</dcterms:modified>
</cp:coreProperties>
</file>