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DB639" w14:textId="0A1FCAD7" w:rsidR="00490AAD" w:rsidRDefault="00E07DD1" w:rsidP="00D14811">
      <w:pPr>
        <w:spacing w:after="0"/>
        <w:jc w:val="center"/>
        <w:rPr>
          <w:rFonts w:ascii="Times New Roman" w:hAnsi="Times New Roman" w:cs="Times New Roman"/>
          <w:sz w:val="48"/>
          <w:szCs w:val="48"/>
        </w:rPr>
      </w:pPr>
      <w:r w:rsidRPr="00E07DD1">
        <w:rPr>
          <w:rFonts w:ascii="Times New Roman" w:hAnsi="Times New Roman" w:cs="Times New Roman"/>
          <w:sz w:val="48"/>
          <w:szCs w:val="48"/>
        </w:rPr>
        <w:t>Blockchain Platform Comparison Analysis</w:t>
      </w:r>
    </w:p>
    <w:p w14:paraId="43E0FFC0" w14:textId="77777777" w:rsidR="00A97565" w:rsidRDefault="00A97565" w:rsidP="00A97565">
      <w:pPr>
        <w:spacing w:after="0"/>
        <w:rPr>
          <w:rFonts w:ascii="Times New Roman" w:hAnsi="Times New Roman" w:cs="Times New Roman"/>
          <w:sz w:val="32"/>
          <w:szCs w:val="32"/>
        </w:rPr>
      </w:pPr>
    </w:p>
    <w:p w14:paraId="3B2BC929" w14:textId="77777777" w:rsidR="00A97565" w:rsidRPr="00A97565" w:rsidRDefault="00A97565" w:rsidP="00A97565">
      <w:pPr>
        <w:spacing w:after="0"/>
        <w:rPr>
          <w:rFonts w:ascii="Times New Roman" w:hAnsi="Times New Roman" w:cs="Times New Roman"/>
          <w:sz w:val="32"/>
          <w:szCs w:val="32"/>
        </w:rPr>
      </w:pPr>
    </w:p>
    <w:tbl>
      <w:tblPr>
        <w:tblStyle w:val="TableGrid"/>
        <w:tblpPr w:leftFromText="180" w:rightFromText="180" w:vertAnchor="page" w:horzAnchor="margin" w:tblpY="3701"/>
        <w:tblW w:w="9072" w:type="dxa"/>
        <w:tblLook w:val="04A0" w:firstRow="1" w:lastRow="0" w:firstColumn="1" w:lastColumn="0" w:noHBand="0" w:noVBand="1"/>
      </w:tblPr>
      <w:tblGrid>
        <w:gridCol w:w="2268"/>
        <w:gridCol w:w="2268"/>
        <w:gridCol w:w="2268"/>
        <w:gridCol w:w="2268"/>
      </w:tblGrid>
      <w:tr w:rsidR="00A97565" w14:paraId="76C7DAF2" w14:textId="77777777" w:rsidTr="00A97565">
        <w:trPr>
          <w:trHeight w:val="850"/>
        </w:trPr>
        <w:tc>
          <w:tcPr>
            <w:tcW w:w="2268" w:type="dxa"/>
            <w:vAlign w:val="center"/>
          </w:tcPr>
          <w:p w14:paraId="4167A041" w14:textId="77777777" w:rsidR="00A97565" w:rsidRPr="002F49B2" w:rsidRDefault="00A97565" w:rsidP="00A97565">
            <w:pPr>
              <w:jc w:val="center"/>
              <w:rPr>
                <w:b/>
                <w:bCs/>
                <w:sz w:val="26"/>
                <w:szCs w:val="26"/>
              </w:rPr>
            </w:pPr>
            <w:r w:rsidRPr="002F49B2">
              <w:rPr>
                <w:b/>
                <w:bCs/>
                <w:sz w:val="26"/>
                <w:szCs w:val="26"/>
              </w:rPr>
              <w:t>Blockchain Name</w:t>
            </w:r>
          </w:p>
        </w:tc>
        <w:tc>
          <w:tcPr>
            <w:tcW w:w="2268" w:type="dxa"/>
            <w:vAlign w:val="center"/>
          </w:tcPr>
          <w:p w14:paraId="3F7BA971" w14:textId="77777777" w:rsidR="00A97565" w:rsidRPr="00A97565" w:rsidRDefault="00A97565" w:rsidP="00A97565">
            <w:pPr>
              <w:jc w:val="center"/>
              <w:rPr>
                <w:b/>
                <w:bCs/>
                <w:color w:val="00B0F0"/>
                <w:sz w:val="26"/>
                <w:szCs w:val="26"/>
              </w:rPr>
            </w:pPr>
            <w:r w:rsidRPr="00A97565">
              <w:rPr>
                <w:b/>
                <w:bCs/>
                <w:color w:val="00B0F0"/>
                <w:sz w:val="26"/>
                <w:szCs w:val="26"/>
              </w:rPr>
              <w:t>Ethereum</w:t>
            </w:r>
          </w:p>
        </w:tc>
        <w:tc>
          <w:tcPr>
            <w:tcW w:w="2268" w:type="dxa"/>
            <w:vAlign w:val="center"/>
          </w:tcPr>
          <w:p w14:paraId="06202700" w14:textId="77777777" w:rsidR="00A97565" w:rsidRPr="00A97565" w:rsidRDefault="00A97565" w:rsidP="00A97565">
            <w:pPr>
              <w:jc w:val="center"/>
              <w:rPr>
                <w:b/>
                <w:bCs/>
                <w:color w:val="00B0F0"/>
                <w:sz w:val="26"/>
                <w:szCs w:val="26"/>
              </w:rPr>
            </w:pPr>
            <w:r w:rsidRPr="00A97565">
              <w:rPr>
                <w:b/>
                <w:bCs/>
                <w:color w:val="00B0F0"/>
                <w:sz w:val="26"/>
                <w:szCs w:val="26"/>
              </w:rPr>
              <w:t>Hyperledger Fabric</w:t>
            </w:r>
          </w:p>
        </w:tc>
        <w:tc>
          <w:tcPr>
            <w:tcW w:w="2268" w:type="dxa"/>
            <w:vAlign w:val="center"/>
          </w:tcPr>
          <w:p w14:paraId="1A84E167" w14:textId="77777777" w:rsidR="00A97565" w:rsidRPr="00A97565" w:rsidRDefault="00A97565" w:rsidP="00A97565">
            <w:pPr>
              <w:jc w:val="center"/>
              <w:rPr>
                <w:b/>
                <w:bCs/>
                <w:color w:val="00B0F0"/>
                <w:sz w:val="26"/>
                <w:szCs w:val="26"/>
              </w:rPr>
            </w:pPr>
            <w:r w:rsidRPr="00A97565">
              <w:rPr>
                <w:b/>
                <w:bCs/>
                <w:color w:val="00B0F0"/>
                <w:sz w:val="26"/>
                <w:szCs w:val="26"/>
              </w:rPr>
              <w:t>R3 Corda</w:t>
            </w:r>
          </w:p>
        </w:tc>
      </w:tr>
      <w:tr w:rsidR="00A97565" w14:paraId="128378A3" w14:textId="77777777" w:rsidTr="00A97565">
        <w:trPr>
          <w:trHeight w:val="850"/>
        </w:trPr>
        <w:tc>
          <w:tcPr>
            <w:tcW w:w="2268" w:type="dxa"/>
            <w:vAlign w:val="center"/>
          </w:tcPr>
          <w:p w14:paraId="6C276E65" w14:textId="77777777" w:rsidR="00A97565" w:rsidRPr="00D14811" w:rsidRDefault="00A97565" w:rsidP="00A97565">
            <w:pPr>
              <w:jc w:val="center"/>
              <w:rPr>
                <w:b/>
                <w:bCs/>
              </w:rPr>
            </w:pPr>
            <w:r w:rsidRPr="00D14811">
              <w:rPr>
                <w:b/>
                <w:bCs/>
              </w:rPr>
              <w:t>Type</w:t>
            </w:r>
          </w:p>
        </w:tc>
        <w:tc>
          <w:tcPr>
            <w:tcW w:w="2268" w:type="dxa"/>
            <w:vAlign w:val="center"/>
          </w:tcPr>
          <w:p w14:paraId="3FC31BE4" w14:textId="77777777" w:rsidR="00A97565" w:rsidRPr="00A97565" w:rsidRDefault="00A97565" w:rsidP="00A97565">
            <w:pPr>
              <w:jc w:val="center"/>
              <w:rPr>
                <w:sz w:val="24"/>
                <w:szCs w:val="24"/>
              </w:rPr>
            </w:pPr>
            <w:r w:rsidRPr="00A97565">
              <w:rPr>
                <w:sz w:val="24"/>
                <w:szCs w:val="24"/>
              </w:rPr>
              <w:t>Public</w:t>
            </w:r>
          </w:p>
        </w:tc>
        <w:tc>
          <w:tcPr>
            <w:tcW w:w="2268" w:type="dxa"/>
            <w:vAlign w:val="center"/>
          </w:tcPr>
          <w:p w14:paraId="3B11D5C4" w14:textId="77777777" w:rsidR="00A97565" w:rsidRPr="00A97565" w:rsidRDefault="00A97565" w:rsidP="00A97565">
            <w:pPr>
              <w:jc w:val="center"/>
              <w:rPr>
                <w:sz w:val="24"/>
                <w:szCs w:val="24"/>
              </w:rPr>
            </w:pPr>
            <w:r w:rsidRPr="00A97565">
              <w:rPr>
                <w:sz w:val="24"/>
                <w:szCs w:val="24"/>
              </w:rPr>
              <w:t>Private</w:t>
            </w:r>
          </w:p>
        </w:tc>
        <w:tc>
          <w:tcPr>
            <w:tcW w:w="2268" w:type="dxa"/>
            <w:vAlign w:val="center"/>
          </w:tcPr>
          <w:p w14:paraId="3642952C" w14:textId="77777777" w:rsidR="00A97565" w:rsidRPr="00A97565" w:rsidRDefault="00A97565" w:rsidP="00A97565">
            <w:pPr>
              <w:jc w:val="center"/>
              <w:rPr>
                <w:sz w:val="24"/>
                <w:szCs w:val="24"/>
              </w:rPr>
            </w:pPr>
          </w:p>
          <w:p w14:paraId="33619213" w14:textId="77777777" w:rsidR="00A97565" w:rsidRPr="00A97565" w:rsidRDefault="00A97565" w:rsidP="00A97565">
            <w:pPr>
              <w:jc w:val="center"/>
              <w:rPr>
                <w:sz w:val="24"/>
                <w:szCs w:val="24"/>
              </w:rPr>
            </w:pPr>
            <w:r w:rsidRPr="00A97565">
              <w:rPr>
                <w:sz w:val="24"/>
                <w:szCs w:val="24"/>
              </w:rPr>
              <w:t>Consortium</w:t>
            </w:r>
          </w:p>
          <w:p w14:paraId="412DBB9E" w14:textId="77777777" w:rsidR="00A97565" w:rsidRPr="00A97565" w:rsidRDefault="00A97565" w:rsidP="00A97565">
            <w:pPr>
              <w:jc w:val="center"/>
              <w:rPr>
                <w:sz w:val="24"/>
                <w:szCs w:val="24"/>
              </w:rPr>
            </w:pPr>
          </w:p>
        </w:tc>
      </w:tr>
      <w:tr w:rsidR="00A97565" w14:paraId="37042925" w14:textId="77777777" w:rsidTr="00A97565">
        <w:trPr>
          <w:trHeight w:val="850"/>
        </w:trPr>
        <w:tc>
          <w:tcPr>
            <w:tcW w:w="2268" w:type="dxa"/>
            <w:vAlign w:val="center"/>
          </w:tcPr>
          <w:p w14:paraId="58B7CFB1" w14:textId="77777777" w:rsidR="00A97565" w:rsidRPr="00D14811" w:rsidRDefault="00A97565" w:rsidP="00A97565">
            <w:pPr>
              <w:jc w:val="center"/>
              <w:rPr>
                <w:b/>
                <w:bCs/>
              </w:rPr>
            </w:pPr>
            <w:r w:rsidRPr="00D14811">
              <w:rPr>
                <w:b/>
                <w:bCs/>
              </w:rPr>
              <w:t>Consensus Mechanism</w:t>
            </w:r>
          </w:p>
        </w:tc>
        <w:tc>
          <w:tcPr>
            <w:tcW w:w="2268" w:type="dxa"/>
            <w:vAlign w:val="center"/>
          </w:tcPr>
          <w:p w14:paraId="1EA7A846" w14:textId="77777777" w:rsidR="00A97565" w:rsidRPr="00A97565" w:rsidRDefault="00A97565" w:rsidP="00A97565">
            <w:pPr>
              <w:jc w:val="center"/>
              <w:rPr>
                <w:sz w:val="24"/>
                <w:szCs w:val="24"/>
              </w:rPr>
            </w:pPr>
            <w:r w:rsidRPr="00A97565">
              <w:rPr>
                <w:sz w:val="24"/>
                <w:szCs w:val="24"/>
              </w:rPr>
              <w:t>Proof of Stake (</w:t>
            </w:r>
            <w:proofErr w:type="spellStart"/>
            <w:r w:rsidRPr="00A97565">
              <w:rPr>
                <w:sz w:val="24"/>
                <w:szCs w:val="24"/>
              </w:rPr>
              <w:t>PoS</w:t>
            </w:r>
            <w:proofErr w:type="spellEnd"/>
            <w:r w:rsidRPr="00A97565">
              <w:rPr>
                <w:sz w:val="24"/>
                <w:szCs w:val="24"/>
              </w:rPr>
              <w:t>)</w:t>
            </w:r>
          </w:p>
          <w:p w14:paraId="20EF3948" w14:textId="77777777" w:rsidR="00A97565" w:rsidRPr="00A97565" w:rsidRDefault="00A97565" w:rsidP="00A97565">
            <w:pPr>
              <w:jc w:val="center"/>
              <w:rPr>
                <w:sz w:val="24"/>
                <w:szCs w:val="24"/>
              </w:rPr>
            </w:pPr>
          </w:p>
        </w:tc>
        <w:tc>
          <w:tcPr>
            <w:tcW w:w="2268" w:type="dxa"/>
            <w:vAlign w:val="center"/>
          </w:tcPr>
          <w:p w14:paraId="14754D4F" w14:textId="77777777" w:rsidR="00A97565" w:rsidRPr="00A97565" w:rsidRDefault="00A97565" w:rsidP="00A97565">
            <w:pPr>
              <w:jc w:val="center"/>
              <w:rPr>
                <w:sz w:val="24"/>
                <w:szCs w:val="24"/>
              </w:rPr>
            </w:pPr>
            <w:r w:rsidRPr="00A97565">
              <w:rPr>
                <w:sz w:val="24"/>
                <w:szCs w:val="24"/>
              </w:rPr>
              <w:t>Pluggable (PBFT, Raft)</w:t>
            </w:r>
          </w:p>
        </w:tc>
        <w:tc>
          <w:tcPr>
            <w:tcW w:w="2268" w:type="dxa"/>
            <w:vAlign w:val="center"/>
          </w:tcPr>
          <w:p w14:paraId="7323947B" w14:textId="77777777" w:rsidR="00A97565" w:rsidRPr="00A97565" w:rsidRDefault="00A97565" w:rsidP="00A97565">
            <w:pPr>
              <w:jc w:val="center"/>
              <w:rPr>
                <w:sz w:val="24"/>
                <w:szCs w:val="24"/>
              </w:rPr>
            </w:pPr>
            <w:r w:rsidRPr="00A97565">
              <w:rPr>
                <w:sz w:val="24"/>
                <w:szCs w:val="24"/>
              </w:rPr>
              <w:t>Notary-based consensus</w:t>
            </w:r>
          </w:p>
        </w:tc>
      </w:tr>
      <w:tr w:rsidR="00A97565" w14:paraId="10601F52" w14:textId="77777777" w:rsidTr="00A97565">
        <w:trPr>
          <w:trHeight w:val="850"/>
        </w:trPr>
        <w:tc>
          <w:tcPr>
            <w:tcW w:w="2268" w:type="dxa"/>
            <w:vAlign w:val="center"/>
          </w:tcPr>
          <w:p w14:paraId="35AB5106" w14:textId="77777777" w:rsidR="00A97565" w:rsidRPr="00D14811" w:rsidRDefault="00A97565" w:rsidP="00A97565">
            <w:pPr>
              <w:jc w:val="center"/>
              <w:rPr>
                <w:b/>
                <w:bCs/>
              </w:rPr>
            </w:pPr>
            <w:r w:rsidRPr="00D14811">
              <w:rPr>
                <w:b/>
                <w:bCs/>
              </w:rPr>
              <w:t>Permission Model</w:t>
            </w:r>
          </w:p>
        </w:tc>
        <w:tc>
          <w:tcPr>
            <w:tcW w:w="2268" w:type="dxa"/>
            <w:vAlign w:val="center"/>
          </w:tcPr>
          <w:p w14:paraId="5AE68AA9" w14:textId="77777777" w:rsidR="00A97565" w:rsidRPr="00A97565" w:rsidRDefault="00A97565" w:rsidP="00A97565">
            <w:pPr>
              <w:jc w:val="center"/>
              <w:rPr>
                <w:sz w:val="24"/>
                <w:szCs w:val="24"/>
              </w:rPr>
            </w:pPr>
            <w:r w:rsidRPr="00A97565">
              <w:rPr>
                <w:sz w:val="24"/>
                <w:szCs w:val="24"/>
              </w:rPr>
              <w:t>Open/</w:t>
            </w:r>
          </w:p>
          <w:p w14:paraId="07A24192" w14:textId="18A106BD" w:rsidR="00A97565" w:rsidRPr="00A97565" w:rsidRDefault="00A97565" w:rsidP="00A97565">
            <w:pPr>
              <w:jc w:val="center"/>
              <w:rPr>
                <w:sz w:val="24"/>
                <w:szCs w:val="24"/>
              </w:rPr>
            </w:pPr>
            <w:r w:rsidRPr="00A97565">
              <w:rPr>
                <w:sz w:val="24"/>
                <w:szCs w:val="24"/>
              </w:rPr>
              <w:t>Permissionless</w:t>
            </w:r>
          </w:p>
        </w:tc>
        <w:tc>
          <w:tcPr>
            <w:tcW w:w="2268" w:type="dxa"/>
            <w:vAlign w:val="center"/>
          </w:tcPr>
          <w:p w14:paraId="76BA2141" w14:textId="77777777" w:rsidR="00A97565" w:rsidRPr="00A97565" w:rsidRDefault="00A97565" w:rsidP="00A97565">
            <w:pPr>
              <w:jc w:val="center"/>
              <w:rPr>
                <w:sz w:val="24"/>
                <w:szCs w:val="24"/>
              </w:rPr>
            </w:pPr>
            <w:r w:rsidRPr="00A97565">
              <w:rPr>
                <w:sz w:val="24"/>
                <w:szCs w:val="24"/>
              </w:rPr>
              <w:t>Permissioned</w:t>
            </w:r>
          </w:p>
        </w:tc>
        <w:tc>
          <w:tcPr>
            <w:tcW w:w="2268" w:type="dxa"/>
            <w:vAlign w:val="center"/>
          </w:tcPr>
          <w:p w14:paraId="5D9AA2B0" w14:textId="77777777" w:rsidR="00A97565" w:rsidRPr="00A97565" w:rsidRDefault="00A97565" w:rsidP="00A97565">
            <w:pPr>
              <w:jc w:val="center"/>
              <w:rPr>
                <w:sz w:val="24"/>
                <w:szCs w:val="24"/>
              </w:rPr>
            </w:pPr>
            <w:r w:rsidRPr="00A97565">
              <w:rPr>
                <w:sz w:val="24"/>
                <w:szCs w:val="24"/>
              </w:rPr>
              <w:t>Permissioned</w:t>
            </w:r>
          </w:p>
        </w:tc>
      </w:tr>
      <w:tr w:rsidR="00A97565" w14:paraId="3A253E77" w14:textId="77777777" w:rsidTr="00A97565">
        <w:trPr>
          <w:trHeight w:val="850"/>
        </w:trPr>
        <w:tc>
          <w:tcPr>
            <w:tcW w:w="2268" w:type="dxa"/>
            <w:vAlign w:val="center"/>
          </w:tcPr>
          <w:p w14:paraId="529E370C" w14:textId="77777777" w:rsidR="00A97565" w:rsidRPr="00D14811" w:rsidRDefault="00A97565" w:rsidP="00A97565">
            <w:pPr>
              <w:jc w:val="center"/>
              <w:rPr>
                <w:b/>
                <w:bCs/>
              </w:rPr>
            </w:pPr>
            <w:r w:rsidRPr="00D14811">
              <w:rPr>
                <w:b/>
                <w:bCs/>
              </w:rPr>
              <w:t>Speed/Throughput</w:t>
            </w:r>
          </w:p>
        </w:tc>
        <w:tc>
          <w:tcPr>
            <w:tcW w:w="2268" w:type="dxa"/>
            <w:vAlign w:val="center"/>
          </w:tcPr>
          <w:p w14:paraId="546E55B6" w14:textId="748C2D8A" w:rsidR="00A97565" w:rsidRPr="00A97565" w:rsidRDefault="00A97565" w:rsidP="00A97565">
            <w:pPr>
              <w:jc w:val="center"/>
              <w:rPr>
                <w:sz w:val="24"/>
                <w:szCs w:val="24"/>
              </w:rPr>
            </w:pPr>
            <w:r w:rsidRPr="00A97565">
              <w:rPr>
                <w:sz w:val="24"/>
                <w:szCs w:val="24"/>
              </w:rPr>
              <w:t>~15 TPS</w:t>
            </w:r>
          </w:p>
        </w:tc>
        <w:tc>
          <w:tcPr>
            <w:tcW w:w="2268" w:type="dxa"/>
            <w:vAlign w:val="center"/>
          </w:tcPr>
          <w:p w14:paraId="27DB13FD" w14:textId="77777777" w:rsidR="00A97565" w:rsidRPr="00A97565" w:rsidRDefault="00A97565" w:rsidP="00A97565">
            <w:pPr>
              <w:jc w:val="center"/>
              <w:rPr>
                <w:sz w:val="24"/>
                <w:szCs w:val="24"/>
              </w:rPr>
            </w:pPr>
            <w:r w:rsidRPr="00A97565">
              <w:rPr>
                <w:sz w:val="24"/>
                <w:szCs w:val="24"/>
              </w:rPr>
              <w:t>3,500+ TPS</w:t>
            </w:r>
          </w:p>
        </w:tc>
        <w:tc>
          <w:tcPr>
            <w:tcW w:w="2268" w:type="dxa"/>
            <w:vAlign w:val="center"/>
          </w:tcPr>
          <w:p w14:paraId="1A9AA7D4" w14:textId="77777777" w:rsidR="00A97565" w:rsidRPr="00A97565" w:rsidRDefault="00A97565" w:rsidP="00A97565">
            <w:pPr>
              <w:jc w:val="center"/>
              <w:rPr>
                <w:sz w:val="24"/>
                <w:szCs w:val="24"/>
              </w:rPr>
            </w:pPr>
            <w:r w:rsidRPr="00A97565">
              <w:rPr>
                <w:sz w:val="24"/>
                <w:szCs w:val="24"/>
              </w:rPr>
              <w:t>170 TPS</w:t>
            </w:r>
          </w:p>
        </w:tc>
      </w:tr>
      <w:tr w:rsidR="00A97565" w14:paraId="65406EF8" w14:textId="77777777" w:rsidTr="00A97565">
        <w:trPr>
          <w:trHeight w:val="850"/>
        </w:trPr>
        <w:tc>
          <w:tcPr>
            <w:tcW w:w="2268" w:type="dxa"/>
            <w:vAlign w:val="center"/>
          </w:tcPr>
          <w:p w14:paraId="41DA3BE3" w14:textId="77777777" w:rsidR="00A97565" w:rsidRPr="00D14811" w:rsidRDefault="00A97565" w:rsidP="00A97565">
            <w:pPr>
              <w:jc w:val="center"/>
              <w:rPr>
                <w:b/>
                <w:bCs/>
              </w:rPr>
            </w:pPr>
            <w:r w:rsidRPr="00D14811">
              <w:rPr>
                <w:b/>
                <w:bCs/>
              </w:rPr>
              <w:t>Smart Contract Support</w:t>
            </w:r>
          </w:p>
        </w:tc>
        <w:tc>
          <w:tcPr>
            <w:tcW w:w="2268" w:type="dxa"/>
            <w:vAlign w:val="center"/>
          </w:tcPr>
          <w:p w14:paraId="6C385971" w14:textId="77777777" w:rsidR="00A97565" w:rsidRPr="00A97565" w:rsidRDefault="00A97565" w:rsidP="00A97565">
            <w:pPr>
              <w:jc w:val="center"/>
              <w:rPr>
                <w:sz w:val="24"/>
                <w:szCs w:val="24"/>
              </w:rPr>
            </w:pPr>
            <w:r w:rsidRPr="00A97565">
              <w:rPr>
                <w:sz w:val="24"/>
                <w:szCs w:val="24"/>
              </w:rPr>
              <w:t xml:space="preserve">Yes - Solidity, </w:t>
            </w:r>
            <w:proofErr w:type="spellStart"/>
            <w:r w:rsidRPr="00A97565">
              <w:rPr>
                <w:sz w:val="24"/>
                <w:szCs w:val="24"/>
              </w:rPr>
              <w:t>Vyper</w:t>
            </w:r>
            <w:proofErr w:type="spellEnd"/>
          </w:p>
        </w:tc>
        <w:tc>
          <w:tcPr>
            <w:tcW w:w="2268" w:type="dxa"/>
            <w:vAlign w:val="center"/>
          </w:tcPr>
          <w:p w14:paraId="48CC260F" w14:textId="77777777" w:rsidR="00A97565" w:rsidRPr="00A97565" w:rsidRDefault="00A97565" w:rsidP="00A97565">
            <w:pPr>
              <w:jc w:val="center"/>
              <w:rPr>
                <w:sz w:val="24"/>
                <w:szCs w:val="24"/>
              </w:rPr>
            </w:pPr>
            <w:r w:rsidRPr="00A97565">
              <w:rPr>
                <w:sz w:val="24"/>
                <w:szCs w:val="24"/>
              </w:rPr>
              <w:t>Yes - Go, Node.js, Java</w:t>
            </w:r>
          </w:p>
        </w:tc>
        <w:tc>
          <w:tcPr>
            <w:tcW w:w="2268" w:type="dxa"/>
            <w:vAlign w:val="center"/>
          </w:tcPr>
          <w:p w14:paraId="5ADCD767" w14:textId="77777777" w:rsidR="00A97565" w:rsidRPr="00A97565" w:rsidRDefault="00A97565" w:rsidP="00A97565">
            <w:pPr>
              <w:jc w:val="center"/>
              <w:rPr>
                <w:sz w:val="24"/>
                <w:szCs w:val="24"/>
              </w:rPr>
            </w:pPr>
            <w:r w:rsidRPr="00A97565">
              <w:rPr>
                <w:sz w:val="24"/>
                <w:szCs w:val="24"/>
              </w:rPr>
              <w:t>Yes - Kotlin, Java</w:t>
            </w:r>
          </w:p>
        </w:tc>
      </w:tr>
      <w:tr w:rsidR="00A97565" w14:paraId="3B949DBA" w14:textId="77777777" w:rsidTr="00A97565">
        <w:trPr>
          <w:trHeight w:val="850"/>
        </w:trPr>
        <w:tc>
          <w:tcPr>
            <w:tcW w:w="2268" w:type="dxa"/>
            <w:vAlign w:val="center"/>
          </w:tcPr>
          <w:p w14:paraId="73EE1727" w14:textId="77777777" w:rsidR="00A97565" w:rsidRPr="00D14811" w:rsidRDefault="00A97565" w:rsidP="00A97565">
            <w:pPr>
              <w:jc w:val="center"/>
              <w:rPr>
                <w:b/>
                <w:bCs/>
              </w:rPr>
            </w:pPr>
            <w:r w:rsidRPr="00D14811">
              <w:rPr>
                <w:b/>
                <w:bCs/>
              </w:rPr>
              <w:t>Token Support</w:t>
            </w:r>
          </w:p>
        </w:tc>
        <w:tc>
          <w:tcPr>
            <w:tcW w:w="2268" w:type="dxa"/>
            <w:vAlign w:val="center"/>
          </w:tcPr>
          <w:p w14:paraId="0FFB2510" w14:textId="77777777" w:rsidR="00A97565" w:rsidRPr="00A97565" w:rsidRDefault="00A97565" w:rsidP="00A97565">
            <w:pPr>
              <w:jc w:val="center"/>
              <w:rPr>
                <w:sz w:val="24"/>
                <w:szCs w:val="24"/>
              </w:rPr>
            </w:pPr>
            <w:r w:rsidRPr="00A97565">
              <w:rPr>
                <w:sz w:val="24"/>
                <w:szCs w:val="24"/>
              </w:rPr>
              <w:t>Native (ETH) + ERC tokens</w:t>
            </w:r>
          </w:p>
        </w:tc>
        <w:tc>
          <w:tcPr>
            <w:tcW w:w="2268" w:type="dxa"/>
            <w:vAlign w:val="center"/>
          </w:tcPr>
          <w:p w14:paraId="30C98DE3" w14:textId="77777777" w:rsidR="00A97565" w:rsidRPr="00A97565" w:rsidRDefault="00A97565" w:rsidP="00A97565">
            <w:pPr>
              <w:jc w:val="center"/>
              <w:rPr>
                <w:sz w:val="24"/>
                <w:szCs w:val="24"/>
              </w:rPr>
            </w:pPr>
            <w:r w:rsidRPr="00A97565">
              <w:rPr>
                <w:sz w:val="24"/>
                <w:szCs w:val="24"/>
              </w:rPr>
              <w:t>No native token</w:t>
            </w:r>
          </w:p>
        </w:tc>
        <w:tc>
          <w:tcPr>
            <w:tcW w:w="2268" w:type="dxa"/>
            <w:vAlign w:val="center"/>
          </w:tcPr>
          <w:p w14:paraId="3F550459" w14:textId="77777777" w:rsidR="00A97565" w:rsidRPr="00A97565" w:rsidRDefault="00A97565" w:rsidP="00A97565">
            <w:pPr>
              <w:jc w:val="center"/>
              <w:rPr>
                <w:sz w:val="24"/>
                <w:szCs w:val="24"/>
              </w:rPr>
            </w:pPr>
            <w:r w:rsidRPr="00A97565">
              <w:rPr>
                <w:sz w:val="24"/>
                <w:szCs w:val="24"/>
              </w:rPr>
              <w:t>No native token</w:t>
            </w:r>
          </w:p>
        </w:tc>
      </w:tr>
      <w:tr w:rsidR="00A97565" w14:paraId="1E15C7CA" w14:textId="77777777" w:rsidTr="00A97565">
        <w:trPr>
          <w:trHeight w:val="850"/>
        </w:trPr>
        <w:tc>
          <w:tcPr>
            <w:tcW w:w="2268" w:type="dxa"/>
            <w:vAlign w:val="center"/>
          </w:tcPr>
          <w:p w14:paraId="4F73C8C7" w14:textId="77777777" w:rsidR="00A97565" w:rsidRPr="00D14811" w:rsidRDefault="00A97565" w:rsidP="00A97565">
            <w:pPr>
              <w:jc w:val="center"/>
              <w:rPr>
                <w:b/>
                <w:bCs/>
              </w:rPr>
            </w:pPr>
            <w:r w:rsidRPr="00D14811">
              <w:rPr>
                <w:b/>
                <w:bCs/>
              </w:rPr>
              <w:t>Typical Use Case</w:t>
            </w:r>
          </w:p>
        </w:tc>
        <w:tc>
          <w:tcPr>
            <w:tcW w:w="2268" w:type="dxa"/>
            <w:vAlign w:val="center"/>
          </w:tcPr>
          <w:p w14:paraId="27EA5CD3" w14:textId="77777777" w:rsidR="00A97565" w:rsidRPr="00A97565" w:rsidRDefault="00A97565" w:rsidP="00A97565">
            <w:pPr>
              <w:jc w:val="center"/>
              <w:rPr>
                <w:sz w:val="24"/>
                <w:szCs w:val="24"/>
              </w:rPr>
            </w:pPr>
            <w:r w:rsidRPr="00A97565">
              <w:rPr>
                <w:sz w:val="24"/>
                <w:szCs w:val="24"/>
              </w:rPr>
              <w:t xml:space="preserve">DeFi, NFTs, </w:t>
            </w:r>
            <w:proofErr w:type="spellStart"/>
            <w:r w:rsidRPr="00A97565">
              <w:rPr>
                <w:sz w:val="24"/>
                <w:szCs w:val="24"/>
              </w:rPr>
              <w:t>DApps</w:t>
            </w:r>
            <w:proofErr w:type="spellEnd"/>
          </w:p>
        </w:tc>
        <w:tc>
          <w:tcPr>
            <w:tcW w:w="2268" w:type="dxa"/>
            <w:vAlign w:val="center"/>
          </w:tcPr>
          <w:p w14:paraId="64F7DF05" w14:textId="77777777" w:rsidR="00A97565" w:rsidRPr="00A97565" w:rsidRDefault="00A97565" w:rsidP="00A97565">
            <w:pPr>
              <w:jc w:val="center"/>
              <w:rPr>
                <w:sz w:val="24"/>
                <w:szCs w:val="24"/>
              </w:rPr>
            </w:pPr>
            <w:r w:rsidRPr="00A97565">
              <w:rPr>
                <w:sz w:val="24"/>
                <w:szCs w:val="24"/>
              </w:rPr>
              <w:t>Enterprise solutions, supply chain</w:t>
            </w:r>
          </w:p>
        </w:tc>
        <w:tc>
          <w:tcPr>
            <w:tcW w:w="2268" w:type="dxa"/>
            <w:vAlign w:val="center"/>
          </w:tcPr>
          <w:p w14:paraId="1433B0E4" w14:textId="77777777" w:rsidR="00A97565" w:rsidRPr="00A97565" w:rsidRDefault="00A97565" w:rsidP="00A97565">
            <w:pPr>
              <w:jc w:val="center"/>
              <w:rPr>
                <w:sz w:val="24"/>
                <w:szCs w:val="24"/>
              </w:rPr>
            </w:pPr>
            <w:r w:rsidRPr="00A97565">
              <w:rPr>
                <w:sz w:val="24"/>
                <w:szCs w:val="24"/>
              </w:rPr>
              <w:t>Financial services, trade finance</w:t>
            </w:r>
          </w:p>
        </w:tc>
      </w:tr>
      <w:tr w:rsidR="00A97565" w14:paraId="27507E5B" w14:textId="77777777" w:rsidTr="00A97565">
        <w:trPr>
          <w:trHeight w:val="850"/>
        </w:trPr>
        <w:tc>
          <w:tcPr>
            <w:tcW w:w="2268" w:type="dxa"/>
            <w:vAlign w:val="center"/>
          </w:tcPr>
          <w:p w14:paraId="449E4342" w14:textId="77777777" w:rsidR="00A97565" w:rsidRPr="00D14811" w:rsidRDefault="00A97565" w:rsidP="00A97565">
            <w:pPr>
              <w:jc w:val="center"/>
              <w:rPr>
                <w:b/>
                <w:bCs/>
              </w:rPr>
            </w:pPr>
            <w:r w:rsidRPr="00D14811">
              <w:rPr>
                <w:b/>
                <w:bCs/>
              </w:rPr>
              <w:t>Notable Technical Feature</w:t>
            </w:r>
          </w:p>
        </w:tc>
        <w:tc>
          <w:tcPr>
            <w:tcW w:w="2268" w:type="dxa"/>
            <w:vAlign w:val="center"/>
          </w:tcPr>
          <w:p w14:paraId="068721A2" w14:textId="77777777" w:rsidR="00A97565" w:rsidRPr="00A97565" w:rsidRDefault="00A97565" w:rsidP="00A97565">
            <w:pPr>
              <w:jc w:val="center"/>
              <w:rPr>
                <w:sz w:val="24"/>
                <w:szCs w:val="24"/>
              </w:rPr>
            </w:pPr>
            <w:r w:rsidRPr="00A97565">
              <w:rPr>
                <w:sz w:val="24"/>
                <w:szCs w:val="24"/>
              </w:rPr>
              <w:t>EVM compatibility, largest developer ecosystem</w:t>
            </w:r>
          </w:p>
        </w:tc>
        <w:tc>
          <w:tcPr>
            <w:tcW w:w="2268" w:type="dxa"/>
            <w:vAlign w:val="center"/>
          </w:tcPr>
          <w:p w14:paraId="0921F17D" w14:textId="77777777" w:rsidR="00A97565" w:rsidRPr="00A97565" w:rsidRDefault="00A97565" w:rsidP="00A97565">
            <w:pPr>
              <w:jc w:val="center"/>
              <w:rPr>
                <w:sz w:val="24"/>
                <w:szCs w:val="24"/>
              </w:rPr>
            </w:pPr>
            <w:r w:rsidRPr="00A97565">
              <w:rPr>
                <w:sz w:val="24"/>
                <w:szCs w:val="24"/>
              </w:rPr>
              <w:t>Modular architecture, channels for privacy</w:t>
            </w:r>
          </w:p>
        </w:tc>
        <w:tc>
          <w:tcPr>
            <w:tcW w:w="2268" w:type="dxa"/>
            <w:vAlign w:val="center"/>
          </w:tcPr>
          <w:p w14:paraId="7639ED46" w14:textId="77777777" w:rsidR="00A97565" w:rsidRPr="00A97565" w:rsidRDefault="00A97565" w:rsidP="00A97565">
            <w:pPr>
              <w:jc w:val="center"/>
              <w:rPr>
                <w:sz w:val="24"/>
                <w:szCs w:val="24"/>
              </w:rPr>
            </w:pPr>
            <w:r w:rsidRPr="00A97565">
              <w:rPr>
                <w:sz w:val="24"/>
                <w:szCs w:val="24"/>
              </w:rPr>
              <w:t>UTXO model, point-to-point transactions</w:t>
            </w:r>
          </w:p>
        </w:tc>
      </w:tr>
    </w:tbl>
    <w:p w14:paraId="4DCAA36B" w14:textId="70CBB224" w:rsidR="00A97565" w:rsidRPr="002F49B2" w:rsidRDefault="00A97565" w:rsidP="00A97565">
      <w:pPr>
        <w:spacing w:after="0"/>
        <w:rPr>
          <w:rFonts w:ascii="Times New Roman" w:hAnsi="Times New Roman" w:cs="Times New Roman"/>
          <w:b/>
          <w:bCs/>
          <w:color w:val="0070C0"/>
          <w:sz w:val="32"/>
          <w:szCs w:val="32"/>
        </w:rPr>
      </w:pPr>
      <w:r w:rsidRPr="002F49B2">
        <w:rPr>
          <w:rFonts w:ascii="Times New Roman" w:hAnsi="Times New Roman" w:cs="Times New Roman"/>
          <w:b/>
          <w:bCs/>
          <w:color w:val="0070C0"/>
          <w:sz w:val="32"/>
          <w:szCs w:val="32"/>
        </w:rPr>
        <w:t xml:space="preserve">1. Platform Comparison Table – </w:t>
      </w:r>
    </w:p>
    <w:p w14:paraId="1EB75D50" w14:textId="77777777" w:rsidR="00A97565" w:rsidRDefault="00A97565" w:rsidP="00A97565">
      <w:pPr>
        <w:spacing w:after="0"/>
        <w:rPr>
          <w:rFonts w:ascii="Times New Roman" w:hAnsi="Times New Roman" w:cs="Times New Roman"/>
          <w:color w:val="0070C0"/>
          <w:sz w:val="32"/>
          <w:szCs w:val="32"/>
        </w:rPr>
      </w:pPr>
    </w:p>
    <w:p w14:paraId="458ACD2D" w14:textId="77777777" w:rsidR="00A97565" w:rsidRDefault="00A97565" w:rsidP="00A97565">
      <w:pPr>
        <w:spacing w:after="0"/>
        <w:rPr>
          <w:rFonts w:ascii="Times New Roman" w:hAnsi="Times New Roman" w:cs="Times New Roman"/>
          <w:color w:val="0070C0"/>
          <w:sz w:val="32"/>
          <w:szCs w:val="32"/>
        </w:rPr>
      </w:pPr>
    </w:p>
    <w:p w14:paraId="36173DB4" w14:textId="77777777" w:rsidR="00A97565" w:rsidRDefault="00A97565" w:rsidP="00A97565">
      <w:pPr>
        <w:spacing w:after="0"/>
        <w:rPr>
          <w:rFonts w:ascii="Times New Roman" w:hAnsi="Times New Roman" w:cs="Times New Roman"/>
          <w:color w:val="0070C0"/>
          <w:sz w:val="32"/>
          <w:szCs w:val="32"/>
        </w:rPr>
      </w:pPr>
    </w:p>
    <w:p w14:paraId="6CEEE563" w14:textId="16892DD6" w:rsidR="00A97565" w:rsidRPr="002F49B2" w:rsidRDefault="00A97565" w:rsidP="00A97565">
      <w:pPr>
        <w:spacing w:after="0"/>
        <w:rPr>
          <w:rFonts w:ascii="Times New Roman" w:hAnsi="Times New Roman" w:cs="Times New Roman"/>
          <w:b/>
          <w:bCs/>
          <w:color w:val="0070C0"/>
          <w:sz w:val="32"/>
          <w:szCs w:val="32"/>
        </w:rPr>
      </w:pPr>
      <w:r w:rsidRPr="002F49B2">
        <w:rPr>
          <w:rFonts w:ascii="Times New Roman" w:hAnsi="Times New Roman" w:cs="Times New Roman"/>
          <w:b/>
          <w:bCs/>
          <w:color w:val="0070C0"/>
          <w:sz w:val="32"/>
          <w:szCs w:val="32"/>
        </w:rPr>
        <w:t>2. Technical Capabilities Analysis</w:t>
      </w:r>
    </w:p>
    <w:p w14:paraId="2EA30C8E" w14:textId="76C88D1B" w:rsidR="00A97565" w:rsidRDefault="00A97565" w:rsidP="00A97565">
      <w:pPr>
        <w:spacing w:after="0"/>
        <w:rPr>
          <w:rFonts w:ascii="Times New Roman" w:hAnsi="Times New Roman" w:cs="Times New Roman"/>
          <w:color w:val="0070C0"/>
          <w:sz w:val="32"/>
          <w:szCs w:val="32"/>
        </w:rPr>
      </w:pPr>
    </w:p>
    <w:p w14:paraId="33835A99" w14:textId="4AD0B347" w:rsidR="002F49B2" w:rsidRPr="002F49B2" w:rsidRDefault="002F49B2" w:rsidP="002F49B2">
      <w:pPr>
        <w:spacing w:after="0"/>
        <w:rPr>
          <w:rFonts w:ascii="Times New Roman" w:hAnsi="Times New Roman" w:cs="Times New Roman"/>
          <w:b/>
          <w:bCs/>
          <w:color w:val="00B0F0"/>
          <w:sz w:val="28"/>
          <w:szCs w:val="28"/>
        </w:rPr>
      </w:pPr>
      <w:proofErr w:type="spellStart"/>
      <w:r>
        <w:rPr>
          <w:rFonts w:ascii="Times New Roman" w:hAnsi="Times New Roman" w:cs="Times New Roman"/>
          <w:b/>
          <w:bCs/>
          <w:color w:val="00B0F0"/>
          <w:sz w:val="28"/>
          <w:szCs w:val="28"/>
        </w:rPr>
        <w:t>i</w:t>
      </w:r>
      <w:proofErr w:type="spellEnd"/>
      <w:r>
        <w:rPr>
          <w:rFonts w:ascii="Times New Roman" w:hAnsi="Times New Roman" w:cs="Times New Roman"/>
          <w:b/>
          <w:bCs/>
          <w:color w:val="00B0F0"/>
          <w:sz w:val="28"/>
          <w:szCs w:val="28"/>
        </w:rPr>
        <w:t xml:space="preserve">. </w:t>
      </w:r>
      <w:r w:rsidR="00A97565" w:rsidRPr="002F49B2">
        <w:rPr>
          <w:rFonts w:ascii="Times New Roman" w:hAnsi="Times New Roman" w:cs="Times New Roman"/>
          <w:b/>
          <w:bCs/>
          <w:color w:val="00B0F0"/>
          <w:sz w:val="28"/>
          <w:szCs w:val="28"/>
        </w:rPr>
        <w:t>Ethereum</w:t>
      </w:r>
      <w:r w:rsidR="00F709B8">
        <w:rPr>
          <w:rFonts w:ascii="Times New Roman" w:hAnsi="Times New Roman" w:cs="Times New Roman"/>
          <w:b/>
          <w:bCs/>
          <w:color w:val="00B0F0"/>
          <w:sz w:val="28"/>
          <w:szCs w:val="28"/>
        </w:rPr>
        <w:t xml:space="preserve">: </w:t>
      </w:r>
    </w:p>
    <w:p w14:paraId="6149E71E" w14:textId="77777777" w:rsidR="002F49B2" w:rsidRDefault="002F49B2" w:rsidP="00A97565">
      <w:pPr>
        <w:spacing w:after="0"/>
        <w:rPr>
          <w:rFonts w:ascii="Times New Roman" w:hAnsi="Times New Roman" w:cs="Times New Roman"/>
          <w:sz w:val="24"/>
          <w:szCs w:val="24"/>
        </w:rPr>
      </w:pPr>
    </w:p>
    <w:p w14:paraId="6ABCEEAA" w14:textId="51C07913" w:rsidR="00FC194D" w:rsidRDefault="00FC194D" w:rsidP="00F709B8">
      <w:pPr>
        <w:spacing w:after="0"/>
        <w:jc w:val="both"/>
        <w:rPr>
          <w:rFonts w:ascii="Times New Roman" w:hAnsi="Times New Roman" w:cs="Times New Roman"/>
          <w:sz w:val="24"/>
          <w:szCs w:val="24"/>
        </w:rPr>
      </w:pPr>
      <w:r w:rsidRPr="00FC194D">
        <w:rPr>
          <w:rFonts w:ascii="Times New Roman" w:hAnsi="Times New Roman" w:cs="Times New Roman"/>
          <w:b/>
          <w:bCs/>
          <w:sz w:val="24"/>
          <w:szCs w:val="24"/>
        </w:rPr>
        <w:t>Architecture &amp; Consensus:</w:t>
      </w:r>
      <w:r w:rsidRPr="00FC194D">
        <w:rPr>
          <w:rFonts w:ascii="Times New Roman" w:hAnsi="Times New Roman" w:cs="Times New Roman"/>
          <w:sz w:val="24"/>
          <w:szCs w:val="24"/>
        </w:rPr>
        <w:t xml:space="preserve"> Ethereum operates on a fully decentralized network with Proof of Stake consensus, utilizing validators who stake ETH to secure the network. The Ethereum Virtual Machine (EVM) provides a Turing-complete execution environment, enabling complex smart contracts. Layer 2 solutions like Polygon and Optimism address scalability through </w:t>
      </w:r>
      <w:r w:rsidRPr="00FC194D">
        <w:rPr>
          <w:rFonts w:ascii="Times New Roman" w:hAnsi="Times New Roman" w:cs="Times New Roman"/>
          <w:sz w:val="24"/>
          <w:szCs w:val="24"/>
        </w:rPr>
        <w:lastRenderedPageBreak/>
        <w:t>rollup technology, increasing effective throughput to thousands of TPS while maintaining security.</w:t>
      </w:r>
    </w:p>
    <w:p w14:paraId="547DB88A" w14:textId="77777777" w:rsidR="00FC194D" w:rsidRPr="00FC194D" w:rsidRDefault="00FC194D" w:rsidP="00F709B8">
      <w:pPr>
        <w:spacing w:after="0"/>
        <w:jc w:val="both"/>
        <w:rPr>
          <w:rFonts w:ascii="Times New Roman" w:hAnsi="Times New Roman" w:cs="Times New Roman"/>
          <w:sz w:val="24"/>
          <w:szCs w:val="24"/>
        </w:rPr>
      </w:pPr>
    </w:p>
    <w:p w14:paraId="6D1CE7F1" w14:textId="77777777" w:rsidR="00FC194D" w:rsidRDefault="00FC194D" w:rsidP="00F709B8">
      <w:pPr>
        <w:spacing w:after="0"/>
        <w:jc w:val="both"/>
        <w:rPr>
          <w:rFonts w:ascii="Times New Roman" w:hAnsi="Times New Roman" w:cs="Times New Roman"/>
          <w:sz w:val="24"/>
          <w:szCs w:val="24"/>
        </w:rPr>
      </w:pPr>
      <w:r w:rsidRPr="00FC194D">
        <w:rPr>
          <w:rFonts w:ascii="Times New Roman" w:hAnsi="Times New Roman" w:cs="Times New Roman"/>
          <w:b/>
          <w:bCs/>
          <w:sz w:val="24"/>
          <w:szCs w:val="24"/>
        </w:rPr>
        <w:t>Development Ecosystem:</w:t>
      </w:r>
      <w:r w:rsidRPr="00FC194D">
        <w:rPr>
          <w:rFonts w:ascii="Times New Roman" w:hAnsi="Times New Roman" w:cs="Times New Roman"/>
          <w:sz w:val="24"/>
          <w:szCs w:val="24"/>
        </w:rPr>
        <w:t xml:space="preserve"> The platform boasts the most mature development environment with comprehensive tooling including Remix IDE, Truffle, and Hardhat. Smart contracts are primarily written in Solidity, with extensive libraries like </w:t>
      </w:r>
      <w:proofErr w:type="spellStart"/>
      <w:r w:rsidRPr="00FC194D">
        <w:rPr>
          <w:rFonts w:ascii="Times New Roman" w:hAnsi="Times New Roman" w:cs="Times New Roman"/>
          <w:sz w:val="24"/>
          <w:szCs w:val="24"/>
        </w:rPr>
        <w:t>OpenZeppelin</w:t>
      </w:r>
      <w:proofErr w:type="spellEnd"/>
      <w:r w:rsidRPr="00FC194D">
        <w:rPr>
          <w:rFonts w:ascii="Times New Roman" w:hAnsi="Times New Roman" w:cs="Times New Roman"/>
          <w:sz w:val="24"/>
          <w:szCs w:val="24"/>
        </w:rPr>
        <w:t xml:space="preserve"> providing battle-tested security patterns. The platform supports multiple token standards (ERC-20, ERC-721, ERC-1155) enabling diverse tokenization models.</w:t>
      </w:r>
    </w:p>
    <w:p w14:paraId="61FD0DD9" w14:textId="77777777" w:rsidR="00FC194D" w:rsidRPr="00FC194D" w:rsidRDefault="00FC194D" w:rsidP="00F709B8">
      <w:pPr>
        <w:spacing w:after="0"/>
        <w:jc w:val="both"/>
        <w:rPr>
          <w:rFonts w:ascii="Times New Roman" w:hAnsi="Times New Roman" w:cs="Times New Roman"/>
          <w:sz w:val="24"/>
          <w:szCs w:val="24"/>
        </w:rPr>
      </w:pPr>
    </w:p>
    <w:p w14:paraId="7E7C2BA1" w14:textId="0B67269D" w:rsidR="00206CA2" w:rsidRDefault="00FC194D" w:rsidP="00F709B8">
      <w:pPr>
        <w:spacing w:after="0"/>
        <w:jc w:val="both"/>
        <w:rPr>
          <w:rFonts w:ascii="Times New Roman" w:hAnsi="Times New Roman" w:cs="Times New Roman"/>
          <w:sz w:val="24"/>
          <w:szCs w:val="24"/>
        </w:rPr>
      </w:pPr>
      <w:r w:rsidRPr="00FC194D">
        <w:rPr>
          <w:rFonts w:ascii="Times New Roman" w:hAnsi="Times New Roman" w:cs="Times New Roman"/>
          <w:b/>
          <w:bCs/>
          <w:sz w:val="24"/>
          <w:szCs w:val="24"/>
        </w:rPr>
        <w:t>Limitations:</w:t>
      </w:r>
      <w:r w:rsidRPr="00FC194D">
        <w:rPr>
          <w:rFonts w:ascii="Times New Roman" w:hAnsi="Times New Roman" w:cs="Times New Roman"/>
          <w:sz w:val="24"/>
          <w:szCs w:val="24"/>
        </w:rPr>
        <w:t xml:space="preserve"> Base layer scalability remains constrained at ~15 TPS, leading to network congestion and high gas fees during peak usage. The permissionless nature, while promoting decentralization, can introduce security risks from malicious actors and makes governance challenging.</w:t>
      </w:r>
    </w:p>
    <w:p w14:paraId="4AE532CC" w14:textId="77777777" w:rsidR="00F709B8" w:rsidRDefault="00F709B8" w:rsidP="00A97565">
      <w:pPr>
        <w:spacing w:after="0"/>
        <w:rPr>
          <w:rFonts w:ascii="Times New Roman" w:hAnsi="Times New Roman" w:cs="Times New Roman"/>
          <w:sz w:val="24"/>
          <w:szCs w:val="24"/>
        </w:rPr>
      </w:pPr>
    </w:p>
    <w:p w14:paraId="67D8F624" w14:textId="4E657DE8" w:rsidR="00F709B8" w:rsidRDefault="00206CA2" w:rsidP="00F709B8">
      <w:pPr>
        <w:spacing w:after="0"/>
        <w:jc w:val="center"/>
        <w:rPr>
          <w:rFonts w:ascii="Times New Roman" w:hAnsi="Times New Roman" w:cs="Times New Roman"/>
          <w:sz w:val="24"/>
          <w:szCs w:val="24"/>
        </w:rPr>
      </w:pPr>
      <w:r>
        <w:rPr>
          <w:noProof/>
        </w:rPr>
        <w:drawing>
          <wp:inline distT="0" distB="0" distL="0" distR="0" wp14:anchorId="57D9B5A2" wp14:editId="680B0C2A">
            <wp:extent cx="1187450" cy="1187450"/>
            <wp:effectExtent l="0" t="0" r="0" b="0"/>
            <wp:docPr id="88220809" name="Picture 1" descr="Buy Ethereum ETH at the best price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Ethereum ETH at the best price 10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2755" cy="1192755"/>
                    </a:xfrm>
                    <a:prstGeom prst="rect">
                      <a:avLst/>
                    </a:prstGeom>
                    <a:noFill/>
                    <a:ln>
                      <a:noFill/>
                    </a:ln>
                  </pic:spPr>
                </pic:pic>
              </a:graphicData>
            </a:graphic>
          </wp:inline>
        </w:drawing>
      </w:r>
    </w:p>
    <w:p w14:paraId="4BE0D563" w14:textId="77777777" w:rsidR="00F709B8" w:rsidRDefault="00F709B8" w:rsidP="00F709B8">
      <w:pPr>
        <w:spacing w:after="0"/>
        <w:jc w:val="center"/>
        <w:rPr>
          <w:rFonts w:ascii="Times New Roman" w:hAnsi="Times New Roman" w:cs="Times New Roman"/>
          <w:sz w:val="24"/>
          <w:szCs w:val="24"/>
        </w:rPr>
      </w:pPr>
    </w:p>
    <w:p w14:paraId="37C3F345" w14:textId="77777777" w:rsidR="00F709B8" w:rsidRDefault="00F709B8" w:rsidP="00F709B8">
      <w:pPr>
        <w:spacing w:after="0"/>
        <w:jc w:val="center"/>
        <w:rPr>
          <w:rFonts w:ascii="Times New Roman" w:hAnsi="Times New Roman" w:cs="Times New Roman"/>
          <w:sz w:val="24"/>
          <w:szCs w:val="24"/>
        </w:rPr>
      </w:pPr>
    </w:p>
    <w:p w14:paraId="298102EF" w14:textId="77777777" w:rsidR="00A97565" w:rsidRPr="00A97565" w:rsidRDefault="00A97565" w:rsidP="00A97565">
      <w:pPr>
        <w:spacing w:after="0"/>
        <w:rPr>
          <w:rFonts w:ascii="Times New Roman" w:hAnsi="Times New Roman" w:cs="Times New Roman"/>
          <w:sz w:val="24"/>
          <w:szCs w:val="24"/>
        </w:rPr>
      </w:pPr>
    </w:p>
    <w:p w14:paraId="30163785" w14:textId="4E1972BF" w:rsidR="002F49B2" w:rsidRDefault="002F49B2" w:rsidP="00A97565">
      <w:pPr>
        <w:spacing w:after="0"/>
        <w:rPr>
          <w:rFonts w:ascii="Times New Roman" w:hAnsi="Times New Roman" w:cs="Times New Roman"/>
          <w:b/>
          <w:bCs/>
          <w:color w:val="00B0F0"/>
          <w:sz w:val="28"/>
          <w:szCs w:val="28"/>
        </w:rPr>
      </w:pPr>
      <w:r>
        <w:rPr>
          <w:rFonts w:ascii="Times New Roman" w:hAnsi="Times New Roman" w:cs="Times New Roman"/>
          <w:b/>
          <w:bCs/>
          <w:color w:val="00B0F0"/>
          <w:sz w:val="28"/>
          <w:szCs w:val="28"/>
        </w:rPr>
        <w:t xml:space="preserve">ii. </w:t>
      </w:r>
      <w:r w:rsidR="00A97565" w:rsidRPr="00A97565">
        <w:rPr>
          <w:rFonts w:ascii="Times New Roman" w:hAnsi="Times New Roman" w:cs="Times New Roman"/>
          <w:b/>
          <w:bCs/>
          <w:color w:val="00B0F0"/>
          <w:sz w:val="28"/>
          <w:szCs w:val="28"/>
        </w:rPr>
        <w:t>Hyperledger Fabric</w:t>
      </w:r>
      <w:r w:rsidR="00F709B8">
        <w:rPr>
          <w:rFonts w:ascii="Times New Roman" w:hAnsi="Times New Roman" w:cs="Times New Roman"/>
          <w:b/>
          <w:bCs/>
          <w:color w:val="00B0F0"/>
          <w:sz w:val="28"/>
          <w:szCs w:val="28"/>
        </w:rPr>
        <w:t xml:space="preserve">: </w:t>
      </w:r>
    </w:p>
    <w:p w14:paraId="42280F1C" w14:textId="77777777" w:rsidR="00F709B8" w:rsidRDefault="00F709B8" w:rsidP="00F709B8">
      <w:pPr>
        <w:spacing w:after="0"/>
        <w:jc w:val="center"/>
        <w:rPr>
          <w:noProof/>
        </w:rPr>
      </w:pPr>
    </w:p>
    <w:p w14:paraId="1D24A27D" w14:textId="353EB810" w:rsidR="00F709B8" w:rsidRDefault="00F709B8" w:rsidP="00F709B8">
      <w:pPr>
        <w:spacing w:after="0"/>
        <w:jc w:val="center"/>
        <w:rPr>
          <w:rFonts w:ascii="Times New Roman" w:hAnsi="Times New Roman" w:cs="Times New Roman"/>
          <w:b/>
          <w:bCs/>
          <w:color w:val="00B0F0"/>
          <w:sz w:val="28"/>
          <w:szCs w:val="28"/>
        </w:rPr>
      </w:pPr>
      <w:r>
        <w:rPr>
          <w:noProof/>
        </w:rPr>
        <w:drawing>
          <wp:inline distT="0" distB="0" distL="0" distR="0" wp14:anchorId="324A6719" wp14:editId="4C4C7529">
            <wp:extent cx="1974850" cy="699221"/>
            <wp:effectExtent l="0" t="0" r="6350" b="5715"/>
            <wp:docPr id="2016581526" name="Picture 3" descr="Hyperledger Fabric 2.0 rele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perledger Fabric 2.0 released ..."/>
                    <pic:cNvPicPr>
                      <a:picLocks noChangeAspect="1" noChangeArrowheads="1"/>
                    </pic:cNvPicPr>
                  </pic:nvPicPr>
                  <pic:blipFill rotWithShape="1">
                    <a:blip r:embed="rId6">
                      <a:extLst>
                        <a:ext uri="{28A0092B-C50C-407E-A947-70E740481C1C}">
                          <a14:useLocalDpi xmlns:a14="http://schemas.microsoft.com/office/drawing/2010/main" val="0"/>
                        </a:ext>
                      </a:extLst>
                    </a:blip>
                    <a:srcRect l="9220" t="24308" r="6190" b="24724"/>
                    <a:stretch>
                      <a:fillRect/>
                    </a:stretch>
                  </pic:blipFill>
                  <pic:spPr bwMode="auto">
                    <a:xfrm>
                      <a:off x="0" y="0"/>
                      <a:ext cx="1990476" cy="704754"/>
                    </a:xfrm>
                    <a:prstGeom prst="rect">
                      <a:avLst/>
                    </a:prstGeom>
                    <a:noFill/>
                    <a:ln>
                      <a:noFill/>
                    </a:ln>
                    <a:extLst>
                      <a:ext uri="{53640926-AAD7-44D8-BBD7-CCE9431645EC}">
                        <a14:shadowObscured xmlns:a14="http://schemas.microsoft.com/office/drawing/2010/main"/>
                      </a:ext>
                    </a:extLst>
                  </pic:spPr>
                </pic:pic>
              </a:graphicData>
            </a:graphic>
          </wp:inline>
        </w:drawing>
      </w:r>
    </w:p>
    <w:p w14:paraId="6C8FCF85" w14:textId="77777777" w:rsidR="00F709B8" w:rsidRDefault="00F709B8" w:rsidP="00A97565">
      <w:pPr>
        <w:spacing w:after="0"/>
        <w:rPr>
          <w:rFonts w:ascii="Times New Roman" w:hAnsi="Times New Roman" w:cs="Times New Roman"/>
          <w:b/>
          <w:bCs/>
          <w:color w:val="00B0F0"/>
          <w:sz w:val="28"/>
          <w:szCs w:val="28"/>
        </w:rPr>
      </w:pPr>
    </w:p>
    <w:p w14:paraId="0F53A467" w14:textId="77777777" w:rsidR="00FC194D" w:rsidRDefault="00FC194D" w:rsidP="00F709B8">
      <w:pPr>
        <w:spacing w:after="0"/>
        <w:jc w:val="both"/>
        <w:rPr>
          <w:rFonts w:ascii="Times New Roman" w:hAnsi="Times New Roman" w:cs="Times New Roman"/>
          <w:sz w:val="24"/>
          <w:szCs w:val="24"/>
        </w:rPr>
      </w:pPr>
      <w:r w:rsidRPr="00FC194D">
        <w:rPr>
          <w:rFonts w:ascii="Times New Roman" w:hAnsi="Times New Roman" w:cs="Times New Roman"/>
          <w:b/>
          <w:bCs/>
          <w:sz w:val="24"/>
          <w:szCs w:val="24"/>
        </w:rPr>
        <w:t>Modular Architecture:</w:t>
      </w:r>
      <w:r w:rsidRPr="00FC194D">
        <w:rPr>
          <w:rFonts w:ascii="Times New Roman" w:hAnsi="Times New Roman" w:cs="Times New Roman"/>
          <w:sz w:val="24"/>
          <w:szCs w:val="24"/>
        </w:rPr>
        <w:t xml:space="preserve"> Fabric's unique selling proposition lies in its modular design allowing organizations to customize consensus mechanisms, membership services, and endorsement policies. The ordering service can utilize different algorithms (Solo, Kafka, Raft) based on network requirements. Channels provide data isolation, enabling multiple parallel blockchains within a single network.</w:t>
      </w:r>
    </w:p>
    <w:p w14:paraId="66FAB03C" w14:textId="77777777" w:rsidR="00FC194D" w:rsidRPr="00FC194D" w:rsidRDefault="00FC194D" w:rsidP="00F709B8">
      <w:pPr>
        <w:spacing w:after="0"/>
        <w:jc w:val="both"/>
        <w:rPr>
          <w:rFonts w:ascii="Times New Roman" w:hAnsi="Times New Roman" w:cs="Times New Roman"/>
          <w:sz w:val="24"/>
          <w:szCs w:val="24"/>
        </w:rPr>
      </w:pPr>
    </w:p>
    <w:p w14:paraId="16D6C3DC" w14:textId="77777777" w:rsidR="00FC194D" w:rsidRDefault="00FC194D" w:rsidP="00F709B8">
      <w:pPr>
        <w:spacing w:after="0"/>
        <w:jc w:val="both"/>
        <w:rPr>
          <w:rFonts w:ascii="Times New Roman" w:hAnsi="Times New Roman" w:cs="Times New Roman"/>
          <w:sz w:val="24"/>
          <w:szCs w:val="24"/>
        </w:rPr>
      </w:pPr>
      <w:r w:rsidRPr="00FC194D">
        <w:rPr>
          <w:rFonts w:ascii="Times New Roman" w:hAnsi="Times New Roman" w:cs="Times New Roman"/>
          <w:b/>
          <w:bCs/>
          <w:sz w:val="24"/>
          <w:szCs w:val="24"/>
        </w:rPr>
        <w:t>Performance &amp; Scalability:</w:t>
      </w:r>
      <w:r w:rsidRPr="00FC194D">
        <w:rPr>
          <w:rFonts w:ascii="Times New Roman" w:hAnsi="Times New Roman" w:cs="Times New Roman"/>
          <w:sz w:val="24"/>
          <w:szCs w:val="24"/>
        </w:rPr>
        <w:t xml:space="preserve"> Achieves superior throughput through execute-order-validate architecture, where transactions are executed before ordering, eliminating invalid transactions early. The system supports horizontal scaling through multiple endorsing peers and can handle complex business logic through </w:t>
      </w:r>
      <w:proofErr w:type="spellStart"/>
      <w:r w:rsidRPr="00FC194D">
        <w:rPr>
          <w:rFonts w:ascii="Times New Roman" w:hAnsi="Times New Roman" w:cs="Times New Roman"/>
          <w:sz w:val="24"/>
          <w:szCs w:val="24"/>
        </w:rPr>
        <w:t>chaincode</w:t>
      </w:r>
      <w:proofErr w:type="spellEnd"/>
      <w:r w:rsidRPr="00FC194D">
        <w:rPr>
          <w:rFonts w:ascii="Times New Roman" w:hAnsi="Times New Roman" w:cs="Times New Roman"/>
          <w:sz w:val="24"/>
          <w:szCs w:val="24"/>
        </w:rPr>
        <w:t xml:space="preserve"> (smart contracts) written in Go, Node.js, or Java.</w:t>
      </w:r>
    </w:p>
    <w:p w14:paraId="707A5619" w14:textId="77777777" w:rsidR="00FC194D" w:rsidRPr="00FC194D" w:rsidRDefault="00FC194D" w:rsidP="00F709B8">
      <w:pPr>
        <w:spacing w:after="0"/>
        <w:jc w:val="both"/>
        <w:rPr>
          <w:rFonts w:ascii="Times New Roman" w:hAnsi="Times New Roman" w:cs="Times New Roman"/>
          <w:sz w:val="24"/>
          <w:szCs w:val="24"/>
        </w:rPr>
      </w:pPr>
    </w:p>
    <w:p w14:paraId="358068F5" w14:textId="312A7D95" w:rsidR="00FC194D" w:rsidRPr="00FC194D" w:rsidRDefault="00FC194D" w:rsidP="00F709B8">
      <w:pPr>
        <w:spacing w:after="0"/>
        <w:jc w:val="both"/>
        <w:rPr>
          <w:rFonts w:ascii="Times New Roman" w:hAnsi="Times New Roman" w:cs="Times New Roman"/>
          <w:sz w:val="24"/>
          <w:szCs w:val="24"/>
        </w:rPr>
      </w:pPr>
      <w:r w:rsidRPr="00FC194D">
        <w:rPr>
          <w:rFonts w:ascii="Times New Roman" w:hAnsi="Times New Roman" w:cs="Times New Roman"/>
          <w:b/>
          <w:bCs/>
          <w:sz w:val="24"/>
          <w:szCs w:val="24"/>
        </w:rPr>
        <w:t>Enterprise Features:</w:t>
      </w:r>
      <w:r w:rsidRPr="00FC194D">
        <w:rPr>
          <w:rFonts w:ascii="Times New Roman" w:hAnsi="Times New Roman" w:cs="Times New Roman"/>
          <w:sz w:val="24"/>
          <w:szCs w:val="24"/>
        </w:rPr>
        <w:t xml:space="preserve"> Membership Service Provider (MSP) provides robust identity management with certificate authority integration. Private data collections allow confidential information sharing between authorized subsets of channel members. The absence of native cryptocurrency simplifies regulatory compliance and reduces operational overhead.</w:t>
      </w:r>
    </w:p>
    <w:p w14:paraId="2EF771D2" w14:textId="462087FB" w:rsidR="00F709B8" w:rsidRDefault="00FC194D" w:rsidP="00F709B8">
      <w:pPr>
        <w:spacing w:after="0"/>
        <w:jc w:val="both"/>
        <w:rPr>
          <w:rFonts w:ascii="Times New Roman" w:hAnsi="Times New Roman" w:cs="Times New Roman"/>
          <w:sz w:val="24"/>
          <w:szCs w:val="24"/>
        </w:rPr>
      </w:pPr>
      <w:r w:rsidRPr="00FC194D">
        <w:rPr>
          <w:rFonts w:ascii="Times New Roman" w:hAnsi="Times New Roman" w:cs="Times New Roman"/>
          <w:b/>
          <w:bCs/>
          <w:sz w:val="24"/>
          <w:szCs w:val="24"/>
        </w:rPr>
        <w:lastRenderedPageBreak/>
        <w:t>Limitations:</w:t>
      </w:r>
      <w:r w:rsidRPr="00FC194D">
        <w:rPr>
          <w:rFonts w:ascii="Times New Roman" w:hAnsi="Times New Roman" w:cs="Times New Roman"/>
          <w:sz w:val="24"/>
          <w:szCs w:val="24"/>
        </w:rPr>
        <w:t xml:space="preserve"> Requires significant infrastructure setup and ongoing network management. The permissioned nature limits accessibility and requires trust in network operators.</w:t>
      </w:r>
    </w:p>
    <w:p w14:paraId="262F7BF1" w14:textId="77777777" w:rsidR="00F709B8" w:rsidRDefault="00F709B8" w:rsidP="00FC194D">
      <w:pPr>
        <w:spacing w:after="0"/>
        <w:rPr>
          <w:rFonts w:ascii="Times New Roman" w:hAnsi="Times New Roman" w:cs="Times New Roman"/>
          <w:sz w:val="24"/>
          <w:szCs w:val="24"/>
        </w:rPr>
      </w:pPr>
    </w:p>
    <w:p w14:paraId="67B96C81" w14:textId="70992E68" w:rsidR="00F709B8" w:rsidRDefault="00F709B8" w:rsidP="00F709B8">
      <w:pPr>
        <w:spacing w:after="0"/>
        <w:jc w:val="center"/>
        <w:rPr>
          <w:rFonts w:ascii="Times New Roman" w:hAnsi="Times New Roman" w:cs="Times New Roman"/>
          <w:sz w:val="24"/>
          <w:szCs w:val="24"/>
        </w:rPr>
      </w:pPr>
      <w:r>
        <w:rPr>
          <w:noProof/>
        </w:rPr>
        <w:drawing>
          <wp:inline distT="0" distB="0" distL="0" distR="0" wp14:anchorId="2A8AE61E" wp14:editId="5321DE31">
            <wp:extent cx="4137434" cy="1848689"/>
            <wp:effectExtent l="0" t="0" r="0" b="0"/>
            <wp:docPr id="362016189" name="Picture 2" descr="Key Management in Hyperledger Fabric: Best Practices and Guidelines | by  Marco Maigua | The Blockchain Artis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 Management in Hyperledger Fabric: Best Practices and Guidelines | by  Marco Maigua | The Blockchain Artist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6470" cy="1852726"/>
                    </a:xfrm>
                    <a:prstGeom prst="rect">
                      <a:avLst/>
                    </a:prstGeom>
                    <a:noFill/>
                    <a:ln>
                      <a:noFill/>
                    </a:ln>
                  </pic:spPr>
                </pic:pic>
              </a:graphicData>
            </a:graphic>
          </wp:inline>
        </w:drawing>
      </w:r>
    </w:p>
    <w:p w14:paraId="2B289193" w14:textId="77777777" w:rsidR="00F709B8" w:rsidRPr="00FC194D" w:rsidRDefault="00F709B8" w:rsidP="00FC194D">
      <w:pPr>
        <w:spacing w:after="0"/>
        <w:rPr>
          <w:rFonts w:ascii="Times New Roman" w:hAnsi="Times New Roman" w:cs="Times New Roman"/>
          <w:sz w:val="24"/>
          <w:szCs w:val="24"/>
        </w:rPr>
      </w:pPr>
    </w:p>
    <w:p w14:paraId="2486CABF" w14:textId="77777777" w:rsidR="00F709B8" w:rsidRDefault="00F709B8" w:rsidP="00A97565">
      <w:pPr>
        <w:spacing w:after="0"/>
        <w:rPr>
          <w:rFonts w:ascii="Times New Roman" w:hAnsi="Times New Roman" w:cs="Times New Roman"/>
          <w:sz w:val="24"/>
          <w:szCs w:val="24"/>
        </w:rPr>
      </w:pPr>
    </w:p>
    <w:p w14:paraId="0D505AE3" w14:textId="570B8500" w:rsidR="002F49B2" w:rsidRDefault="002F49B2" w:rsidP="00A97565">
      <w:pPr>
        <w:spacing w:after="0"/>
        <w:rPr>
          <w:rFonts w:ascii="Times New Roman" w:hAnsi="Times New Roman" w:cs="Times New Roman"/>
          <w:b/>
          <w:bCs/>
          <w:color w:val="00B0F0"/>
          <w:sz w:val="28"/>
          <w:szCs w:val="28"/>
        </w:rPr>
      </w:pPr>
      <w:r w:rsidRPr="002F49B2">
        <w:rPr>
          <w:rFonts w:ascii="Times New Roman" w:hAnsi="Times New Roman" w:cs="Times New Roman"/>
          <w:color w:val="00B0F0"/>
          <w:sz w:val="28"/>
          <w:szCs w:val="28"/>
        </w:rPr>
        <w:t xml:space="preserve">iii. </w:t>
      </w:r>
      <w:r w:rsidRPr="00A97565">
        <w:rPr>
          <w:rFonts w:ascii="Times New Roman" w:hAnsi="Times New Roman" w:cs="Times New Roman"/>
          <w:b/>
          <w:bCs/>
          <w:color w:val="00B0F0"/>
          <w:sz w:val="28"/>
          <w:szCs w:val="28"/>
        </w:rPr>
        <w:t>R3 Corda</w:t>
      </w:r>
    </w:p>
    <w:p w14:paraId="208A819A" w14:textId="77777777" w:rsidR="002F49B2" w:rsidRPr="00F709B8" w:rsidRDefault="002F49B2" w:rsidP="00A97565">
      <w:pPr>
        <w:spacing w:after="0"/>
        <w:rPr>
          <w:rFonts w:ascii="Times New Roman" w:hAnsi="Times New Roman" w:cs="Times New Roman"/>
          <w:color w:val="00B0F0"/>
          <w:sz w:val="24"/>
          <w:szCs w:val="24"/>
        </w:rPr>
      </w:pPr>
    </w:p>
    <w:p w14:paraId="07219C9C" w14:textId="369E07FF" w:rsidR="00F709B8" w:rsidRDefault="00F709B8" w:rsidP="00F709B8">
      <w:pPr>
        <w:spacing w:after="0"/>
        <w:jc w:val="center"/>
        <w:rPr>
          <w:rFonts w:ascii="Times New Roman" w:hAnsi="Times New Roman" w:cs="Times New Roman"/>
          <w:color w:val="00B0F0"/>
          <w:sz w:val="28"/>
          <w:szCs w:val="28"/>
        </w:rPr>
      </w:pPr>
      <w:r>
        <w:rPr>
          <w:noProof/>
        </w:rPr>
        <w:drawing>
          <wp:inline distT="0" distB="0" distL="0" distR="0" wp14:anchorId="7CEAA7C3" wp14:editId="6E56CA5C">
            <wp:extent cx="1974850" cy="528652"/>
            <wp:effectExtent l="0" t="0" r="6350" b="5080"/>
            <wp:docPr id="1766190142" name="Picture 4" descr="R3 Corda Node | Launch R3 Corda N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3 Corda Node | Launch R3 Corda Nod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267" cy="544290"/>
                    </a:xfrm>
                    <a:prstGeom prst="rect">
                      <a:avLst/>
                    </a:prstGeom>
                    <a:noFill/>
                    <a:ln>
                      <a:noFill/>
                    </a:ln>
                  </pic:spPr>
                </pic:pic>
              </a:graphicData>
            </a:graphic>
          </wp:inline>
        </w:drawing>
      </w:r>
    </w:p>
    <w:p w14:paraId="1FC682B4" w14:textId="77777777" w:rsidR="00F709B8" w:rsidRPr="00A97565" w:rsidRDefault="00F709B8" w:rsidP="00A97565">
      <w:pPr>
        <w:spacing w:after="0"/>
        <w:rPr>
          <w:rFonts w:ascii="Times New Roman" w:hAnsi="Times New Roman" w:cs="Times New Roman"/>
          <w:color w:val="00B0F0"/>
          <w:sz w:val="24"/>
          <w:szCs w:val="24"/>
        </w:rPr>
      </w:pPr>
    </w:p>
    <w:p w14:paraId="3BCBE8AD" w14:textId="77777777" w:rsid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Unique Transaction Model:</w:t>
      </w:r>
      <w:r w:rsidRPr="004F47E6">
        <w:rPr>
          <w:rFonts w:ascii="Times New Roman" w:hAnsi="Times New Roman" w:cs="Times New Roman"/>
          <w:sz w:val="24"/>
          <w:szCs w:val="24"/>
        </w:rPr>
        <w:t xml:space="preserve"> Corda employs a UTXO-based model where states are consumed and created rather than maintaining global state. This approach ensures data privacy as transactions are only shared with relevant parties. The platform uses a notary service to prevent double-spending while maintaining transaction privacy.</w:t>
      </w:r>
    </w:p>
    <w:p w14:paraId="5FD63CD5" w14:textId="77777777" w:rsidR="004F47E6" w:rsidRPr="004F47E6" w:rsidRDefault="004F47E6" w:rsidP="004F47E6">
      <w:pPr>
        <w:spacing w:after="0"/>
        <w:rPr>
          <w:rFonts w:ascii="Times New Roman" w:hAnsi="Times New Roman" w:cs="Times New Roman"/>
          <w:sz w:val="24"/>
          <w:szCs w:val="24"/>
        </w:rPr>
      </w:pPr>
    </w:p>
    <w:p w14:paraId="18AA1B0D" w14:textId="77777777" w:rsid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Financial Services Optimization:</w:t>
      </w:r>
      <w:r w:rsidRPr="004F47E6">
        <w:rPr>
          <w:rFonts w:ascii="Times New Roman" w:hAnsi="Times New Roman" w:cs="Times New Roman"/>
          <w:sz w:val="24"/>
          <w:szCs w:val="24"/>
        </w:rPr>
        <w:t xml:space="preserve"> Purpose-built for financial applications with features like automatic Know Your Customer (KYC) integration, regulatory reporting capabilities, and legal prose contracts that bridge legal and code implementations. The platform supports complex financial instruments including derivatives, loans, and trade finance instruments.</w:t>
      </w:r>
    </w:p>
    <w:p w14:paraId="5108D59F" w14:textId="77777777" w:rsidR="004F47E6" w:rsidRPr="004F47E6" w:rsidRDefault="004F47E6" w:rsidP="004F47E6">
      <w:pPr>
        <w:spacing w:after="0"/>
        <w:rPr>
          <w:rFonts w:ascii="Times New Roman" w:hAnsi="Times New Roman" w:cs="Times New Roman"/>
          <w:sz w:val="24"/>
          <w:szCs w:val="24"/>
        </w:rPr>
      </w:pPr>
    </w:p>
    <w:p w14:paraId="50DC9245" w14:textId="77777777" w:rsid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Consensus &amp; Governance:</w:t>
      </w:r>
      <w:r w:rsidRPr="004F47E6">
        <w:rPr>
          <w:rFonts w:ascii="Times New Roman" w:hAnsi="Times New Roman" w:cs="Times New Roman"/>
          <w:sz w:val="24"/>
          <w:szCs w:val="24"/>
        </w:rPr>
        <w:t xml:space="preserve"> Implements pluggable consensus through notary services, allowing different consensus mechanisms for different transaction types. The network can operate with multiple notary pools, providing redundancy and specialized services for specific use cases.</w:t>
      </w:r>
    </w:p>
    <w:p w14:paraId="7AF5C8DD" w14:textId="77777777" w:rsidR="004F47E6" w:rsidRPr="004F47E6" w:rsidRDefault="004F47E6" w:rsidP="004F47E6">
      <w:pPr>
        <w:spacing w:after="0"/>
        <w:rPr>
          <w:rFonts w:ascii="Times New Roman" w:hAnsi="Times New Roman" w:cs="Times New Roman"/>
          <w:sz w:val="24"/>
          <w:szCs w:val="24"/>
        </w:rPr>
      </w:pPr>
    </w:p>
    <w:p w14:paraId="3274FDC1" w14:textId="3297150E" w:rsidR="002F49B2" w:rsidRPr="00F709B8" w:rsidRDefault="004F47E6" w:rsidP="00A97565">
      <w:pPr>
        <w:spacing w:after="0"/>
        <w:rPr>
          <w:rFonts w:ascii="Times New Roman" w:hAnsi="Times New Roman" w:cs="Times New Roman"/>
          <w:sz w:val="24"/>
          <w:szCs w:val="24"/>
        </w:rPr>
      </w:pPr>
      <w:r w:rsidRPr="004F47E6">
        <w:rPr>
          <w:rFonts w:ascii="Times New Roman" w:hAnsi="Times New Roman" w:cs="Times New Roman"/>
          <w:b/>
          <w:bCs/>
          <w:sz w:val="24"/>
          <w:szCs w:val="24"/>
        </w:rPr>
        <w:t>Privacy &amp; Compliance:</w:t>
      </w:r>
      <w:r w:rsidRPr="004F47E6">
        <w:rPr>
          <w:rFonts w:ascii="Times New Roman" w:hAnsi="Times New Roman" w:cs="Times New Roman"/>
          <w:sz w:val="24"/>
          <w:szCs w:val="24"/>
        </w:rPr>
        <w:t xml:space="preserve"> Transactions are peer-to-peer, with only relevant parties seeing transaction details. Built-in integration with existing banking systems and regulatory frameworks. The platform provides audit trails while maintaining transactional privacy.</w:t>
      </w:r>
    </w:p>
    <w:p w14:paraId="68522660" w14:textId="77777777" w:rsidR="00F709B8" w:rsidRDefault="00F709B8" w:rsidP="00A97565">
      <w:pPr>
        <w:spacing w:after="0"/>
        <w:rPr>
          <w:noProof/>
        </w:rPr>
      </w:pPr>
    </w:p>
    <w:p w14:paraId="7AADA1C9" w14:textId="6C7F35CF" w:rsidR="00206CA2" w:rsidRDefault="00F709B8" w:rsidP="00F709B8">
      <w:pPr>
        <w:spacing w:after="0"/>
        <w:jc w:val="center"/>
        <w:rPr>
          <w:rFonts w:ascii="Times New Roman" w:hAnsi="Times New Roman" w:cs="Times New Roman"/>
          <w:color w:val="0070C0"/>
          <w:sz w:val="32"/>
          <w:szCs w:val="32"/>
        </w:rPr>
      </w:pPr>
      <w:r>
        <w:rPr>
          <w:noProof/>
        </w:rPr>
        <w:drawing>
          <wp:inline distT="0" distB="0" distL="0" distR="0" wp14:anchorId="1A6A5C3C" wp14:editId="35BB4628">
            <wp:extent cx="2982315" cy="1256306"/>
            <wp:effectExtent l="0" t="0" r="8890" b="1270"/>
            <wp:docPr id="1871947037" name="Picture 5" descr="Corda Blockchain No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wSpIaJG6MLy64-EPguajYA_123" descr="Corda Blockchain Nodes ..."/>
                    <pic:cNvPicPr>
                      <a:picLocks noChangeAspect="1" noChangeArrowheads="1"/>
                    </pic:cNvPicPr>
                  </pic:nvPicPr>
                  <pic:blipFill rotWithShape="1">
                    <a:blip r:embed="rId9">
                      <a:extLst>
                        <a:ext uri="{28A0092B-C50C-407E-A947-70E740481C1C}">
                          <a14:useLocalDpi xmlns:a14="http://schemas.microsoft.com/office/drawing/2010/main" val="0"/>
                        </a:ext>
                      </a:extLst>
                    </a:blip>
                    <a:srcRect t="12585" b="12526"/>
                    <a:stretch>
                      <a:fillRect/>
                    </a:stretch>
                  </pic:blipFill>
                  <pic:spPr bwMode="auto">
                    <a:xfrm>
                      <a:off x="0" y="0"/>
                      <a:ext cx="3031249" cy="1276920"/>
                    </a:xfrm>
                    <a:prstGeom prst="rect">
                      <a:avLst/>
                    </a:prstGeom>
                    <a:noFill/>
                    <a:ln>
                      <a:noFill/>
                    </a:ln>
                    <a:extLst>
                      <a:ext uri="{53640926-AAD7-44D8-BBD7-CCE9431645EC}">
                        <a14:shadowObscured xmlns:a14="http://schemas.microsoft.com/office/drawing/2010/main"/>
                      </a:ext>
                    </a:extLst>
                  </pic:spPr>
                </pic:pic>
              </a:graphicData>
            </a:graphic>
          </wp:inline>
        </w:drawing>
      </w:r>
    </w:p>
    <w:p w14:paraId="58A5AB44" w14:textId="75E6A11A" w:rsidR="00A97565" w:rsidRDefault="002F49B2" w:rsidP="00A97565">
      <w:pPr>
        <w:spacing w:after="0"/>
        <w:rPr>
          <w:rFonts w:ascii="Times New Roman" w:hAnsi="Times New Roman" w:cs="Times New Roman"/>
          <w:b/>
          <w:bCs/>
          <w:color w:val="0070C0"/>
          <w:sz w:val="32"/>
          <w:szCs w:val="32"/>
        </w:rPr>
      </w:pPr>
      <w:r w:rsidRPr="002F49B2">
        <w:rPr>
          <w:rFonts w:ascii="Times New Roman" w:hAnsi="Times New Roman" w:cs="Times New Roman"/>
          <w:b/>
          <w:bCs/>
          <w:color w:val="0070C0"/>
          <w:sz w:val="32"/>
          <w:szCs w:val="32"/>
        </w:rPr>
        <w:lastRenderedPageBreak/>
        <w:t>3. Platform Recommendations</w:t>
      </w:r>
    </w:p>
    <w:p w14:paraId="1670C811" w14:textId="77777777" w:rsidR="002F49B2" w:rsidRDefault="002F49B2" w:rsidP="00A97565">
      <w:pPr>
        <w:spacing w:after="0"/>
        <w:rPr>
          <w:rFonts w:ascii="Times New Roman" w:hAnsi="Times New Roman" w:cs="Times New Roman"/>
          <w:b/>
          <w:bCs/>
          <w:color w:val="000000" w:themeColor="text1"/>
          <w:sz w:val="32"/>
          <w:szCs w:val="32"/>
        </w:rPr>
      </w:pPr>
    </w:p>
    <w:p w14:paraId="4203AECE" w14:textId="25450C17" w:rsidR="002F49B2" w:rsidRPr="004F47E6" w:rsidRDefault="00FC194D" w:rsidP="002F49B2">
      <w:pPr>
        <w:spacing w:after="0"/>
        <w:rPr>
          <w:rFonts w:ascii="Times New Roman" w:hAnsi="Times New Roman" w:cs="Times New Roman"/>
          <w:b/>
          <w:bCs/>
          <w:color w:val="002060"/>
          <w:sz w:val="28"/>
          <w:szCs w:val="28"/>
        </w:rPr>
      </w:pPr>
      <w:proofErr w:type="spellStart"/>
      <w:r w:rsidRPr="004F47E6">
        <w:rPr>
          <w:rFonts w:ascii="Times New Roman" w:hAnsi="Times New Roman" w:cs="Times New Roman"/>
          <w:b/>
          <w:bCs/>
          <w:color w:val="002060"/>
          <w:sz w:val="28"/>
          <w:szCs w:val="28"/>
        </w:rPr>
        <w:t>i</w:t>
      </w:r>
      <w:proofErr w:type="spellEnd"/>
      <w:r w:rsidRPr="004F47E6">
        <w:rPr>
          <w:rFonts w:ascii="Times New Roman" w:hAnsi="Times New Roman" w:cs="Times New Roman"/>
          <w:b/>
          <w:bCs/>
          <w:color w:val="002060"/>
          <w:sz w:val="28"/>
          <w:szCs w:val="28"/>
        </w:rPr>
        <w:t xml:space="preserve">. </w:t>
      </w:r>
      <w:r w:rsidR="002F49B2" w:rsidRPr="004F47E6">
        <w:rPr>
          <w:rFonts w:ascii="Times New Roman" w:hAnsi="Times New Roman" w:cs="Times New Roman"/>
          <w:b/>
          <w:bCs/>
          <w:color w:val="002060"/>
          <w:sz w:val="28"/>
          <w:szCs w:val="28"/>
        </w:rPr>
        <w:t>For a Decentralized App:</w:t>
      </w:r>
      <w:r w:rsidR="004F47E6" w:rsidRPr="004F47E6">
        <w:rPr>
          <w:rFonts w:ascii="Times New Roman" w:hAnsi="Times New Roman" w:cs="Times New Roman"/>
          <w:b/>
          <w:bCs/>
          <w:color w:val="002060"/>
          <w:sz w:val="28"/>
          <w:szCs w:val="28"/>
        </w:rPr>
        <w:t xml:space="preserve"> </w:t>
      </w:r>
      <w:r w:rsidR="004F47E6" w:rsidRPr="002F49B2">
        <w:rPr>
          <w:rFonts w:ascii="Times New Roman" w:hAnsi="Times New Roman" w:cs="Times New Roman"/>
          <w:b/>
          <w:bCs/>
          <w:color w:val="00B0F0"/>
          <w:sz w:val="28"/>
          <w:szCs w:val="28"/>
        </w:rPr>
        <w:t>Ethereum</w:t>
      </w:r>
    </w:p>
    <w:p w14:paraId="5C7ECEE0" w14:textId="77777777" w:rsidR="004F47E6" w:rsidRDefault="004F47E6" w:rsidP="002F49B2">
      <w:pPr>
        <w:spacing w:after="0"/>
        <w:rPr>
          <w:rFonts w:ascii="Times New Roman" w:hAnsi="Times New Roman" w:cs="Times New Roman"/>
          <w:b/>
          <w:bCs/>
          <w:color w:val="00B0F0"/>
          <w:sz w:val="28"/>
          <w:szCs w:val="28"/>
        </w:rPr>
      </w:pPr>
    </w:p>
    <w:p w14:paraId="7BCCBA6E" w14:textId="77777777" w:rsid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Technical Justification:</w:t>
      </w:r>
      <w:r w:rsidRPr="004F47E6">
        <w:rPr>
          <w:rFonts w:ascii="Times New Roman" w:hAnsi="Times New Roman" w:cs="Times New Roman"/>
          <w:sz w:val="24"/>
          <w:szCs w:val="24"/>
        </w:rPr>
        <w:t xml:space="preserve"> Ethereum's permissionless architecture is fundamental for true decentralization, eliminating single points of failure and censorship resistance. The EVM provides deterministic execution across all nodes, ensuring consistent application </w:t>
      </w:r>
      <w:proofErr w:type="spellStart"/>
      <w:r w:rsidRPr="004F47E6">
        <w:rPr>
          <w:rFonts w:ascii="Times New Roman" w:hAnsi="Times New Roman" w:cs="Times New Roman"/>
          <w:sz w:val="24"/>
          <w:szCs w:val="24"/>
        </w:rPr>
        <w:t>behavior</w:t>
      </w:r>
      <w:proofErr w:type="spellEnd"/>
      <w:r w:rsidRPr="004F47E6">
        <w:rPr>
          <w:rFonts w:ascii="Times New Roman" w:hAnsi="Times New Roman" w:cs="Times New Roman"/>
          <w:sz w:val="24"/>
          <w:szCs w:val="24"/>
        </w:rPr>
        <w:t xml:space="preserve"> globally. The extensive developer ecosystem offers mature tooling, comprehensive documentation, and proven security patterns through audited smart contract libraries.</w:t>
      </w:r>
    </w:p>
    <w:p w14:paraId="3913901C" w14:textId="77777777" w:rsidR="004F47E6" w:rsidRPr="004F47E6" w:rsidRDefault="004F47E6" w:rsidP="004F47E6">
      <w:pPr>
        <w:spacing w:after="0"/>
        <w:rPr>
          <w:rFonts w:ascii="Times New Roman" w:hAnsi="Times New Roman" w:cs="Times New Roman"/>
          <w:sz w:val="24"/>
          <w:szCs w:val="24"/>
        </w:rPr>
      </w:pPr>
    </w:p>
    <w:p w14:paraId="78190398" w14:textId="77777777" w:rsid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Ecosystem Advantages:</w:t>
      </w:r>
      <w:r w:rsidRPr="004F47E6">
        <w:rPr>
          <w:rFonts w:ascii="Times New Roman" w:hAnsi="Times New Roman" w:cs="Times New Roman"/>
          <w:sz w:val="24"/>
          <w:szCs w:val="24"/>
        </w:rPr>
        <w:t xml:space="preserve"> Access to decentralized infrastructure including IPFS for storage, </w:t>
      </w:r>
      <w:proofErr w:type="spellStart"/>
      <w:r w:rsidRPr="004F47E6">
        <w:rPr>
          <w:rFonts w:ascii="Times New Roman" w:hAnsi="Times New Roman" w:cs="Times New Roman"/>
          <w:sz w:val="24"/>
          <w:szCs w:val="24"/>
        </w:rPr>
        <w:t>Chainlink</w:t>
      </w:r>
      <w:proofErr w:type="spellEnd"/>
      <w:r w:rsidRPr="004F47E6">
        <w:rPr>
          <w:rFonts w:ascii="Times New Roman" w:hAnsi="Times New Roman" w:cs="Times New Roman"/>
          <w:sz w:val="24"/>
          <w:szCs w:val="24"/>
        </w:rPr>
        <w:t xml:space="preserve"> for oracles, and The Graph for indexing. The platform's native token economics enable sophisticated incentive mechanisms through staking, governance tokens, and automated market makers. Layer 2 solutions like </w:t>
      </w:r>
      <w:proofErr w:type="spellStart"/>
      <w:r w:rsidRPr="004F47E6">
        <w:rPr>
          <w:rFonts w:ascii="Times New Roman" w:hAnsi="Times New Roman" w:cs="Times New Roman"/>
          <w:sz w:val="24"/>
          <w:szCs w:val="24"/>
        </w:rPr>
        <w:t>Arbitrum</w:t>
      </w:r>
      <w:proofErr w:type="spellEnd"/>
      <w:r w:rsidRPr="004F47E6">
        <w:rPr>
          <w:rFonts w:ascii="Times New Roman" w:hAnsi="Times New Roman" w:cs="Times New Roman"/>
          <w:sz w:val="24"/>
          <w:szCs w:val="24"/>
        </w:rPr>
        <w:t xml:space="preserve"> and Optimism provide scalability while inheriting Ethereum's security guarantees.</w:t>
      </w:r>
    </w:p>
    <w:p w14:paraId="2B4ADE66" w14:textId="77777777" w:rsidR="004F47E6" w:rsidRPr="004F47E6" w:rsidRDefault="004F47E6" w:rsidP="004F47E6">
      <w:pPr>
        <w:spacing w:after="0"/>
        <w:rPr>
          <w:rFonts w:ascii="Times New Roman" w:hAnsi="Times New Roman" w:cs="Times New Roman"/>
          <w:sz w:val="24"/>
          <w:szCs w:val="24"/>
        </w:rPr>
      </w:pPr>
    </w:p>
    <w:p w14:paraId="72ABE550" w14:textId="77777777" w:rsidR="004F47E6" w:rsidRP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Considerations:</w:t>
      </w:r>
      <w:r w:rsidRPr="004F47E6">
        <w:rPr>
          <w:rFonts w:ascii="Times New Roman" w:hAnsi="Times New Roman" w:cs="Times New Roman"/>
          <w:sz w:val="24"/>
          <w:szCs w:val="24"/>
        </w:rPr>
        <w:t xml:space="preserve"> Gas fee volatility requires careful UX design and potentially implementing meta-transactions or gasless interactions. Smart contract upgradability must be planned carefully, often requiring proxy patterns or governance mechanisms for protocol evolution.</w:t>
      </w:r>
    </w:p>
    <w:p w14:paraId="6A48E28D" w14:textId="04DF0B9A" w:rsidR="002F49B2" w:rsidRDefault="002F49B2" w:rsidP="002F49B2">
      <w:pPr>
        <w:spacing w:after="0"/>
        <w:rPr>
          <w:rFonts w:ascii="Times New Roman" w:hAnsi="Times New Roman" w:cs="Times New Roman"/>
          <w:sz w:val="24"/>
          <w:szCs w:val="24"/>
        </w:rPr>
      </w:pPr>
      <w:r w:rsidRPr="002F49B2">
        <w:rPr>
          <w:rFonts w:ascii="Times New Roman" w:hAnsi="Times New Roman" w:cs="Times New Roman"/>
          <w:sz w:val="24"/>
          <w:szCs w:val="24"/>
        </w:rPr>
        <w:t>.</w:t>
      </w:r>
    </w:p>
    <w:p w14:paraId="68B2D60A" w14:textId="77777777" w:rsidR="006654DD" w:rsidRPr="002F49B2" w:rsidRDefault="006654DD" w:rsidP="002F49B2">
      <w:pPr>
        <w:spacing w:after="0"/>
        <w:rPr>
          <w:rFonts w:ascii="Times New Roman" w:hAnsi="Times New Roman" w:cs="Times New Roman"/>
          <w:sz w:val="24"/>
          <w:szCs w:val="24"/>
        </w:rPr>
      </w:pPr>
    </w:p>
    <w:p w14:paraId="7FF6E5ED" w14:textId="5C5DF06B" w:rsidR="002F49B2" w:rsidRPr="002F49B2" w:rsidRDefault="006654DD" w:rsidP="006654DD">
      <w:pPr>
        <w:spacing w:after="0"/>
        <w:jc w:val="center"/>
        <w:rPr>
          <w:rFonts w:ascii="Times New Roman" w:hAnsi="Times New Roman" w:cs="Times New Roman"/>
          <w:sz w:val="24"/>
          <w:szCs w:val="24"/>
        </w:rPr>
      </w:pPr>
      <w:r>
        <w:rPr>
          <w:noProof/>
        </w:rPr>
        <w:drawing>
          <wp:inline distT="0" distB="0" distL="0" distR="0" wp14:anchorId="78B5C61F" wp14:editId="4E3F2AA8">
            <wp:extent cx="3675707" cy="1791836"/>
            <wp:effectExtent l="0" t="0" r="1270" b="0"/>
            <wp:docPr id="357055432" name="Picture 6" descr="Decentralized Applications Explained - What are dApps? - Moralis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entralized Applications Explained - What are dApps? - Moralis AP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0407" cy="1799002"/>
                    </a:xfrm>
                    <a:prstGeom prst="rect">
                      <a:avLst/>
                    </a:prstGeom>
                    <a:noFill/>
                    <a:ln>
                      <a:noFill/>
                    </a:ln>
                  </pic:spPr>
                </pic:pic>
              </a:graphicData>
            </a:graphic>
          </wp:inline>
        </w:drawing>
      </w:r>
    </w:p>
    <w:p w14:paraId="47723CCB" w14:textId="77777777" w:rsidR="002F49B2" w:rsidRDefault="002F49B2" w:rsidP="002F49B2">
      <w:pPr>
        <w:spacing w:after="0"/>
        <w:rPr>
          <w:rFonts w:ascii="Times New Roman" w:hAnsi="Times New Roman" w:cs="Times New Roman"/>
          <w:color w:val="002060"/>
          <w:sz w:val="24"/>
          <w:szCs w:val="24"/>
        </w:rPr>
      </w:pPr>
    </w:p>
    <w:p w14:paraId="0CB7C7B0" w14:textId="77777777" w:rsidR="006654DD" w:rsidRPr="002F49B2" w:rsidRDefault="006654DD" w:rsidP="002F49B2">
      <w:pPr>
        <w:spacing w:after="0"/>
        <w:rPr>
          <w:rFonts w:ascii="Times New Roman" w:hAnsi="Times New Roman" w:cs="Times New Roman"/>
          <w:color w:val="002060"/>
          <w:sz w:val="24"/>
          <w:szCs w:val="24"/>
        </w:rPr>
      </w:pPr>
    </w:p>
    <w:p w14:paraId="25E8DE41" w14:textId="77777777" w:rsidR="004F47E6" w:rsidRDefault="00FC194D" w:rsidP="002F49B2">
      <w:pPr>
        <w:spacing w:after="0"/>
        <w:rPr>
          <w:rFonts w:ascii="Times New Roman" w:hAnsi="Times New Roman" w:cs="Times New Roman"/>
          <w:color w:val="00B0F0"/>
          <w:sz w:val="24"/>
          <w:szCs w:val="24"/>
        </w:rPr>
      </w:pPr>
      <w:r>
        <w:rPr>
          <w:rFonts w:ascii="Times New Roman" w:hAnsi="Times New Roman" w:cs="Times New Roman"/>
          <w:b/>
          <w:bCs/>
          <w:color w:val="002060"/>
          <w:sz w:val="28"/>
          <w:szCs w:val="28"/>
        </w:rPr>
        <w:t xml:space="preserve">ii. </w:t>
      </w:r>
      <w:r w:rsidR="002F49B2" w:rsidRPr="00FC194D">
        <w:rPr>
          <w:rFonts w:ascii="Times New Roman" w:hAnsi="Times New Roman" w:cs="Times New Roman"/>
          <w:b/>
          <w:bCs/>
          <w:color w:val="002060"/>
          <w:sz w:val="28"/>
          <w:szCs w:val="28"/>
        </w:rPr>
        <w:t>For Supply Chain Among Known Partners:</w:t>
      </w:r>
      <w:r w:rsidR="002F49B2" w:rsidRPr="00FC194D">
        <w:rPr>
          <w:rFonts w:ascii="Times New Roman" w:hAnsi="Times New Roman" w:cs="Times New Roman"/>
          <w:color w:val="002060"/>
          <w:sz w:val="28"/>
          <w:szCs w:val="28"/>
        </w:rPr>
        <w:t xml:space="preserve"> </w:t>
      </w:r>
      <w:r w:rsidR="002F49B2" w:rsidRPr="002F49B2">
        <w:rPr>
          <w:rFonts w:ascii="Times New Roman" w:hAnsi="Times New Roman" w:cs="Times New Roman"/>
          <w:b/>
          <w:bCs/>
          <w:color w:val="00B0F0"/>
          <w:sz w:val="28"/>
          <w:szCs w:val="28"/>
        </w:rPr>
        <w:t>Hyperledger Fabric</w:t>
      </w:r>
      <w:r w:rsidR="002F49B2" w:rsidRPr="002F49B2">
        <w:rPr>
          <w:rFonts w:ascii="Times New Roman" w:hAnsi="Times New Roman" w:cs="Times New Roman"/>
          <w:color w:val="00B0F0"/>
          <w:sz w:val="24"/>
          <w:szCs w:val="24"/>
        </w:rPr>
        <w:t xml:space="preserve"> </w:t>
      </w:r>
    </w:p>
    <w:p w14:paraId="1CC75058" w14:textId="77777777" w:rsidR="004F47E6" w:rsidRDefault="004F47E6" w:rsidP="002F49B2">
      <w:pPr>
        <w:spacing w:after="0"/>
        <w:rPr>
          <w:rFonts w:ascii="Times New Roman" w:hAnsi="Times New Roman" w:cs="Times New Roman"/>
          <w:color w:val="00B0F0"/>
          <w:sz w:val="24"/>
          <w:szCs w:val="24"/>
        </w:rPr>
      </w:pPr>
    </w:p>
    <w:p w14:paraId="377B7692" w14:textId="77777777" w:rsid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Technical Superiority:</w:t>
      </w:r>
      <w:r w:rsidRPr="004F47E6">
        <w:rPr>
          <w:rFonts w:ascii="Times New Roman" w:hAnsi="Times New Roman" w:cs="Times New Roman"/>
          <w:sz w:val="24"/>
          <w:szCs w:val="24"/>
        </w:rPr>
        <w:t xml:space="preserve"> Fabric's channel architecture allows segregation of sensitive business data while maintaining shared operational visibility. Private data collections enable confidential information sharing (supplier pricing, quality metrics) between relevant parties without exposing data to all network participants. The ordering service provides finality guarantees essential for supply chain commitments.</w:t>
      </w:r>
    </w:p>
    <w:p w14:paraId="6FC46A77" w14:textId="77777777" w:rsidR="00565262" w:rsidRPr="004F47E6" w:rsidRDefault="00565262" w:rsidP="004F47E6">
      <w:pPr>
        <w:spacing w:after="0"/>
        <w:rPr>
          <w:rFonts w:ascii="Times New Roman" w:hAnsi="Times New Roman" w:cs="Times New Roman"/>
          <w:sz w:val="24"/>
          <w:szCs w:val="24"/>
        </w:rPr>
      </w:pPr>
    </w:p>
    <w:p w14:paraId="3706EFAE" w14:textId="1CE4533F" w:rsidR="004F47E6" w:rsidRP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Scalability &amp; Performance:</w:t>
      </w:r>
      <w:r w:rsidRPr="004F47E6">
        <w:rPr>
          <w:rFonts w:ascii="Times New Roman" w:hAnsi="Times New Roman" w:cs="Times New Roman"/>
          <w:sz w:val="24"/>
          <w:szCs w:val="24"/>
        </w:rPr>
        <w:t xml:space="preserve"> The execute-order-validate model eliminates computational waste by validating transactions before committing to the ledger. Endorsement policies can be customized per transaction type, allowing different validation requirements for different supply chain events (shipping vs. quality inspection). The system supports high-frequency updates necessary for real-time tracking.</w:t>
      </w:r>
    </w:p>
    <w:p w14:paraId="5E983FDB" w14:textId="77777777" w:rsid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lastRenderedPageBreak/>
        <w:t>Integration Capabilities:</w:t>
      </w:r>
      <w:r w:rsidRPr="004F47E6">
        <w:rPr>
          <w:rFonts w:ascii="Times New Roman" w:hAnsi="Times New Roman" w:cs="Times New Roman"/>
          <w:sz w:val="24"/>
          <w:szCs w:val="24"/>
        </w:rPr>
        <w:t xml:space="preserve"> </w:t>
      </w:r>
      <w:proofErr w:type="spellStart"/>
      <w:r w:rsidRPr="004F47E6">
        <w:rPr>
          <w:rFonts w:ascii="Times New Roman" w:hAnsi="Times New Roman" w:cs="Times New Roman"/>
          <w:sz w:val="24"/>
          <w:szCs w:val="24"/>
        </w:rPr>
        <w:t>Chaincode</w:t>
      </w:r>
      <w:proofErr w:type="spellEnd"/>
      <w:r w:rsidRPr="004F47E6">
        <w:rPr>
          <w:rFonts w:ascii="Times New Roman" w:hAnsi="Times New Roman" w:cs="Times New Roman"/>
          <w:sz w:val="24"/>
          <w:szCs w:val="24"/>
        </w:rPr>
        <w:t xml:space="preserve"> can integrate with existing enterprise systems (ERP, WMS, CRM) through RESTful APIs. The modular architecture allows integration with IoT devices for automated data collection. Certificate authority integration ensures proper identity management for all supply chain participants.</w:t>
      </w:r>
    </w:p>
    <w:p w14:paraId="62F22825" w14:textId="77777777" w:rsidR="004F47E6" w:rsidRPr="004F47E6" w:rsidRDefault="004F47E6" w:rsidP="004F47E6">
      <w:pPr>
        <w:spacing w:after="0"/>
        <w:rPr>
          <w:rFonts w:ascii="Times New Roman" w:hAnsi="Times New Roman" w:cs="Times New Roman"/>
          <w:sz w:val="24"/>
          <w:szCs w:val="24"/>
        </w:rPr>
      </w:pPr>
    </w:p>
    <w:p w14:paraId="17FFA5B6" w14:textId="374033AA" w:rsidR="002F49B2" w:rsidRDefault="004F47E6" w:rsidP="002F49B2">
      <w:pPr>
        <w:spacing w:after="0"/>
        <w:rPr>
          <w:rFonts w:ascii="Times New Roman" w:hAnsi="Times New Roman" w:cs="Times New Roman"/>
          <w:sz w:val="24"/>
          <w:szCs w:val="24"/>
        </w:rPr>
      </w:pPr>
      <w:r w:rsidRPr="004F47E6">
        <w:rPr>
          <w:rFonts w:ascii="Times New Roman" w:hAnsi="Times New Roman" w:cs="Times New Roman"/>
          <w:b/>
          <w:bCs/>
          <w:sz w:val="24"/>
          <w:szCs w:val="24"/>
        </w:rPr>
        <w:t>Business Logic:</w:t>
      </w:r>
      <w:r w:rsidRPr="004F47E6">
        <w:rPr>
          <w:rFonts w:ascii="Times New Roman" w:hAnsi="Times New Roman" w:cs="Times New Roman"/>
          <w:sz w:val="24"/>
          <w:szCs w:val="24"/>
        </w:rPr>
        <w:t xml:space="preserve"> Support for complex multi-party agreements including conditional payments, quality-based settlements, and automated compliance reporting. The platform can handle sophisticated workflows like multi-signature approvals for high-value shipments.</w:t>
      </w:r>
    </w:p>
    <w:p w14:paraId="708EE081" w14:textId="77777777" w:rsidR="006654DD" w:rsidRDefault="006654DD" w:rsidP="002F49B2">
      <w:pPr>
        <w:spacing w:after="0"/>
        <w:rPr>
          <w:rFonts w:ascii="Times New Roman" w:hAnsi="Times New Roman" w:cs="Times New Roman"/>
          <w:sz w:val="24"/>
          <w:szCs w:val="24"/>
        </w:rPr>
      </w:pPr>
    </w:p>
    <w:p w14:paraId="7EF27A06" w14:textId="77777777" w:rsidR="006654DD" w:rsidRDefault="006654DD" w:rsidP="002F49B2">
      <w:pPr>
        <w:spacing w:after="0"/>
        <w:rPr>
          <w:noProof/>
        </w:rPr>
      </w:pPr>
    </w:p>
    <w:p w14:paraId="7A1DF59F" w14:textId="01C508E2" w:rsidR="006654DD" w:rsidRDefault="006654DD" w:rsidP="006654DD">
      <w:pPr>
        <w:spacing w:after="0"/>
        <w:jc w:val="center"/>
        <w:rPr>
          <w:rFonts w:ascii="Times New Roman" w:hAnsi="Times New Roman" w:cs="Times New Roman"/>
          <w:sz w:val="24"/>
          <w:szCs w:val="24"/>
        </w:rPr>
      </w:pPr>
      <w:r>
        <w:rPr>
          <w:noProof/>
        </w:rPr>
        <w:drawing>
          <wp:inline distT="0" distB="0" distL="0" distR="0" wp14:anchorId="1F53436F" wp14:editId="718A744A">
            <wp:extent cx="4050844" cy="1702051"/>
            <wp:effectExtent l="0" t="0" r="6985" b="0"/>
            <wp:docPr id="1752435740" name="Picture 7" descr="What is Supply Chain Management (SCM)? - Godamw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Supply Chain Management (SCM)? - Godamwal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1" b="25005"/>
                    <a:stretch>
                      <a:fillRect/>
                    </a:stretch>
                  </pic:blipFill>
                  <pic:spPr bwMode="auto">
                    <a:xfrm>
                      <a:off x="0" y="0"/>
                      <a:ext cx="4095254" cy="1720711"/>
                    </a:xfrm>
                    <a:prstGeom prst="rect">
                      <a:avLst/>
                    </a:prstGeom>
                    <a:noFill/>
                    <a:ln>
                      <a:noFill/>
                    </a:ln>
                    <a:extLst>
                      <a:ext uri="{53640926-AAD7-44D8-BBD7-CCE9431645EC}">
                        <a14:shadowObscured xmlns:a14="http://schemas.microsoft.com/office/drawing/2010/main"/>
                      </a:ext>
                    </a:extLst>
                  </pic:spPr>
                </pic:pic>
              </a:graphicData>
            </a:graphic>
          </wp:inline>
        </w:drawing>
      </w:r>
    </w:p>
    <w:p w14:paraId="7C2074DF" w14:textId="77777777" w:rsidR="006654DD" w:rsidRPr="002F49B2" w:rsidRDefault="006654DD" w:rsidP="006654DD">
      <w:pPr>
        <w:spacing w:after="0"/>
        <w:jc w:val="center"/>
        <w:rPr>
          <w:rFonts w:ascii="Times New Roman" w:hAnsi="Times New Roman" w:cs="Times New Roman"/>
          <w:sz w:val="24"/>
          <w:szCs w:val="24"/>
        </w:rPr>
      </w:pPr>
    </w:p>
    <w:p w14:paraId="19815FDD" w14:textId="77777777" w:rsidR="002F49B2" w:rsidRPr="002F49B2" w:rsidRDefault="002F49B2" w:rsidP="002F49B2">
      <w:pPr>
        <w:spacing w:after="0"/>
        <w:rPr>
          <w:rFonts w:ascii="Times New Roman" w:hAnsi="Times New Roman" w:cs="Times New Roman"/>
          <w:color w:val="002060"/>
          <w:sz w:val="28"/>
          <w:szCs w:val="28"/>
        </w:rPr>
      </w:pPr>
    </w:p>
    <w:p w14:paraId="7C060DF8" w14:textId="1591974C" w:rsidR="004F47E6" w:rsidRDefault="00FC194D" w:rsidP="002F49B2">
      <w:pPr>
        <w:spacing w:after="0"/>
        <w:rPr>
          <w:rFonts w:ascii="Times New Roman" w:hAnsi="Times New Roman" w:cs="Times New Roman"/>
          <w:sz w:val="24"/>
          <w:szCs w:val="24"/>
        </w:rPr>
      </w:pPr>
      <w:r>
        <w:rPr>
          <w:rFonts w:ascii="Times New Roman" w:hAnsi="Times New Roman" w:cs="Times New Roman"/>
          <w:b/>
          <w:bCs/>
          <w:color w:val="002060"/>
          <w:sz w:val="28"/>
          <w:szCs w:val="28"/>
        </w:rPr>
        <w:t xml:space="preserve">iii. </w:t>
      </w:r>
      <w:r w:rsidR="002F49B2" w:rsidRPr="00FC194D">
        <w:rPr>
          <w:rFonts w:ascii="Times New Roman" w:hAnsi="Times New Roman" w:cs="Times New Roman"/>
          <w:b/>
          <w:bCs/>
          <w:color w:val="002060"/>
          <w:sz w:val="28"/>
          <w:szCs w:val="28"/>
        </w:rPr>
        <w:t>For Inter-bank Financial Application:</w:t>
      </w:r>
      <w:r w:rsidR="002F49B2" w:rsidRPr="002F49B2">
        <w:rPr>
          <w:rFonts w:ascii="Times New Roman" w:hAnsi="Times New Roman" w:cs="Times New Roman"/>
          <w:color w:val="00B0F0"/>
          <w:sz w:val="28"/>
          <w:szCs w:val="28"/>
        </w:rPr>
        <w:t xml:space="preserve"> </w:t>
      </w:r>
      <w:r w:rsidR="002F49B2" w:rsidRPr="002F49B2">
        <w:rPr>
          <w:rFonts w:ascii="Times New Roman" w:hAnsi="Times New Roman" w:cs="Times New Roman"/>
          <w:b/>
          <w:bCs/>
          <w:color w:val="00B0F0"/>
          <w:sz w:val="28"/>
          <w:szCs w:val="28"/>
        </w:rPr>
        <w:t>R3 Corda</w:t>
      </w:r>
      <w:r w:rsidR="002F49B2" w:rsidRPr="002F49B2">
        <w:rPr>
          <w:rFonts w:ascii="Times New Roman" w:hAnsi="Times New Roman" w:cs="Times New Roman"/>
          <w:sz w:val="24"/>
          <w:szCs w:val="24"/>
        </w:rPr>
        <w:t xml:space="preserve"> </w:t>
      </w:r>
    </w:p>
    <w:p w14:paraId="1B8661D9" w14:textId="77777777" w:rsidR="004F47E6" w:rsidRPr="004F47E6" w:rsidRDefault="004F47E6" w:rsidP="002F49B2">
      <w:pPr>
        <w:spacing w:after="0"/>
        <w:rPr>
          <w:rFonts w:ascii="Times New Roman" w:hAnsi="Times New Roman" w:cs="Times New Roman"/>
          <w:b/>
          <w:bCs/>
          <w:color w:val="002060"/>
          <w:sz w:val="28"/>
          <w:szCs w:val="28"/>
        </w:rPr>
      </w:pPr>
    </w:p>
    <w:p w14:paraId="5147A7EF" w14:textId="77777777" w:rsid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Regulatory Compliance:</w:t>
      </w:r>
      <w:r w:rsidRPr="004F47E6">
        <w:rPr>
          <w:rFonts w:ascii="Times New Roman" w:hAnsi="Times New Roman" w:cs="Times New Roman"/>
          <w:sz w:val="24"/>
          <w:szCs w:val="24"/>
        </w:rPr>
        <w:t xml:space="preserve"> Built-in support for financial regulations including Basel III, MiFID II, and PSD2 compliance frameworks. The platform provides comprehensive audit trails while maintaining transaction privacy through selective disclosure. Legal prose contracts ensure enforceability in traditional legal systems, crucial for inter-bank agreements.</w:t>
      </w:r>
    </w:p>
    <w:p w14:paraId="70BAE2B9" w14:textId="77777777" w:rsidR="004F47E6" w:rsidRPr="004F47E6" w:rsidRDefault="004F47E6" w:rsidP="004F47E6">
      <w:pPr>
        <w:spacing w:after="0"/>
        <w:rPr>
          <w:rFonts w:ascii="Times New Roman" w:hAnsi="Times New Roman" w:cs="Times New Roman"/>
          <w:sz w:val="24"/>
          <w:szCs w:val="24"/>
        </w:rPr>
      </w:pPr>
    </w:p>
    <w:p w14:paraId="1ABD19E2" w14:textId="0E7D83EB" w:rsid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Transaction Privacy:</w:t>
      </w:r>
      <w:r w:rsidRPr="004F47E6">
        <w:rPr>
          <w:rFonts w:ascii="Times New Roman" w:hAnsi="Times New Roman" w:cs="Times New Roman"/>
          <w:sz w:val="24"/>
          <w:szCs w:val="24"/>
        </w:rPr>
        <w:t xml:space="preserve"> Point-to-point transaction sharing ensures sensitive financial data remains confidential between relevant parties. The UTXO model prevents information leakage through global state analysis. Notary services provide double-spend protection without requiring global consensus, maintaining privacy while ensuring integrity.</w:t>
      </w:r>
    </w:p>
    <w:p w14:paraId="22010130" w14:textId="77777777" w:rsidR="006654DD" w:rsidRDefault="006654DD" w:rsidP="004F47E6">
      <w:pPr>
        <w:spacing w:after="0"/>
        <w:rPr>
          <w:rFonts w:ascii="Times New Roman" w:hAnsi="Times New Roman" w:cs="Times New Roman"/>
          <w:sz w:val="24"/>
          <w:szCs w:val="24"/>
        </w:rPr>
      </w:pPr>
    </w:p>
    <w:p w14:paraId="17F0DDE6" w14:textId="77777777" w:rsidR="006654DD" w:rsidRDefault="006654DD" w:rsidP="004F47E6">
      <w:pPr>
        <w:spacing w:after="0"/>
        <w:rPr>
          <w:noProof/>
        </w:rPr>
      </w:pPr>
    </w:p>
    <w:p w14:paraId="3A17A082" w14:textId="6C73221F" w:rsidR="006654DD" w:rsidRDefault="006654DD" w:rsidP="006654DD">
      <w:pPr>
        <w:spacing w:after="0"/>
        <w:jc w:val="center"/>
        <w:rPr>
          <w:rFonts w:ascii="Times New Roman" w:hAnsi="Times New Roman" w:cs="Times New Roman"/>
          <w:sz w:val="24"/>
          <w:szCs w:val="24"/>
        </w:rPr>
      </w:pPr>
      <w:r>
        <w:rPr>
          <w:noProof/>
        </w:rPr>
        <w:drawing>
          <wp:inline distT="0" distB="0" distL="0" distR="0" wp14:anchorId="5568AF6F" wp14:editId="0D8DB482">
            <wp:extent cx="5467297" cy="2064190"/>
            <wp:effectExtent l="0" t="0" r="635" b="0"/>
            <wp:docPr id="1139964671" name="Picture 8" descr="From Internet Banking to Blockchain Finance, What's Next for Financial  Institutions? - Beacon Venture 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om Internet Banking to Blockchain Finance, What's Next for Financial  Institutions? - Beacon Venture Capital"/>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010" b="16855"/>
                    <a:stretch>
                      <a:fillRect/>
                    </a:stretch>
                  </pic:blipFill>
                  <pic:spPr bwMode="auto">
                    <a:xfrm>
                      <a:off x="0" y="0"/>
                      <a:ext cx="5497538" cy="2075607"/>
                    </a:xfrm>
                    <a:prstGeom prst="rect">
                      <a:avLst/>
                    </a:prstGeom>
                    <a:noFill/>
                    <a:ln>
                      <a:noFill/>
                    </a:ln>
                    <a:extLst>
                      <a:ext uri="{53640926-AAD7-44D8-BBD7-CCE9431645EC}">
                        <a14:shadowObscured xmlns:a14="http://schemas.microsoft.com/office/drawing/2010/main"/>
                      </a:ext>
                    </a:extLst>
                  </pic:spPr>
                </pic:pic>
              </a:graphicData>
            </a:graphic>
          </wp:inline>
        </w:drawing>
      </w:r>
    </w:p>
    <w:p w14:paraId="30F07526" w14:textId="77777777" w:rsidR="006654DD" w:rsidRPr="004F47E6" w:rsidRDefault="006654DD" w:rsidP="004F47E6">
      <w:pPr>
        <w:spacing w:after="0"/>
        <w:rPr>
          <w:rFonts w:ascii="Times New Roman" w:hAnsi="Times New Roman" w:cs="Times New Roman"/>
          <w:sz w:val="24"/>
          <w:szCs w:val="24"/>
        </w:rPr>
      </w:pPr>
    </w:p>
    <w:p w14:paraId="04DC9519" w14:textId="77777777" w:rsid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lastRenderedPageBreak/>
        <w:t>Financial Instruments Support:</w:t>
      </w:r>
      <w:r w:rsidRPr="004F47E6">
        <w:rPr>
          <w:rFonts w:ascii="Times New Roman" w:hAnsi="Times New Roman" w:cs="Times New Roman"/>
          <w:sz w:val="24"/>
          <w:szCs w:val="24"/>
        </w:rPr>
        <w:t xml:space="preserve"> Native support for complex financial products including derivatives, letters of credit, and multi-currency transactions. The platform handles sophisticated settlement mechanisms including delivery versus payment (DVP) and payment versus payment (PVP) scenarios essential for inter-bank operations.</w:t>
      </w:r>
    </w:p>
    <w:p w14:paraId="24E3348D" w14:textId="77777777" w:rsidR="004F47E6" w:rsidRPr="004F47E6" w:rsidRDefault="004F47E6" w:rsidP="004F47E6">
      <w:pPr>
        <w:spacing w:after="0"/>
        <w:rPr>
          <w:rFonts w:ascii="Times New Roman" w:hAnsi="Times New Roman" w:cs="Times New Roman"/>
          <w:sz w:val="24"/>
          <w:szCs w:val="24"/>
        </w:rPr>
      </w:pPr>
    </w:p>
    <w:p w14:paraId="1D509AAE" w14:textId="77777777" w:rsid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Operational Integration:</w:t>
      </w:r>
      <w:r w:rsidRPr="004F47E6">
        <w:rPr>
          <w:rFonts w:ascii="Times New Roman" w:hAnsi="Times New Roman" w:cs="Times New Roman"/>
          <w:sz w:val="24"/>
          <w:szCs w:val="24"/>
        </w:rPr>
        <w:t xml:space="preserve"> Seamless integration with existing banking infrastructure including SWIFT networks, core banking systems, and regulatory reporting platforms. The platform supports batch processing for high-volume transactions while maintaining real-time capabilities for time-sensitive operations.</w:t>
      </w:r>
    </w:p>
    <w:p w14:paraId="4B992C23" w14:textId="77777777" w:rsidR="00565262" w:rsidRPr="004F47E6" w:rsidRDefault="00565262" w:rsidP="004F47E6">
      <w:pPr>
        <w:spacing w:after="0"/>
        <w:rPr>
          <w:rFonts w:ascii="Times New Roman" w:hAnsi="Times New Roman" w:cs="Times New Roman"/>
          <w:sz w:val="24"/>
          <w:szCs w:val="24"/>
        </w:rPr>
      </w:pPr>
    </w:p>
    <w:p w14:paraId="384ABA56" w14:textId="77777777" w:rsidR="004F47E6" w:rsidRPr="004F47E6" w:rsidRDefault="004F47E6" w:rsidP="004F47E6">
      <w:pPr>
        <w:spacing w:after="0"/>
        <w:rPr>
          <w:rFonts w:ascii="Times New Roman" w:hAnsi="Times New Roman" w:cs="Times New Roman"/>
          <w:sz w:val="24"/>
          <w:szCs w:val="24"/>
        </w:rPr>
      </w:pPr>
      <w:r w:rsidRPr="004F47E6">
        <w:rPr>
          <w:rFonts w:ascii="Times New Roman" w:hAnsi="Times New Roman" w:cs="Times New Roman"/>
          <w:b/>
          <w:bCs/>
          <w:sz w:val="24"/>
          <w:szCs w:val="24"/>
        </w:rPr>
        <w:t>Risk Management:</w:t>
      </w:r>
      <w:r w:rsidRPr="004F47E6">
        <w:rPr>
          <w:rFonts w:ascii="Times New Roman" w:hAnsi="Times New Roman" w:cs="Times New Roman"/>
          <w:sz w:val="24"/>
          <w:szCs w:val="24"/>
        </w:rPr>
        <w:t xml:space="preserve"> Built-in support for collateral management, margin calculations, and credit risk assessment. The platform can implement sophisticated netting algorithms for multi-party settlement scenarios, reducing counterparty risk and operational overhead.</w:t>
      </w:r>
    </w:p>
    <w:p w14:paraId="0841FC0C" w14:textId="77777777" w:rsidR="002F49B2" w:rsidRPr="002F49B2" w:rsidRDefault="002F49B2" w:rsidP="00A97565">
      <w:pPr>
        <w:spacing w:after="0"/>
        <w:rPr>
          <w:rFonts w:ascii="Times New Roman" w:hAnsi="Times New Roman" w:cs="Times New Roman"/>
          <w:sz w:val="32"/>
          <w:szCs w:val="32"/>
        </w:rPr>
      </w:pPr>
    </w:p>
    <w:sectPr w:rsidR="002F49B2" w:rsidRPr="002F4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D61"/>
    <w:multiLevelType w:val="hybridMultilevel"/>
    <w:tmpl w:val="19A8A3CA"/>
    <w:lvl w:ilvl="0" w:tplc="B34617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683692"/>
    <w:multiLevelType w:val="hybridMultilevel"/>
    <w:tmpl w:val="A68CB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576030"/>
    <w:multiLevelType w:val="hybridMultilevel"/>
    <w:tmpl w:val="346EE00C"/>
    <w:lvl w:ilvl="0" w:tplc="B34617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44788E"/>
    <w:multiLevelType w:val="hybridMultilevel"/>
    <w:tmpl w:val="11C64596"/>
    <w:lvl w:ilvl="0" w:tplc="AB50AB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EE7F0F"/>
    <w:multiLevelType w:val="hybridMultilevel"/>
    <w:tmpl w:val="25D83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641578"/>
    <w:multiLevelType w:val="hybridMultilevel"/>
    <w:tmpl w:val="4170C186"/>
    <w:lvl w:ilvl="0" w:tplc="B34617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1E69D7"/>
    <w:multiLevelType w:val="hybridMultilevel"/>
    <w:tmpl w:val="6574755E"/>
    <w:lvl w:ilvl="0" w:tplc="5D38943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475328"/>
    <w:multiLevelType w:val="hybridMultilevel"/>
    <w:tmpl w:val="DF1A9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1848700">
    <w:abstractNumId w:val="1"/>
  </w:num>
  <w:num w:numId="2" w16cid:durableId="980841830">
    <w:abstractNumId w:val="4"/>
  </w:num>
  <w:num w:numId="3" w16cid:durableId="1838381622">
    <w:abstractNumId w:val="6"/>
  </w:num>
  <w:num w:numId="4" w16cid:durableId="1182089206">
    <w:abstractNumId w:val="7"/>
  </w:num>
  <w:num w:numId="5" w16cid:durableId="522405527">
    <w:abstractNumId w:val="3"/>
  </w:num>
  <w:num w:numId="6" w16cid:durableId="1250307577">
    <w:abstractNumId w:val="5"/>
  </w:num>
  <w:num w:numId="7" w16cid:durableId="755134851">
    <w:abstractNumId w:val="0"/>
  </w:num>
  <w:num w:numId="8" w16cid:durableId="1084378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D1"/>
    <w:rsid w:val="0017395A"/>
    <w:rsid w:val="00206CA2"/>
    <w:rsid w:val="002A30C0"/>
    <w:rsid w:val="002F49B2"/>
    <w:rsid w:val="003A3694"/>
    <w:rsid w:val="00490AAD"/>
    <w:rsid w:val="004F47E6"/>
    <w:rsid w:val="00565262"/>
    <w:rsid w:val="006654DD"/>
    <w:rsid w:val="00992F3B"/>
    <w:rsid w:val="00A97565"/>
    <w:rsid w:val="00D14811"/>
    <w:rsid w:val="00E07DD1"/>
    <w:rsid w:val="00F709B8"/>
    <w:rsid w:val="00FA3B9E"/>
    <w:rsid w:val="00FC1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F5A6"/>
  <w15:chartTrackingRefBased/>
  <w15:docId w15:val="{E86E4E55-2D8C-4792-9AE6-1292AFD5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D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7D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D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D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7D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7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D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7D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D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D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7D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7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DD1"/>
    <w:rPr>
      <w:rFonts w:eastAsiaTheme="majorEastAsia" w:cstheme="majorBidi"/>
      <w:color w:val="272727" w:themeColor="text1" w:themeTint="D8"/>
    </w:rPr>
  </w:style>
  <w:style w:type="paragraph" w:styleId="Title">
    <w:name w:val="Title"/>
    <w:basedOn w:val="Normal"/>
    <w:next w:val="Normal"/>
    <w:link w:val="TitleChar"/>
    <w:uiPriority w:val="10"/>
    <w:qFormat/>
    <w:rsid w:val="00E07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DD1"/>
    <w:pPr>
      <w:spacing w:before="160"/>
      <w:jc w:val="center"/>
    </w:pPr>
    <w:rPr>
      <w:i/>
      <w:iCs/>
      <w:color w:val="404040" w:themeColor="text1" w:themeTint="BF"/>
    </w:rPr>
  </w:style>
  <w:style w:type="character" w:customStyle="1" w:styleId="QuoteChar">
    <w:name w:val="Quote Char"/>
    <w:basedOn w:val="DefaultParagraphFont"/>
    <w:link w:val="Quote"/>
    <w:uiPriority w:val="29"/>
    <w:rsid w:val="00E07DD1"/>
    <w:rPr>
      <w:i/>
      <w:iCs/>
      <w:color w:val="404040" w:themeColor="text1" w:themeTint="BF"/>
    </w:rPr>
  </w:style>
  <w:style w:type="paragraph" w:styleId="ListParagraph">
    <w:name w:val="List Paragraph"/>
    <w:basedOn w:val="Normal"/>
    <w:uiPriority w:val="34"/>
    <w:qFormat/>
    <w:rsid w:val="00E07DD1"/>
    <w:pPr>
      <w:ind w:left="720"/>
      <w:contextualSpacing/>
    </w:pPr>
  </w:style>
  <w:style w:type="character" w:styleId="IntenseEmphasis">
    <w:name w:val="Intense Emphasis"/>
    <w:basedOn w:val="DefaultParagraphFont"/>
    <w:uiPriority w:val="21"/>
    <w:qFormat/>
    <w:rsid w:val="00E07DD1"/>
    <w:rPr>
      <w:i/>
      <w:iCs/>
      <w:color w:val="2F5496" w:themeColor="accent1" w:themeShade="BF"/>
    </w:rPr>
  </w:style>
  <w:style w:type="paragraph" w:styleId="IntenseQuote">
    <w:name w:val="Intense Quote"/>
    <w:basedOn w:val="Normal"/>
    <w:next w:val="Normal"/>
    <w:link w:val="IntenseQuoteChar"/>
    <w:uiPriority w:val="30"/>
    <w:qFormat/>
    <w:rsid w:val="00E07D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7DD1"/>
    <w:rPr>
      <w:i/>
      <w:iCs/>
      <w:color w:val="2F5496" w:themeColor="accent1" w:themeShade="BF"/>
    </w:rPr>
  </w:style>
  <w:style w:type="character" w:styleId="IntenseReference">
    <w:name w:val="Intense Reference"/>
    <w:basedOn w:val="DefaultParagraphFont"/>
    <w:uiPriority w:val="32"/>
    <w:qFormat/>
    <w:rsid w:val="00E07DD1"/>
    <w:rPr>
      <w:b/>
      <w:bCs/>
      <w:smallCaps/>
      <w:color w:val="2F5496" w:themeColor="accent1" w:themeShade="BF"/>
      <w:spacing w:val="5"/>
    </w:rPr>
  </w:style>
  <w:style w:type="table" w:styleId="TableGrid">
    <w:name w:val="Table Grid"/>
    <w:basedOn w:val="TableNormal"/>
    <w:uiPriority w:val="39"/>
    <w:rsid w:val="00E0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1154">
          <w:marLeft w:val="0"/>
          <w:marRight w:val="0"/>
          <w:marTop w:val="0"/>
          <w:marBottom w:val="0"/>
          <w:divBdr>
            <w:top w:val="none" w:sz="0" w:space="0" w:color="auto"/>
            <w:left w:val="none" w:sz="0" w:space="0" w:color="auto"/>
            <w:bottom w:val="none" w:sz="0" w:space="0" w:color="auto"/>
            <w:right w:val="none" w:sz="0" w:space="0" w:color="auto"/>
          </w:divBdr>
          <w:divsChild>
            <w:div w:id="1142818722">
              <w:marLeft w:val="0"/>
              <w:marRight w:val="0"/>
              <w:marTop w:val="0"/>
              <w:marBottom w:val="0"/>
              <w:divBdr>
                <w:top w:val="none" w:sz="0" w:space="0" w:color="auto"/>
                <w:left w:val="none" w:sz="0" w:space="0" w:color="auto"/>
                <w:bottom w:val="none" w:sz="0" w:space="0" w:color="auto"/>
                <w:right w:val="none" w:sz="0" w:space="0" w:color="auto"/>
              </w:divBdr>
              <w:divsChild>
                <w:div w:id="1347831404">
                  <w:marLeft w:val="0"/>
                  <w:marRight w:val="0"/>
                  <w:marTop w:val="0"/>
                  <w:marBottom w:val="0"/>
                  <w:divBdr>
                    <w:top w:val="none" w:sz="0" w:space="0" w:color="auto"/>
                    <w:left w:val="none" w:sz="0" w:space="0" w:color="auto"/>
                    <w:bottom w:val="none" w:sz="0" w:space="0" w:color="auto"/>
                    <w:right w:val="none" w:sz="0" w:space="0" w:color="auto"/>
                  </w:divBdr>
                  <w:divsChild>
                    <w:div w:id="104617058">
                      <w:marLeft w:val="0"/>
                      <w:marRight w:val="0"/>
                      <w:marTop w:val="0"/>
                      <w:marBottom w:val="0"/>
                      <w:divBdr>
                        <w:top w:val="none" w:sz="0" w:space="0" w:color="auto"/>
                        <w:left w:val="none" w:sz="0" w:space="0" w:color="auto"/>
                        <w:bottom w:val="none" w:sz="0" w:space="0" w:color="auto"/>
                        <w:right w:val="none" w:sz="0" w:space="0" w:color="auto"/>
                      </w:divBdr>
                      <w:divsChild>
                        <w:div w:id="14758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50296">
      <w:bodyDiv w:val="1"/>
      <w:marLeft w:val="0"/>
      <w:marRight w:val="0"/>
      <w:marTop w:val="0"/>
      <w:marBottom w:val="0"/>
      <w:divBdr>
        <w:top w:val="none" w:sz="0" w:space="0" w:color="auto"/>
        <w:left w:val="none" w:sz="0" w:space="0" w:color="auto"/>
        <w:bottom w:val="none" w:sz="0" w:space="0" w:color="auto"/>
        <w:right w:val="none" w:sz="0" w:space="0" w:color="auto"/>
      </w:divBdr>
    </w:div>
    <w:div w:id="210921982">
      <w:bodyDiv w:val="1"/>
      <w:marLeft w:val="0"/>
      <w:marRight w:val="0"/>
      <w:marTop w:val="0"/>
      <w:marBottom w:val="0"/>
      <w:divBdr>
        <w:top w:val="none" w:sz="0" w:space="0" w:color="auto"/>
        <w:left w:val="none" w:sz="0" w:space="0" w:color="auto"/>
        <w:bottom w:val="none" w:sz="0" w:space="0" w:color="auto"/>
        <w:right w:val="none" w:sz="0" w:space="0" w:color="auto"/>
      </w:divBdr>
    </w:div>
    <w:div w:id="217281349">
      <w:bodyDiv w:val="1"/>
      <w:marLeft w:val="0"/>
      <w:marRight w:val="0"/>
      <w:marTop w:val="0"/>
      <w:marBottom w:val="0"/>
      <w:divBdr>
        <w:top w:val="none" w:sz="0" w:space="0" w:color="auto"/>
        <w:left w:val="none" w:sz="0" w:space="0" w:color="auto"/>
        <w:bottom w:val="none" w:sz="0" w:space="0" w:color="auto"/>
        <w:right w:val="none" w:sz="0" w:space="0" w:color="auto"/>
      </w:divBdr>
    </w:div>
    <w:div w:id="486243699">
      <w:bodyDiv w:val="1"/>
      <w:marLeft w:val="0"/>
      <w:marRight w:val="0"/>
      <w:marTop w:val="0"/>
      <w:marBottom w:val="0"/>
      <w:divBdr>
        <w:top w:val="none" w:sz="0" w:space="0" w:color="auto"/>
        <w:left w:val="none" w:sz="0" w:space="0" w:color="auto"/>
        <w:bottom w:val="none" w:sz="0" w:space="0" w:color="auto"/>
        <w:right w:val="none" w:sz="0" w:space="0" w:color="auto"/>
      </w:divBdr>
    </w:div>
    <w:div w:id="566499201">
      <w:bodyDiv w:val="1"/>
      <w:marLeft w:val="0"/>
      <w:marRight w:val="0"/>
      <w:marTop w:val="0"/>
      <w:marBottom w:val="0"/>
      <w:divBdr>
        <w:top w:val="none" w:sz="0" w:space="0" w:color="auto"/>
        <w:left w:val="none" w:sz="0" w:space="0" w:color="auto"/>
        <w:bottom w:val="none" w:sz="0" w:space="0" w:color="auto"/>
        <w:right w:val="none" w:sz="0" w:space="0" w:color="auto"/>
      </w:divBdr>
    </w:div>
    <w:div w:id="683828178">
      <w:bodyDiv w:val="1"/>
      <w:marLeft w:val="0"/>
      <w:marRight w:val="0"/>
      <w:marTop w:val="0"/>
      <w:marBottom w:val="0"/>
      <w:divBdr>
        <w:top w:val="none" w:sz="0" w:space="0" w:color="auto"/>
        <w:left w:val="none" w:sz="0" w:space="0" w:color="auto"/>
        <w:bottom w:val="none" w:sz="0" w:space="0" w:color="auto"/>
        <w:right w:val="none" w:sz="0" w:space="0" w:color="auto"/>
      </w:divBdr>
      <w:divsChild>
        <w:div w:id="689260163">
          <w:marLeft w:val="0"/>
          <w:marRight w:val="0"/>
          <w:marTop w:val="0"/>
          <w:marBottom w:val="0"/>
          <w:divBdr>
            <w:top w:val="none" w:sz="0" w:space="0" w:color="auto"/>
            <w:left w:val="none" w:sz="0" w:space="0" w:color="auto"/>
            <w:bottom w:val="none" w:sz="0" w:space="0" w:color="auto"/>
            <w:right w:val="none" w:sz="0" w:space="0" w:color="auto"/>
          </w:divBdr>
          <w:divsChild>
            <w:div w:id="1657997283">
              <w:marLeft w:val="0"/>
              <w:marRight w:val="0"/>
              <w:marTop w:val="0"/>
              <w:marBottom w:val="0"/>
              <w:divBdr>
                <w:top w:val="none" w:sz="0" w:space="0" w:color="auto"/>
                <w:left w:val="none" w:sz="0" w:space="0" w:color="auto"/>
                <w:bottom w:val="none" w:sz="0" w:space="0" w:color="auto"/>
                <w:right w:val="none" w:sz="0" w:space="0" w:color="auto"/>
              </w:divBdr>
              <w:divsChild>
                <w:div w:id="790906210">
                  <w:marLeft w:val="0"/>
                  <w:marRight w:val="0"/>
                  <w:marTop w:val="0"/>
                  <w:marBottom w:val="0"/>
                  <w:divBdr>
                    <w:top w:val="none" w:sz="0" w:space="0" w:color="auto"/>
                    <w:left w:val="none" w:sz="0" w:space="0" w:color="auto"/>
                    <w:bottom w:val="none" w:sz="0" w:space="0" w:color="auto"/>
                    <w:right w:val="none" w:sz="0" w:space="0" w:color="auto"/>
                  </w:divBdr>
                  <w:divsChild>
                    <w:div w:id="1278830267">
                      <w:marLeft w:val="0"/>
                      <w:marRight w:val="0"/>
                      <w:marTop w:val="0"/>
                      <w:marBottom w:val="0"/>
                      <w:divBdr>
                        <w:top w:val="none" w:sz="0" w:space="0" w:color="auto"/>
                        <w:left w:val="none" w:sz="0" w:space="0" w:color="auto"/>
                        <w:bottom w:val="none" w:sz="0" w:space="0" w:color="auto"/>
                        <w:right w:val="none" w:sz="0" w:space="0" w:color="auto"/>
                      </w:divBdr>
                      <w:divsChild>
                        <w:div w:id="1684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450387">
      <w:bodyDiv w:val="1"/>
      <w:marLeft w:val="0"/>
      <w:marRight w:val="0"/>
      <w:marTop w:val="0"/>
      <w:marBottom w:val="0"/>
      <w:divBdr>
        <w:top w:val="none" w:sz="0" w:space="0" w:color="auto"/>
        <w:left w:val="none" w:sz="0" w:space="0" w:color="auto"/>
        <w:bottom w:val="none" w:sz="0" w:space="0" w:color="auto"/>
        <w:right w:val="none" w:sz="0" w:space="0" w:color="auto"/>
      </w:divBdr>
    </w:div>
    <w:div w:id="871529309">
      <w:bodyDiv w:val="1"/>
      <w:marLeft w:val="0"/>
      <w:marRight w:val="0"/>
      <w:marTop w:val="0"/>
      <w:marBottom w:val="0"/>
      <w:divBdr>
        <w:top w:val="none" w:sz="0" w:space="0" w:color="auto"/>
        <w:left w:val="none" w:sz="0" w:space="0" w:color="auto"/>
        <w:bottom w:val="none" w:sz="0" w:space="0" w:color="auto"/>
        <w:right w:val="none" w:sz="0" w:space="0" w:color="auto"/>
      </w:divBdr>
    </w:div>
    <w:div w:id="940798031">
      <w:bodyDiv w:val="1"/>
      <w:marLeft w:val="0"/>
      <w:marRight w:val="0"/>
      <w:marTop w:val="0"/>
      <w:marBottom w:val="0"/>
      <w:divBdr>
        <w:top w:val="none" w:sz="0" w:space="0" w:color="auto"/>
        <w:left w:val="none" w:sz="0" w:space="0" w:color="auto"/>
        <w:bottom w:val="none" w:sz="0" w:space="0" w:color="auto"/>
        <w:right w:val="none" w:sz="0" w:space="0" w:color="auto"/>
      </w:divBdr>
    </w:div>
    <w:div w:id="959458246">
      <w:bodyDiv w:val="1"/>
      <w:marLeft w:val="0"/>
      <w:marRight w:val="0"/>
      <w:marTop w:val="0"/>
      <w:marBottom w:val="0"/>
      <w:divBdr>
        <w:top w:val="none" w:sz="0" w:space="0" w:color="auto"/>
        <w:left w:val="none" w:sz="0" w:space="0" w:color="auto"/>
        <w:bottom w:val="none" w:sz="0" w:space="0" w:color="auto"/>
        <w:right w:val="none" w:sz="0" w:space="0" w:color="auto"/>
      </w:divBdr>
    </w:div>
    <w:div w:id="968319907">
      <w:bodyDiv w:val="1"/>
      <w:marLeft w:val="0"/>
      <w:marRight w:val="0"/>
      <w:marTop w:val="0"/>
      <w:marBottom w:val="0"/>
      <w:divBdr>
        <w:top w:val="none" w:sz="0" w:space="0" w:color="auto"/>
        <w:left w:val="none" w:sz="0" w:space="0" w:color="auto"/>
        <w:bottom w:val="none" w:sz="0" w:space="0" w:color="auto"/>
        <w:right w:val="none" w:sz="0" w:space="0" w:color="auto"/>
      </w:divBdr>
    </w:div>
    <w:div w:id="982540639">
      <w:bodyDiv w:val="1"/>
      <w:marLeft w:val="0"/>
      <w:marRight w:val="0"/>
      <w:marTop w:val="0"/>
      <w:marBottom w:val="0"/>
      <w:divBdr>
        <w:top w:val="none" w:sz="0" w:space="0" w:color="auto"/>
        <w:left w:val="none" w:sz="0" w:space="0" w:color="auto"/>
        <w:bottom w:val="none" w:sz="0" w:space="0" w:color="auto"/>
        <w:right w:val="none" w:sz="0" w:space="0" w:color="auto"/>
      </w:divBdr>
    </w:div>
    <w:div w:id="1155605075">
      <w:bodyDiv w:val="1"/>
      <w:marLeft w:val="0"/>
      <w:marRight w:val="0"/>
      <w:marTop w:val="0"/>
      <w:marBottom w:val="0"/>
      <w:divBdr>
        <w:top w:val="none" w:sz="0" w:space="0" w:color="auto"/>
        <w:left w:val="none" w:sz="0" w:space="0" w:color="auto"/>
        <w:bottom w:val="none" w:sz="0" w:space="0" w:color="auto"/>
        <w:right w:val="none" w:sz="0" w:space="0" w:color="auto"/>
      </w:divBdr>
    </w:div>
    <w:div w:id="1290165388">
      <w:bodyDiv w:val="1"/>
      <w:marLeft w:val="0"/>
      <w:marRight w:val="0"/>
      <w:marTop w:val="0"/>
      <w:marBottom w:val="0"/>
      <w:divBdr>
        <w:top w:val="none" w:sz="0" w:space="0" w:color="auto"/>
        <w:left w:val="none" w:sz="0" w:space="0" w:color="auto"/>
        <w:bottom w:val="none" w:sz="0" w:space="0" w:color="auto"/>
        <w:right w:val="none" w:sz="0" w:space="0" w:color="auto"/>
      </w:divBdr>
    </w:div>
    <w:div w:id="1437558204">
      <w:bodyDiv w:val="1"/>
      <w:marLeft w:val="0"/>
      <w:marRight w:val="0"/>
      <w:marTop w:val="0"/>
      <w:marBottom w:val="0"/>
      <w:divBdr>
        <w:top w:val="none" w:sz="0" w:space="0" w:color="auto"/>
        <w:left w:val="none" w:sz="0" w:space="0" w:color="auto"/>
        <w:bottom w:val="none" w:sz="0" w:space="0" w:color="auto"/>
        <w:right w:val="none" w:sz="0" w:space="0" w:color="auto"/>
      </w:divBdr>
    </w:div>
    <w:div w:id="1562640844">
      <w:bodyDiv w:val="1"/>
      <w:marLeft w:val="0"/>
      <w:marRight w:val="0"/>
      <w:marTop w:val="0"/>
      <w:marBottom w:val="0"/>
      <w:divBdr>
        <w:top w:val="none" w:sz="0" w:space="0" w:color="auto"/>
        <w:left w:val="none" w:sz="0" w:space="0" w:color="auto"/>
        <w:bottom w:val="none" w:sz="0" w:space="0" w:color="auto"/>
        <w:right w:val="none" w:sz="0" w:space="0" w:color="auto"/>
      </w:divBdr>
    </w:div>
    <w:div w:id="1605460947">
      <w:bodyDiv w:val="1"/>
      <w:marLeft w:val="0"/>
      <w:marRight w:val="0"/>
      <w:marTop w:val="0"/>
      <w:marBottom w:val="0"/>
      <w:divBdr>
        <w:top w:val="none" w:sz="0" w:space="0" w:color="auto"/>
        <w:left w:val="none" w:sz="0" w:space="0" w:color="auto"/>
        <w:bottom w:val="none" w:sz="0" w:space="0" w:color="auto"/>
        <w:right w:val="none" w:sz="0" w:space="0" w:color="auto"/>
      </w:divBdr>
    </w:div>
    <w:div w:id="1622491060">
      <w:bodyDiv w:val="1"/>
      <w:marLeft w:val="0"/>
      <w:marRight w:val="0"/>
      <w:marTop w:val="0"/>
      <w:marBottom w:val="0"/>
      <w:divBdr>
        <w:top w:val="none" w:sz="0" w:space="0" w:color="auto"/>
        <w:left w:val="none" w:sz="0" w:space="0" w:color="auto"/>
        <w:bottom w:val="none" w:sz="0" w:space="0" w:color="auto"/>
        <w:right w:val="none" w:sz="0" w:space="0" w:color="auto"/>
      </w:divBdr>
    </w:div>
    <w:div w:id="1624457089">
      <w:bodyDiv w:val="1"/>
      <w:marLeft w:val="0"/>
      <w:marRight w:val="0"/>
      <w:marTop w:val="0"/>
      <w:marBottom w:val="0"/>
      <w:divBdr>
        <w:top w:val="none" w:sz="0" w:space="0" w:color="auto"/>
        <w:left w:val="none" w:sz="0" w:space="0" w:color="auto"/>
        <w:bottom w:val="none" w:sz="0" w:space="0" w:color="auto"/>
        <w:right w:val="none" w:sz="0" w:space="0" w:color="auto"/>
      </w:divBdr>
    </w:div>
    <w:div w:id="1652295244">
      <w:bodyDiv w:val="1"/>
      <w:marLeft w:val="0"/>
      <w:marRight w:val="0"/>
      <w:marTop w:val="0"/>
      <w:marBottom w:val="0"/>
      <w:divBdr>
        <w:top w:val="none" w:sz="0" w:space="0" w:color="auto"/>
        <w:left w:val="none" w:sz="0" w:space="0" w:color="auto"/>
        <w:bottom w:val="none" w:sz="0" w:space="0" w:color="auto"/>
        <w:right w:val="none" w:sz="0" w:space="0" w:color="auto"/>
      </w:divBdr>
    </w:div>
    <w:div w:id="1838613136">
      <w:bodyDiv w:val="1"/>
      <w:marLeft w:val="0"/>
      <w:marRight w:val="0"/>
      <w:marTop w:val="0"/>
      <w:marBottom w:val="0"/>
      <w:divBdr>
        <w:top w:val="none" w:sz="0" w:space="0" w:color="auto"/>
        <w:left w:val="none" w:sz="0" w:space="0" w:color="auto"/>
        <w:bottom w:val="none" w:sz="0" w:space="0" w:color="auto"/>
        <w:right w:val="none" w:sz="0" w:space="0" w:color="auto"/>
      </w:divBdr>
    </w:div>
    <w:div w:id="1911884897">
      <w:bodyDiv w:val="1"/>
      <w:marLeft w:val="0"/>
      <w:marRight w:val="0"/>
      <w:marTop w:val="0"/>
      <w:marBottom w:val="0"/>
      <w:divBdr>
        <w:top w:val="none" w:sz="0" w:space="0" w:color="auto"/>
        <w:left w:val="none" w:sz="0" w:space="0" w:color="auto"/>
        <w:bottom w:val="none" w:sz="0" w:space="0" w:color="auto"/>
        <w:right w:val="none" w:sz="0" w:space="0" w:color="auto"/>
      </w:divBdr>
    </w:div>
    <w:div w:id="1928073754">
      <w:bodyDiv w:val="1"/>
      <w:marLeft w:val="0"/>
      <w:marRight w:val="0"/>
      <w:marTop w:val="0"/>
      <w:marBottom w:val="0"/>
      <w:divBdr>
        <w:top w:val="none" w:sz="0" w:space="0" w:color="auto"/>
        <w:left w:val="none" w:sz="0" w:space="0" w:color="auto"/>
        <w:bottom w:val="none" w:sz="0" w:space="0" w:color="auto"/>
        <w:right w:val="none" w:sz="0" w:space="0" w:color="auto"/>
      </w:divBdr>
    </w:div>
    <w:div w:id="198503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Kushwah</dc:creator>
  <cp:keywords/>
  <dc:description/>
  <cp:lastModifiedBy>Nitin Kushwah</cp:lastModifiedBy>
  <cp:revision>4</cp:revision>
  <dcterms:created xsi:type="dcterms:W3CDTF">2025-06-10T11:47:00Z</dcterms:created>
  <dcterms:modified xsi:type="dcterms:W3CDTF">2025-06-10T13:06:00Z</dcterms:modified>
</cp:coreProperties>
</file>