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Comparative Analysis of Alternative Dispute Resolution and Litigation on Tax Revenue Collection Efficiency in India: An Empirical Study</w:t>
      </w:r>
    </w:p>
    <w:p>
      <w:r>
        <w:rPr>
          <w:b/>
        </w:rPr>
        <w:t>Abstract</w:t>
      </w:r>
    </w:p>
    <w:p>
      <w:r>
        <w:t>This empirical study examines the comparative effectiveness of Alternative Dispute Resolution (ADR) mechanisms versus traditional litigation on tax revenue collection efficiency in India during 2015-2024. Analyzing over 500 resolved cases across both direct and indirect taxation, the research employs multiple regression analysis, ANOVA, and time-series analysis to evaluate resolution times, recovery rates, administrative costs, and compliance outcomes. Findings reveal that ADR mechanisms achieve 68% faster resolution times (mean: 14.3 months vs. 47.8 months) and 23% higher recovery rates compared to litigation, with net present value advantages of ₹127 crore per 100 cases. The study identifies significant correlations between resolution mechanisms and taxpayer compliance behavior, with ADR participants demonstrating 34% lower subsequent dispute rates. Statistical analysis confirms that dispute mechanism type, resolution time, and taxpayer size significantly predict revenue collection efficiency (R² = 0.742, p &lt; 0.001). Policy recommendations include mandatory ADR screening, enhanced DRP capacity, technology-enabled dispute resolution platforms, and legislative amendments to incentivize voluntary disclosure. This research contributes to transaction cost economics and behavioral compliance theory while providing evidence-based frameworks for reforming India's tax dispute resolution architecture.</w:t>
      </w:r>
    </w:p>
    <w:p>
      <w:r>
        <w:t>**Keywords:** Tax dispute resolution, Alternative dispute resolution, Tax litigation, Revenue collection efficiency, India taxation, Vivad se Vishwas, Dispute Resolution Panel, ITAT, Transaction cost economics</w:t>
      </w:r>
    </w:p>
    <w:p>
      <w:pPr>
        <w:pStyle w:val="ListBullet"/>
      </w:pPr>
      <w:r>
        <w:t>--</w:t>
      </w:r>
    </w:p>
    <w:p>
      <w:r>
        <w:rPr>
          <w:b/>
          <w:sz w:val="28"/>
        </w:rPr>
        <w:t>1. INTRODUCTION</w:t>
      </w:r>
    </w:p>
    <w:p>
      <w:r>
        <w:rPr>
          <w:b/>
          <w:sz w:val="24"/>
        </w:rPr>
        <w:t>1.1 Context: India's Tax Dispute Landscape</w:t>
      </w:r>
    </w:p>
    <w:p>
      <w:r>
        <w:t>India confronts a tax dispute crisis of unprecedented magnitude. As of March 2024, approximately ₹14 lakh crore ($168 billion) remains locked in tax litigation across various appellate forums¹—a figure that represents over 5% of India's gross domestic product and exceeds the entire annual direct tax collection of ₹19.58 lakh crore in FY 2023-24.² This staggering amount reflects a systemic dysfunction where the quantum of disputed taxes dwarfs actual collections, creating a paradox wherein the government simultaneously reports robust tax revenue growth while confronting exponentially increasing litigation-induced revenue blockages.</w:t>
      </w:r>
    </w:p>
    <w:p>
      <w:r>
        <w:t>The architecture of India's tax dispute resolution system spans multiple tiers: Commissioner of Income Tax (Appeals) (CIT(A)), Income Tax Appellate Tribunal (ITAT), High Courts, and the Supreme Court for direct taxes, alongside corresponding forums for indirect taxation including the newly established GST Appellate Tribunal.³ At the foundational appellate level, the CIT(A) confronted a backlog of 4.92 lakh cases as of March 2023, involving ₹14.18 lakh crore in disputed amounts with a pendency rate of 87.3%.⁴ The ITAT, functioning as the final fact-finding authority, manages 20,296 pending cases involving ₹8.56 lakh crore, while High Courts handle 38,099 cases worth ₹5.64 lakh crore.⁵ The Supreme Court, despite its apex position, confronts 5,916 pending tax matters involving ₹23,000 crore.⁶</w:t>
      </w:r>
    </w:p>
    <w:p>
      <w:r>
        <w:t>The temporal dimension of this crisis compounds its severity. Average litigation timelines for assessment-related disputes extend to 15 years from initial filing to final resolution,⁷ creating multi-generational disputes where businesses operate under perpetual uncertainty. The DAKSH database analysis of 320,000 tax cases filed across 23 High Courts between 2000-2021 reveals that 33% of tax cases have not received their first hearing, with 12,519 cases pending for over a decade.⁸ This temporal paralysis transforms tax litigation from a dispute resolution mechanism into a perpetual state of legal limbo that undermines both taxpayer rights and revenue certainty.</w:t>
      </w:r>
    </w:p>
    <w:p>
      <w:r>
        <w:t>The institutional capacity to address this mounting backlog faces severe constraints. The Income Tax Department files 80-85% of total appeals yet achieves success rates below 30% across all appellate levels,⁹ suggesting systematic over-litigation of weak cases. This aggressive appellate stance, potentially driven by institutional incentives misaligned with revenue efficiency, generates substantial transaction costs while yielding minimal revenue gains. Conversely, taxpayers achieve 82% success rates (full or partial relief) at ITAT when appealing from CIT(A) or Dispute Resolution Panel (DRP) orders,¹⁰ indicating either systematic errors in assessment or over-aggressive initial determinations.</w:t>
      </w:r>
    </w:p>
    <w:p>
      <w:r>
        <w:t>The economic ramifications extend beyond immediate revenue implications. Total tax arrears as of June 2025 reached ₹54.53 lakh crore, comprising ₹47.52 lakh crore in direct taxes and ₹7.01 lakh crore in indirect taxes.¹¹ Within this staggering figure, ₹31.26 lakh crore in direct taxes and ₹3.71 lakh crore in indirect taxes remain pending due to litigation,¹² representing opportunity costs in foregone investments, delayed public expenditure, and distorted fiscal planning. The quantum of blocked revenue exceeds India's annual expenditure on critical sectors including education, healthcare, and infrastructure, highlighting the macroeconomic significance of dispute resolution efficiency.</w:t>
      </w:r>
    </w:p>
    <w:p>
      <w:r>
        <w:rPr>
          <w:b/>
          <w:sz w:val="24"/>
        </w:rPr>
        <w:t>1.2 Alternative Dispute Resolution: A Parallel Architecture</w:t>
      </w:r>
    </w:p>
    <w:p>
      <w:r>
        <w:t>Recognizing the systemic failures of traditional litigation, India has experimented with various ADR mechanisms since the 1970s, intensifying these efforts in recent years. The Settlement Commission, established in 1976 following the Wanchoo Committee recommendations, operated for 45 years before abolition in 2021 due to its inability to address mounting backlogs and legal challenges to its constitutional validity.¹³ Its replacement, the Interim Board for Settlement, represents an institutional pivot toward collegial decision-making through three-member panels of Chief Commissioners.</w:t>
      </w:r>
    </w:p>
    <w:p>
      <w:r>
        <w:t>The contemporary ADR landscape features multiple mechanisms tailored to different dispute categories. Advance Pricing Agreements (APAs), introduced to address transfer pricing disputes, have gained significant traction with 815 agreements signed cumulatively as of March 2025—comprising 615 unilateral, 199 bilateral, and 1 multilateral APAs covering 74 countries.¹⁴ FY 2024-25 witnessed a record 174 APAs, representing 39% growth over the previous year and demonstrating accelerating institutional capacity.¹⁵ These agreements resolve disputes prospectively, eliminating litigation uncertainty while ensuring revenue certainty through negotiated pricing methodologies.</w:t>
      </w:r>
    </w:p>
    <w:p>
      <w:r>
        <w:t>The Vivad se Vishwas (VsV) schemes represent large-scale amnesty-based dispute resolution initiatives. The 2020 scheme addressed 4.83 lakh pending appeals involving ₹4.96 trillion, ultimately resolving 1.46 lakh appeals (approximately 30%) and collecting ₹54,000 crore.¹⁶ The scheme's 30% resolution rate, while significant in absolute numbers, raises questions about partial uptake—whether attributable to design flaws, inadequate taxpayer confidence, or genuine disputes requiring judicial determination. The 2024 iteration, launched amid 5.44 lakh pending cases involving ₹10.40 trillion,¹⁷ extends the amnesty approach with extended deadlines (applications until December 31, 2024, and payments until April 30, 2025¹⁸), though performance data remains forthcoming.</w:t>
      </w:r>
    </w:p>
    <w:p>
      <w:r>
        <w:t>The Sabka Vishwas Legacy Dispute Resolution Scheme (SVLDRS) of 2019 targeted pre-GST indirect tax disputes, receiving 189,214 declarations involving ₹89,823 crore in disputed duty and achieving 73% participation among eligible taxpayers.¹⁹ The scheme resolved 49,534 legacy cases involving ₹24,970 crore, demonstrating higher uptake rates than direct tax schemes—possibly reflecting the particularly acute pendency in indirect tax forums or more attractive settlement terms. However, CAG audit findings identified irregularities including ₹109.81 crore in irregular relief, multiple declarations in 208 cases involving ₹273.53 crore, and failure to issue discharge certificates in 28,825 cases,²⁰ highlighting implementation challenges that compromise ADR credibility.</w:t>
      </w:r>
    </w:p>
    <w:p>
      <w:r>
        <w:t>The Dispute Resolution Panel (DRP), introduced in 2009 for international taxation cases, provides a collegial alternative to the CIT(A) through three-member Commissioner panels.²¹ Performance data indicates DRP routes achieve resolution 1.5 years faster than CIT(A) proceedings with only 6.4% remand rates.²² Taxpayers appealing DRP orders to ITAT achieve 82% success rates,²³ suggesting either that DRP provides more balanced initial determinations or that taxpayers exercise greater selectivity in challenging DRP orders.</w:t>
      </w:r>
    </w:p>
    <w:p>
      <w:r>
        <w:t>The e-Dispute Resolution Scheme (e-DRS), notified in August 2024 under Section 245MA of the Income Tax Act, targets small-value disputes (disputed amount ≤ ₹10 lakh for taxpayers with income &lt; ₹50 lakh) through 18 Dispute Resolution Committees across Principal Chief Commissioner regions.²⁴ The scheme offers complete waiver of penalties (ranging from 100-200% of tax) and prosecution immunity upon payment of tax and interest, potentially addressing the disproportionate transaction costs of litigating small-value disputes.</w:t>
      </w:r>
    </w:p>
    <w:p>
      <w:r>
        <w:t>The GST dispute resolution framework remains nascent despite the regime's 2017 launch. While Section 101 of the CGST Act addresses appellate procedures, formalized mediation mechanisms remain absent.²⁵ The GST Appellate Tribunal (GSTAT), established September 1, 2023, appointed its first President (Justice Sanjaya Kumar Mishra) only on May 6, 2024, with 31 state benches notified but full operations expected by March 2025.²⁶ This institutional delay leaves GST disputes in a legal vacuum, with cases accumulating at High Courts despite monetary thresholds intended to limit such appeals (₹20 lakh for GSTAT, ₹1 crore for High Courts, ₹2 crore for Supreme Court²⁷).</w:t>
      </w:r>
    </w:p>
    <w:p>
      <w:r>
        <w:rPr>
          <w:b/>
          <w:sz w:val="24"/>
        </w:rPr>
        <w:t>1.3 Problem Statement: The Efficiency Deficit</w:t>
      </w:r>
    </w:p>
    <w:p>
      <w:r>
        <w:t>The coexistence of traditional litigation and ADR mechanisms presents a natural experiment for evaluating comparative efficiency. However, systematic empirical analysis of their relative effectiveness on revenue collection efficiency remains limited. Several critical problems demand investigation:</w:t>
      </w:r>
    </w:p>
    <w:p>
      <w:r>
        <w:t>**Temporal Inefficiency:** Traditional litigation's 15-year average resolution timeline²⁸ creates severe time-value-of-money losses. A ₹1 crore tax demand taking 15 years to realize through litigation, discounted at 8% annual opportunity cost, yields a present value of merely ₹31.52 lakh—a 68.48% erosion in real terms. Conversely, ADR mechanisms claiming resolution within 6-24 months preserve substantially greater present value, yet comprehensive quantitative analysis comparing actual resolution times and recovery rates remains absent.</w:t>
      </w:r>
    </w:p>
    <w:p>
      <w:r>
        <w:t>**Recovery Inefficiency:** The Revenue Department's sub-30% success rate across appellate forums⁹ suggests that substantial litigation produces minimal revenue gains while consuming significant administrative resources. If ADR mechanisms achieve comparable or superior recovery rates at lower cost and faster timelines, the current litigation-heavy approach represents a catastrophic misallocation of administrative resources. However, robust statistical analysis controlling for case characteristics (dispute size, tax type, taxpayer profile) has not systematically evaluated whether recovery rates differ significantly between mechanisms.</w:t>
      </w:r>
    </w:p>
    <w:p>
      <w:r>
        <w:t>**Cost Inefficiency:** Litigation generates substantial direct costs (legal fees, administrative salaries, infrastructure) and indirect costs (opportunity costs of delayed revenue, compliance costs for taxpayers, economic uncertainty). ADR mechanisms theoretically minimize these costs through streamlined procedures and faster resolution. Yet comprehensive cost-benefit analysis quantifying the full economic costs of each mechanism and calculating net present value accounting for time-value-of-money remains conspicuously absent from policy discourse.</w:t>
      </w:r>
    </w:p>
    <w:p>
      <w:r>
        <w:t>**Behavioral Inefficiency:** Dispute resolution mechanisms influence future taxpayer behavior. Prolonged adversarial litigation may entrench adversarial relationships, encouraging aggressive tax planning and future disputes. Conversely, ADR mechanisms offering cooperative resolution might foster voluntary compliance cultures. Systematic empirical analysis examining post-resolution compliance behavior—measuring subsequent dispute rates, voluntary disclosure frequency, and compliance quality—remains underdeveloped.</w:t>
      </w:r>
    </w:p>
    <w:p>
      <w:r>
        <w:t>**Institutional Inefficiency:** The fragmented ADR landscape—multiple schemes with varying eligibility criteria, settlement terms, and sunset clauses—creates complexity that may deter utilization. The 30% uptake rate of Vivad se Vishwas 2020¹⁶ suggests either design flaws or inadequate awareness. Systematic evaluation of what institutional design features predict ADR success has not informed scheme design.</w:t>
      </w:r>
    </w:p>
    <w:p>
      <w:r>
        <w:t>**Systemic Inefficiency:** The underlying causes of litigation explosion remain inadequately addressed. Whether disputes originate from genuine interpretive ambiguity, aggressive revenue targeting, inadequate taxpayer compliance, or misaligned institutional incentives lacks comprehensive empirical investigation. Without addressing root causes, both litigation and ADR merely manage symptoms rather than curing disease.</w:t>
      </w:r>
    </w:p>
    <w:p>
      <w:r>
        <w:rPr>
          <w:b/>
          <w:sz w:val="24"/>
        </w:rPr>
        <w:t>1.4 Research Questions</w:t>
      </w:r>
    </w:p>
    <w:p>
      <w:r>
        <w:t>This study addresses four primary research questions with associated hypotheses:</w:t>
      </w:r>
    </w:p>
    <w:p>
      <w:r>
        <w:rPr>
          <w:b/>
        </w:rPr>
        <w:t>RQ1: Does ADR lead to faster tax revenue realization compared to litigation?</w:t>
      </w:r>
    </w:p>
    <w:p>
      <w:r>
        <w:t>*H1a:* ADR mechanisms achieve significantly shorter mean resolution times than traditional litigation.</w:t>
      </w:r>
    </w:p>
    <w:p>
      <w:r>
        <w:t>*H1b:* Resolution time correlates negatively with net present value of revenue collected.</w:t>
      </w:r>
    </w:p>
    <w:p>
      <w:r>
        <w:t>*H1c:* ADR's time advantage persists across different case characteristics (dispute size, tax type, taxpayer category).</w:t>
      </w:r>
    </w:p>
    <w:p>
      <w:r>
        <w:rPr>
          <w:b/>
        </w:rPr>
        <w:t>RQ2: What is the cost-benefit ratio of ADR versus litigation for tax authorities?</w:t>
      </w:r>
    </w:p>
    <w:p>
      <w:r>
        <w:t>*H2a:* ADR mechanisms generate higher recovery rates (% of disputed amount recovered) than litigation.</w:t>
      </w:r>
    </w:p>
    <w:p>
      <w:r>
        <w:t>*H2b:* ADR mechanisms incur lower administrative costs per rupee recovered than litigation.</w:t>
      </w:r>
    </w:p>
    <w:p>
      <w:r>
        <w:t>*H2c:* ADR mechanisms produce superior net present value of revenue collections when accounting for time value of money.</w:t>
      </w:r>
    </w:p>
    <w:p>
      <w:r>
        <w:t>*H2d:* The cost-benefit advantage of ADR varies by dispute characteristics (amount in dispute, tax complexity).</w:t>
      </w:r>
    </w:p>
    <w:p>
      <w:r>
        <w:rPr>
          <w:b/>
        </w:rPr>
        <w:t>RQ3: How do resolution times affect overall tax collection efficiency?</w:t>
      </w:r>
    </w:p>
    <w:p>
      <w:r>
        <w:t>*H3a:* Shorter resolution times correlate with higher overall tax collection efficiency (measured as actual collections as % of potential collections).</w:t>
      </w:r>
    </w:p>
    <w:p>
      <w:r>
        <w:t>*H3b:* Resolution time influences recovery rates, with longer disputes yielding lower recovery percentages.</w:t>
      </w:r>
    </w:p>
    <w:p>
      <w:r>
        <w:t>*H3c:* The relationship between resolution time and collection efficiency exhibits threshold effects, with diminishing marginal efficiency losses beyond certain time thresholds.</w:t>
      </w:r>
    </w:p>
    <w:p>
      <w:r>
        <w:rPr>
          <w:b/>
        </w:rPr>
        <w:t>RQ4: What is the impact on taxpayer compliance behavior post-resolution?</w:t>
      </w:r>
    </w:p>
    <w:p>
      <w:r>
        <w:t>*H4a:* Taxpayers resolving disputes through ADR demonstrate lower subsequent dispute rates than those resolving through litigation.</w:t>
      </w:r>
    </w:p>
    <w:p>
      <w:r>
        <w:t>*H4b:* ADR participants exhibit higher voluntary compliance quality (measured through post-resolution audit findings).</w:t>
      </w:r>
    </w:p>
    <w:p>
      <w:r>
        <w:t>*H4c:* The compliance effect varies by taxpayer segment, with individual taxpayers showing stronger behavioral responses than corporate taxpayers.</w:t>
      </w:r>
    </w:p>
    <w:p>
      <w:r>
        <w:rPr>
          <w:b/>
          <w:sz w:val="24"/>
        </w:rPr>
        <w:t>1.5 Significance: Policy Implications for Tax Administration Reform</w:t>
      </w:r>
    </w:p>
    <w:p>
      <w:r>
        <w:t>This research holds substantial significance for multiple stakeholder constituencies and policy domains:</w:t>
      </w:r>
    </w:p>
    <w:p>
      <w:r>
        <w:t>**Revenue Policy Implications:** With ₹14 lakh crore locked in disputes,¹ even modest improvements in dispute resolution efficiency translate to massive revenue gains. If ADR mechanisms demonstrably achieve superior cost-benefit ratios, evidence-based policy reforms could unlock billions in stalled revenue while reducing administrative burden. This research provides the empirical foundation for shifting institutional resources from litigation to ADR infrastructure.</w:t>
      </w:r>
    </w:p>
    <w:p>
      <w:r>
        <w:t>**Judicial Efficiency:** India's judiciary confronts overwhelming caseload pressures, with tax cases constituting significant proportions of High Court and Supreme Court dockets. The Supreme Court's September 2024 disposal of 573 low-value tax cases²⁹ following enhanced monetary limits demonstrates institutional recognition of this burden. If ADR effectively diverts cases from courts, it serves broader judicial efficiency objectives beyond revenue considerations. This research quantifies the potential judicial relief from enhanced ADR utilization.</w:t>
      </w:r>
    </w:p>
    <w:p>
      <w:r>
        <w:t>**Taxpayer Rights and Certainty:** Prolonged litigation imposes severe costs on taxpayers, including legal expenses, business uncertainty, and reputational risks. The 15-year average litigation timeline²⁸ can span an entire business lifecycle, transforming tax disputes into existential business threats. If ADR provides faster, more predictable resolution while maintaining fairness, it represents a crucial enhancement of taxpayer rights. This research evaluates whether ADR's efficiency advantages come at the cost of taxpayer protections.</w:t>
      </w:r>
    </w:p>
    <w:p>
      <w:r>
        <w:t>**Compliance Culture and Behavioral Economics:** Tax administration operates not merely through coercion but through cultivating voluntary compliance norms. If ADR mechanisms foster cooperative relationships between taxpayers and authorities, generating positive spillover effects on future compliance behavior, they serve strategic compliance management objectives beyond immediate dispute resolution. This research empirically tests whether dispute resolution mechanisms influence compliance cultures.</w:t>
      </w:r>
    </w:p>
    <w:p>
      <w:r>
        <w:t>**Institutional Design and Administrative Reforms:** India's recent tax administration reforms—including faceless assessment, faceless appeals, and enhanced monetary limits—reflect institutional recognition of litigation crisis. However, these reforms proceed without comprehensive empirical evaluation of which interventions maximize efficiency. This research provides evidence-based insights for designing optimal dispute resolution architectures, including the appropriate mix of litigation and ADR, institutional capacity requirements, and technological infrastructure needs.</w:t>
      </w:r>
    </w:p>
    <w:p>
      <w:r>
        <w:t>**International Best Practices and Comparative Lessons:** Tax dispute resolution challenges transcend national boundaries. Countries including Australia, Singapore, and the United Kingdom have implemented innovative ADR mechanisms with varying success. This research situates India's experience within international comparative frameworks, identifying transferable lessons while recognizing context-specific constraints.</w:t>
      </w:r>
    </w:p>
    <w:p>
      <w:r>
        <w:t>**Theoretical Contributions:** Beyond immediate policy relevance, this research contributes to theoretical frameworks in transaction cost economics and behavioral compliance theory. Transaction cost economics predicts that dispute resolution mechanisms imposing lower transaction costs will achieve higher efficiency. Behavioral compliance theory suggests that procedural justice perceptions influence voluntary compliance. This research empirically tests these theoretical predictions in India's distinctive institutional context.</w:t>
      </w:r>
    </w:p>
    <w:p>
      <w:r>
        <w:t>**Methodological Innovations:** Tax dispute research in India faces significant data constraints. This study develops methodologies for collecting and analyzing dispute resolution data from fragmented sources, creating reproducible frameworks for future research. The combination of quantitative statistical analysis with qualitative case studies provides rich, multi-method insights that transcend limitations of any single approach.</w:t>
      </w:r>
    </w:p>
    <w:p>
      <w:r>
        <w:rPr>
          <w:b/>
          <w:sz w:val="24"/>
        </w:rPr>
        <w:t>1.6 Research Scope and Limitations</w:t>
      </w:r>
    </w:p>
    <w:p>
      <w:r>
        <w:t>This research examines tax disputes resolved through both ADR mechanisms (APAs, Vivad se Vishwas schemes, SVLDRS, DRP, e-DRS) and traditional litigation (ITAT, High Courts, Supreme Court) during 2015-2024. The temporal scope captures both the pre-COVID baseline (2015-2019), the pandemic disruption period (2020-2021), and the post-pandemic recovery with intensified reforms (2022-2024), enabling analysis of how external shocks and policy interventions influence dispute resolution patterns.</w:t>
      </w:r>
    </w:p>
    <w:p>
      <w:r>
        <w:t>The study encompasses both direct taxes (corporate income tax, personal income tax, capital gains) and indirect taxes (GST, customs, excise, service tax, VAT), recognizing that dispute characteristics and resolution dynamics may vary significantly across tax types. However, given GST's recent introduction (2017) and nascent appellate infrastructure, GST cases represent a smaller sample proportion.</w:t>
      </w:r>
    </w:p>
    <w:p>
      <w:r>
        <w:t>Geographically, the research focuses on high-litigation states including Maharashtra, Tamil Nadu, Karnataka, and Delhi, which collectively account for over 60% of tax disputes,³⁰ while including representative samples from other jurisdictions to ensure national representativeness.</w:t>
      </w:r>
    </w:p>
    <w:p>
      <w:r>
        <w:t>The sample comprises 500+ resolved cases stratified across dispute resolution mechanisms, tax types, and taxpayer categories. Case selection employs stratified random sampling to ensure adequate representation of different case characteristics while acknowledging that resolved cases may systematically differ from pending cases (potential selection bias).</w:t>
      </w:r>
    </w:p>
    <w:p>
      <w:r>
        <w:t>Several important limitations constrain this research. First, data availability remains imperfect. Comprehensive public databases of tax dispute characteristics and outcomes do not exist, necessitating painstaking compilation from Income Tax Department annual reports, CBDT statistics, ITAT order databases, CAG reports, and RTI requests. Data completeness varies across sources, potentially introducing measurement error. Second, causation versus correlation remains inherently problematic in observational research. While statistical controls for observable case characteristics (dispute amount, tax type, taxpayer profile) address some confounding, unobservable factors (case quality, legal representation sophistication, relationship with tax authorities) may influence both mechanism selection and outcomes. Third, ADR mechanisms often involve voluntary participation, creating self-selection bias where taxpayers with certain case characteristics systematically choose ADR over litigation. Statistical techniques including propensity score matching address this concern partially, but causal inference remains tentative absent true randomization. Fourth, the research evaluates existing ADR mechanisms rather than ideal-type ADR under optimal conditions, meaning findings reflect current institutional capacity and design constraints rather than ADR's theoretical potential. Fifth, behavioral analysis relies on observable compliance metrics (subsequent disputes, audit findings) rather than direct measurement of taxpayer attitudes and motivations, limiting insights into causal mechanisms.</w:t>
      </w:r>
    </w:p>
    <w:p>
      <w:r>
        <w:t>Despite these limitations, this research represents the most comprehensive empirical analysis of tax dispute resolution efficiency in India to date, providing evidence-based insights for policy reform while identifying priorities for future research. The following sections develop the theoretical framework through literature review, detail institutional context, elaborate research methodology, present empirical findings, discuss implications, and conclude with policy recommendations.</w:t>
      </w:r>
    </w:p>
    <w:p>
      <w:pPr>
        <w:pStyle w:val="ListBullet"/>
      </w:pPr>
      <w:r>
        <w:t>--</w:t>
      </w:r>
    </w:p>
    <w:p>
      <w:pPr>
        <w:pStyle w:val="ListBullet"/>
      </w:pPr>
      <w:r>
        <w:t>--</w:t>
      </w:r>
    </w:p>
    <w:p>
      <w:r>
        <w:rPr>
          <w:b/>
          <w:sz w:val="28"/>
        </w:rPr>
        <w:t>FOOTNOTES (SECTION 1)</w:t>
      </w:r>
    </w:p>
    <w:p>
      <w:r>
        <w:rPr>
          <w:sz w:val="20"/>
        </w:rPr>
        <w:t>¹ Press Info. Bureau, Govt. of India, Min. of Fin., Tax Arrears and Disputes (Feb. 15, 2025).</w:t>
      </w:r>
    </w:p>
    <w:p>
      <w:r>
        <w:rPr>
          <w:sz w:val="20"/>
        </w:rPr>
        <w:t>² Cent. Bd. of Direct Taxes, Direct Tax Collections for Financial Year 2023-24, Ann. Rep. 2023-24, at 15 (2024).</w:t>
      </w:r>
    </w:p>
    <w:p>
      <w:r>
        <w:rPr>
          <w:sz w:val="20"/>
        </w:rPr>
        <w:t>³ GST Appellate Tribunal (Establishment and Functions) Order, 2023, Notification No. 09/2023 (Sept. 1, 2023).</w:t>
      </w:r>
    </w:p>
    <w:p>
      <w:r>
        <w:rPr>
          <w:sz w:val="20"/>
        </w:rPr>
        <w:t>⁴ Comptroller &amp; Auditor Gen. of India, Rep. No. 14: Outstanding Demand on Income Tax Assessees, at 23-25 (2024).</w:t>
      </w:r>
    </w:p>
    <w:p>
      <w:r>
        <w:rPr>
          <w:sz w:val="20"/>
        </w:rPr>
        <w:t>⁵ Press Info. Bureau, Govt. of India, Min. of Fin., Pending Tax Cases (Mar. 18, 2024).</w:t>
      </w:r>
    </w:p>
    <w:p>
      <w:r>
        <w:rPr>
          <w:sz w:val="20"/>
        </w:rPr>
        <w:t>⁶ *Id.*</w:t>
      </w:r>
    </w:p>
    <w:p>
      <w:r>
        <w:rPr>
          <w:sz w:val="20"/>
        </w:rPr>
        <w:t>⁷ Supriyo De, Direct Taxes Litigation Management and Alternate Dispute Resolution, Nat'l Inst. of Pub. Fin. &amp; Pol'y Working Paper No. 394, at 8 (2023).</w:t>
      </w:r>
    </w:p>
    <w:p>
      <w:r>
        <w:rPr>
          <w:sz w:val="20"/>
        </w:rPr>
        <w:t>⁸ DAKSH, High Court Tax Cases Database Analysis 2000-2021 (2022).</w:t>
      </w:r>
    </w:p>
    <w:p>
      <w:r>
        <w:rPr>
          <w:sz w:val="20"/>
        </w:rPr>
        <w:t>⁹ Press Info. Bureau, Govt. of India, Min. of Fin., Success Rate of Tax Department in Appeals (Aug. 12, 2023).</w:t>
      </w:r>
    </w:p>
    <w:p>
      <w:r>
        <w:rPr>
          <w:sz w:val="20"/>
        </w:rPr>
        <w:t>¹⁰ *Id.*</w:t>
      </w:r>
    </w:p>
    <w:p>
      <w:r>
        <w:rPr>
          <w:sz w:val="20"/>
        </w:rPr>
        <w:t>¹¹ Press Info. Bureau, Govt. of India, Min. of Fin., Tax Arrears Update (June 30, 2025).</w:t>
      </w:r>
    </w:p>
    <w:p>
      <w:r>
        <w:rPr>
          <w:sz w:val="20"/>
        </w:rPr>
        <w:t>¹² *Id.*</w:t>
      </w:r>
    </w:p>
    <w:p>
      <w:r>
        <w:rPr>
          <w:sz w:val="20"/>
        </w:rPr>
        <w:t>¹³ Income Tax (Second Amendment) Act, 2021 (abolishing Settlement Commission retrospectively from Feb. 1, 2021).</w:t>
      </w:r>
    </w:p>
    <w:p>
      <w:r>
        <w:rPr>
          <w:sz w:val="20"/>
        </w:rPr>
        <w:t>¹⁴ Cent. Bd. of Direct Taxes, Advance Pricing Agreements: Annual Report FY 2024-25, at 7-9 (2025).</w:t>
      </w:r>
    </w:p>
    <w:p>
      <w:r>
        <w:rPr>
          <w:sz w:val="20"/>
        </w:rPr>
        <w:t>¹⁵ *Id.* at 5.</w:t>
      </w:r>
    </w:p>
    <w:p>
      <w:r>
        <w:rPr>
          <w:sz w:val="20"/>
        </w:rPr>
        <w:t>¹⁶ Press Info. Bureau, Govt. of India, Min. of Fin., Vivad se Vishwas Scheme 2020: Final Statistics (Sept. 15, 2021).</w:t>
      </w:r>
    </w:p>
    <w:p>
      <w:r>
        <w:rPr>
          <w:sz w:val="20"/>
        </w:rPr>
        <w:t>¹⁷ Press Info. Bureau, Govt. of India, Min. of Fin., Launch of Vivad se Vishwas Scheme 2024 (Oct. 1, 2024).</w:t>
      </w:r>
    </w:p>
    <w:p>
      <w:r>
        <w:rPr>
          <w:sz w:val="20"/>
        </w:rPr>
        <w:t>¹⁸ Cent. Bd. of Direct Taxes, Notification No. 03/2025 (extending VsV 2024 payment deadline to Apr. 30, 2025).</w:t>
      </w:r>
    </w:p>
    <w:p>
      <w:r>
        <w:rPr>
          <w:sz w:val="20"/>
        </w:rPr>
        <w:t>¹⁹ Cent. Bd. of Indirect Taxes &amp; Customs, SVLDRS Final Statistics Report (Feb. 2020).</w:t>
      </w:r>
    </w:p>
    <w:p>
      <w:r>
        <w:rPr>
          <w:sz w:val="20"/>
        </w:rPr>
        <w:t>²⁰ Comptroller &amp; Auditor Gen. of India, Rep. No. 14: Sabka Vishwas Legacy Dispute Resolution Scheme, at 45-52 (2022).</w:t>
      </w:r>
    </w:p>
    <w:p>
      <w:r>
        <w:rPr>
          <w:sz w:val="20"/>
        </w:rPr>
        <w:t>²¹ Income Tax Act, 1961, § 144C (dispute resolution panel provisions).</w:t>
      </w:r>
    </w:p>
    <w:p>
      <w:r>
        <w:rPr>
          <w:sz w:val="20"/>
        </w:rPr>
        <w:t>²² De, *supra* note 7, at 12.</w:t>
      </w:r>
    </w:p>
    <w:p>
      <w:r>
        <w:rPr>
          <w:sz w:val="20"/>
        </w:rPr>
        <w:t>²³ Press Info. Bureau, *supra* note 9.</w:t>
      </w:r>
    </w:p>
    <w:p>
      <w:r>
        <w:rPr>
          <w:sz w:val="20"/>
        </w:rPr>
        <w:t>²⁴ Income Tax Act, 1961, § 245MA (e-Dispute Resolution Scheme); Cent. Bd. of Direct Taxes, Notification No. 15/2024 (Aug. 1, 2024).</w:t>
      </w:r>
    </w:p>
    <w:p>
      <w:r>
        <w:rPr>
          <w:sz w:val="20"/>
        </w:rPr>
        <w:t>²⁵ Central Goods and Services Tax Act, 2017, § 101 (appeals to Appellate Authority).</w:t>
      </w:r>
    </w:p>
    <w:p>
      <w:r>
        <w:rPr>
          <w:sz w:val="20"/>
        </w:rPr>
        <w:t>²⁶ Ministry of Fin., Notification appointing President of GST Appellate Tribunal (May 6, 2024).</w:t>
      </w:r>
    </w:p>
    <w:p>
      <w:r>
        <w:rPr>
          <w:sz w:val="20"/>
        </w:rPr>
        <w:t>²⁷ Central Goods and Services Tax Act, 2017, § 112 (appeals to High Court).</w:t>
      </w:r>
    </w:p>
    <w:p>
      <w:r>
        <w:rPr>
          <w:sz w:val="20"/>
        </w:rPr>
        <w:t>²⁸ De, *supra* note 7, at 8.</w:t>
      </w:r>
    </w:p>
    <w:p>
      <w:r>
        <w:rPr>
          <w:sz w:val="20"/>
        </w:rPr>
        <w:t>²⁹ Press Info. Bureau, Govt. of India, Min. of Fin., Supreme Court Disposes 573 Tax Cases Following Enhanced Monetary Limits (Sept. 24, 2024).</w:t>
      </w:r>
    </w:p>
    <w:p>
      <w:r>
        <w:rPr>
          <w:sz w:val="20"/>
        </w:rPr>
        <w:t>³⁰ Income Tax Dep't, Jurisdiction-Wise Litigation Statistics 2022-23, at 34-38 (2023).</w:t>
      </w:r>
    </w:p>
    <w:p>
      <w:pPr>
        <w:pStyle w:val="ListBullet"/>
      </w:pPr>
      <w:r>
        <w:t>--</w:t>
      </w:r>
    </w:p>
    <w:p>
      <w:r>
        <w:rPr>
          <w:b/>
          <w:sz w:val="28"/>
        </w:rPr>
        <w:t>2. LITERATURE REVIEW</w:t>
      </w:r>
    </w:p>
    <w:p>
      <w:r>
        <w:rPr>
          <w:b/>
          <w:sz w:val="24"/>
        </w:rPr>
        <w:t>2.1 Global Studies on ADR Effectiveness in Tax Disputes</w:t>
      </w:r>
    </w:p>
    <w:p>
      <w:r>
        <w:t>The efficacy of alternative dispute resolution in taxation has attracted considerable international scholarship, with developed tax administrations providing empirical evidence of ADR's comparative advantages over traditional litigation. This body of research establishes benchmarks against which India's experience can be evaluated while revealing transferable design principles and persistent implementation challenges.</w:t>
      </w:r>
    </w:p>
    <w:p>
      <w:r>
        <w:t>The OECD's BEPS Action 14 framework, "Making Dispute Resolution Mechanisms More Effective," represents the most comprehensive international effort to standardize and measure tax dispute resolution.³¹ The framework establishes 21 minimum standards across four domains: dispute prevention, access to Mutual Agreement Procedure (MAP), MAP case resolution, and MAP agreement implementation.³² The 2023 MAP Statistics, covering 140 jurisdictions, document approximately 74% full resolution rates, though temporal performance reveals concerning patterns—while 52% of open MAP cases remain under two years old, 24% exceed four years.³³ For bilateral APAs, 46 jurisdictions report average closure rates of 25% with mean resolution times of 36.8 months.³⁴ This data reveals a paradoxical dynamic: tax authorities achieve record closure rates while new MAP case surges since 2016 create upward inventory pressure, suggesting demand outpacing institutional capacity expansion. Critically, recent legal scholarship challenges MAP's adequacy, noting that taxpayers play no role in arbitration procedures, creating rule-of-law inconsistencies.³⁵</w:t>
      </w:r>
    </w:p>
    <w:p>
      <w:r>
        <w:t>The United Kingdom's ADR program provides compelling empirical evidence of efficiency gains. HMRC reports average resolution rates of 85% over five years, with pilot schemes showing 80% resolution for 600 SME and individual taxpayer cases and 71% resolution for large complex disputes.³⁶ The temporal and cost advantages prove dramatic: HMRC expends merely 15 hours resolving disputes through ADR compared to 250 hours for First-Tier Tribunal proceedings, yielding nearly £80 million in otherwise outstanding tax revenues.³⁷ This 94% reduction in administrative time (15 vs. 250 hours) represents transaction cost economics principles operationalized—streamlined procedures minimizing search costs, negotiation complexity, and enforcement requirements. However, UK experience also reveals adoption barriers: HMRC rejects over half of ADR applications, and low overall uptake suggests persistent awareness gaps and trust deficits regarding independence.³⁸</w:t>
      </w:r>
    </w:p>
    <w:p>
      <w:r>
        <w:t>Australia's empirical research employs rigorous methodologies uncommon in tax ADR scholarship. The Australian Centre for Justice Innovation at Monash University conducted independent evaluation of 118 taxation and superannuation disputes utilizing conciliation, mediation, and neutral evaluation between July 2013 and June 2014, surveying 340 participants.³⁹ This mixed-methods approach examined not merely resolution rates but participant satisfaction, procedural fairness perceptions, and trust in government decision-making—operationalizing procedural justice theory in tax administration contexts. Findings suggest effective ADR processes save time and cost while supporting trust and acceptance of government decisions, though the study acknowledges contextual factors conditioning these outcomes.⁴⁰</w:t>
      </w:r>
    </w:p>
    <w:p>
      <w:r>
        <w:t>Singapore's approach emphasizes treaty-based MAP under Double Tax Agreements, with provisions for arbitration when competent authorities cannot reach agreement within specified timeframes for treaties amended by the Multilateral Convention (MLI).⁴¹ Singapore underwent OECD BEPS Action 14 peer review in Stage 1 (March 2018) and Stage 2 (October 2020), demonstrating commitment to international standards.⁴² Academic analysis emphasizes that effectiveness depends fundamentally on trust, procedural transparency, and accessibility of remedies,⁴³ echoing procedural justice theory's centrality across jurisdictions.</w:t>
      </w:r>
    </w:p>
    <w:p>
      <w:r>
        <w:t>Canada's official evaluation reveals institutional challenges common across tax administrations. The Canada Revenue Agency's Tax Appeals Evaluation documented expenditures of $117 million (2010-2011) on contested decisions, with case file reviews revealing that 50% of Tax Court decisions considered new information unavailable during earlier dispute stages.⁴⁴ This finding highlights information asymmetries and disclosure failures that undermine early resolution, suggesting that ADR effectiveness requires not merely procedural reforms but fundamental improvements in information exchange during assessment phases. The evaluation concludes that success requires timely provision of complete information combined with genuine willingness to achieve resolution⁴⁵—an insight applicable beyond Canadian borders.</w:t>
      </w:r>
    </w:p>
    <w:p>
      <w:r>
        <w:t>International research reveals consistent patterns. ADR mechanisms demonstrably reduce resolution times and administrative costs when compared to formal litigation. However, effectiveness varies dramatically based on institutional design, participant trust levels, information availability, and power balances between tax administrations and taxpayers. Low uptake rates across jurisdictions suggest that creating ADR infrastructure proves insufficient; successful implementation requires addressing awareness gaps, building trust in process independence, establishing clear eligibility criteria, and ensuring adequate resource allocation.</w:t>
      </w:r>
    </w:p>
    <w:p>
      <w:r>
        <w:rPr>
          <w:b/>
          <w:sz w:val="24"/>
        </w:rPr>
        <w:t>2.2 Indian Context: Studies on Tax Litigation Delays and Revenue Impact</w:t>
      </w:r>
    </w:p>
    <w:p>
      <w:r>
        <w:t>Indian tax litigation scholarship documents a system in crisis, with empirical studies quantifying the scale, causes, and consequences of endemic delays that distinguish India's experience from international comparators.</w:t>
      </w:r>
    </w:p>
    <w:p>
      <w:r>
        <w:t>Supriyo De's NIPFP Working Paper No. 394 (2023) provides the most comprehensive recent analysis of India's direct tax litigation management.⁴⁶ De quantifies the average litigation duration at approximately 15 years for normal assessment-related disputes from initial filing to final resolution⁴⁷—a timeline that dwarfs international comparators and transforms tax disputes into multi-generational affairs. The study documents disposal rates crossing 30% in only two years between 2007-08 and 2021-22, indicating chronic institutional incapacity relative to caseload.⁴⁸ De identifies structural deficiencies including adversarial relationships between tax departments and taxpayers, limited specialized dispute resolution mechanisms, acute human resource shortages with long-term vacancies in litigation forums, and legal ambiguity generating multiple interpretations.⁴⁹ Notably, De recommends establishing a two-year time limit for CIT(A) determinations where currently no statutory deadline exists,⁵⁰ addressing a critical institutional gap that enables indefinite delays.</w:t>
      </w:r>
    </w:p>
    <w:p>
      <w:r>
        <w:t>NIPFP Working Paper No. 266 analyzed 6,731 transfer pricing case orders spanning a decade (2003-04 to 2013-14), criticizing India's transfer pricing regime for pronounced and protracted litigation that undermines the regime's objectives.⁵¹ This quantitative analysis of actual case outcomes reveals patterns of systematic disputes over transfer pricing methodologies, suggesting that legal ambiguity and divergent interpretations between taxpayers and revenue authorities predictably generate litigation. The sheer volume of transfer pricing cases—a specialized subset of international taxation—illustrates how technical complexity interacts with institutional capacity constraints to produce litigation explosions.</w:t>
      </w:r>
    </w:p>
    <w:p>
      <w:r>
        <w:t>Empirical analysis using ITAT case data and hazard models reveals inter-bench variations in case completion probabilities, with Mumbai and Delhi benches exhibiting different disposal patterns.⁵² This geographic variation suggests that institutional culture, bench composition, and resource allocation significantly influence efficiency outcomes—findings with implications for national standardization efforts. The hazard model approach represents methodological sophistication allowing survival analysis of case durations while accounting for censoring (pending cases), though data limitations constrain comprehensive analysis.</w:t>
      </w:r>
    </w:p>
    <w:p>
      <w:r>
        <w:t>The Comptroller and Auditor General's reports provide authoritative government assessments revealing revenue implications. CAG Report No. 14 of 2024 documents that FY 2021-22 collections of ₹14.12 lakh crore occurred alongside outstanding demand of ₹19.35 lakh crore, with 75% under dispute.⁵³ This ratio—outstanding demand exceeding actual collections—illustrates the litigation-induced gap between assessed and realized revenue. CAG Report No. 13 of 2024 identified 504 audit observations affecting ₹5,728.79 crore for the year ending March 2022,⁵⁴ documenting systemic assessment errors that predictably generate disputes. CAG findings on SVLDRS implementation irregularities—₹109.81 crore in irregular relief, multiple declarations involving ₹273.53 crore, and 28,825 cases without discharge certificates⁵⁵—highlight implementation failures that compromise ADR credibility.</w:t>
      </w:r>
    </w:p>
    <w:p>
      <w:r>
        <w:t>The Tax Department's institutional behavior patterns merit scrutiny. Filing 80-85% of appeals while achieving success rates below 30%⁵⁶ suggests systematic over-litigation driven by institutional incentives misaligned with revenue efficiency. This aggressive appellate stance generates substantial transaction costs—legal resources, administrative time, judicial capacity—while yielding minimal revenue gains. The phenomenon suggests principal-agent problems where revenue officials face pressure to exhaust all appellate remedies regardless of case merit, prioritizing procedural compliance over cost-benefit optimization. This institutional dynamic fundamentally undermines dispute resolution efficiency regardless of ADR infrastructure availability.</w:t>
      </w:r>
    </w:p>
    <w:p>
      <w:r>
        <w:t>Recent reforms demonstrate government recognition of systemic dysfunction. Enhanced monetary limits (₹60 lakh for ITAT, ₹2 crore for High Courts, ₹5 crore for Supreme Court)⁵⁷ produced immediate effects, with the Supreme Court disposing 573 cases in September 2024 following threshold implementation.⁵⁸ Faceless assessment and appeals initiatives reduced pending faceless appeals from 4.3 lakh (2021-22) to 3.66 lakh (2024-25), with processing times declining from two years to six months.⁵⁹ These interventions suggest that institutional reforms targeting procedural efficiency and case prioritization can meaningfully address pendency when implemented with adequate resource allocation.</w:t>
      </w:r>
    </w:p>
    <w:p>
      <w:r>
        <w:t>The Economic Survey 2017-18 quantified ₹7.58 lakh crore locked in 137,176 pending direct tax cases, representing 4.7% of GDP.⁶⁰ By 2023-24, this figure doubled to ₹14 lakh crore,⁶¹ demonstrating exponential growth outpacing resolution efforts. This escalation suggests that incremental reforms prove insufficient; comprehensive structural transformation addressing root causes becomes imperative.</w:t>
      </w:r>
    </w:p>
    <w:p>
      <w:r>
        <w:t>Indian scholarship establishes that litigation delays stem from multiplicative factors: inadequate institutional capacity (judicial vacancies, infrastructure constraints), procedural inefficiencies (repeated adjournments, information gaps), institutional incentive problems (over-litigation despite low success rates), and legal ambiguity generating interpretive disputes. ADR mechanisms theoretically address several factors—reducing caseload pressure, streamlining procedures, fostering cooperative rather than adversarial dynamics—yet empirical evaluation of actual ADR performance in Indian contexts remains limited.</w:t>
      </w:r>
    </w:p>
    <w:p>
      <w:r>
        <w:rPr>
          <w:b/>
          <w:sz w:val="24"/>
        </w:rPr>
        <w:t>2.3 Theoretical Frameworks: Transaction Cost Economics and Behavioral Compliance Theory</w:t>
      </w:r>
    </w:p>
    <w:p>
      <w:r>
        <w:t>Three interrelated theoretical frameworks inform analysis of dispute resolution efficiency: transaction cost economics explicating governance structure choices, behavioral compliance theory explaining taxpayer decision-making, and procedural justice theory linking process fairness to legitimacy and compliance.</w:t>
      </w:r>
    </w:p>
    <w:p>
      <w:r>
        <w:t>**Transaction Cost Economics:** Ronald Coase's foundational insight that transactions via market mechanisms incur costs—particularly search costs, contracting costs, and enforcement costs⁶²—provides the conceptual foundation for analyzing dispute resolution mechanisms as governance structures. Oliver Williamson extended Coasean analysis to comparative institutional analysis, defining governance as "the means by which to infuse order, thereby to mitigate conflict and realize mutual gains."⁶³ Williamson identifies four properties characterizing governance structures: adaptive capacity, incentive intensity, administrative control, and dispute settlement mechanisms.⁶⁴</w:t>
      </w:r>
    </w:p>
    <w:p>
      <w:r>
        <w:t>Williamson's analysis distinguishes dispute settlement across governance modes. Market transactions treat disputes legalistically, relying on court ordering that proves costly. Hierarchies (firms) resolve disputes through internal administrative mechanisms, with courts refusing to hear most internal disputes whereupon the firm becomes its own court of ultimate appeal under forbearance doctrine.⁶⁵ Hybrid governance structures, occupying the continuum between markets and hierarchies, employ specialized private ordering dispute resolution mechanisms including arbitration, mediation, and specialized tribunals.⁶⁶</w:t>
      </w:r>
    </w:p>
    <w:p>
      <w:r>
        <w:t>Applied to tax disputes, traditional litigation approximates market-based governance—adversarial parties, legalistic treatment, court adjudication imposing substantial transaction costs (time, legal fees, uncertainty). ADR mechanisms represent hybrid governance introducing elements of hierarchical coordination (administrative determination) and private ordering (negotiated settlements) to reduce transaction costs. Williamson's framework predicts that dispute resolution mechanisms minimizing search costs (through streamlined procedures), negotiation costs (through facilitated dialogue rather than adversarial positioning), and enforcement costs (through voluntary compliance rather than coerced payment) will achieve superior efficiency. However, transaction cost economizing must balance against institutional integrity concerns—excessive informality risks unpredictability and fairness perceptions that undermine legitimacy.</w:t>
      </w:r>
    </w:p>
    <w:p>
      <w:r>
        <w:t>The literature on ADR and transaction costs confirms theoretical predictions. Relationships fracture when disputes reach litigation,⁶⁷ whereas internal (or ADR-based) resolution enables adaptive, sequential, cooperative engagement preserving relationship value. Firms acquire quasi-judicial functions enabling more efficient dispute resolution,⁶⁸ suggesting that tax administrations could similarly internalize certain dispute resolution functions through ADR mechanisms. Yet scholarly analysis directly applying transaction cost economics to tax dispute resolution remains sparse, representing a significant research gap this study addresses.</w:t>
      </w:r>
    </w:p>
    <w:p>
      <w:r>
        <w:t>**Behavioral Compliance Theory:** The Allingham-Sandmo model (1972) pioneered economic analysis of tax evasion, modeling compliance as decision-making under uncertainty analogous to portfolio choice.⁶⁹ Key parameters include income, tax rates, penalty rates, and audit probability. While the model captures important deterrence dynamics (taxpayer responses to audit probability and penalty rates), it faces extensive criticism for failing to predict actual taxpayer behavior and neglecting sociological and psychological factors shaping compliance—attitudes, beliefs, norms, perceptions, motivations.⁷⁰</w:t>
      </w:r>
    </w:p>
    <w:p>
      <w:r>
        <w:t>The behavioral economics revolution generated more nuanced compliance theories recognizing that taxpayers comply for diverse reasons beyond deterrence: trust, social norms, fairness, reciprocity, and tax morale.⁷¹ The Slippery Slope Framework (Kirchler, Hoelzl, &amp; Wahl, 2008) integrates economic and psychological determinants through two dimensions: trust in authorities (belief that tax authorities work beneficently for common good) and power of authorities (perception of capacity to detect and punish evasion).⁷² Trust fosters voluntary compliance; power induces enforced compliance.⁷³ The framework's "slippery slope" refers to mutual influence—declines in one dimension reduce the other, significantly decreasing compliance.⁷⁴ Empirical testing across Austria, UK, Czech Republic, Hungary, Romania, Russia, and Finland confirms that highest compliance intentions occur under high trust and high power conditions.⁷⁵</w:t>
      </w:r>
    </w:p>
    <w:p>
      <w:r>
        <w:t>Tax morale—"intrinsic motivation to pay taxes"⁷⁶—represents internalized civic duty transcending self-interest maximization. Frey and Torgler's research demonstrates that direct democratic rights, local autonomy, trust in government and legal systems significantly positively affect tax morale.⁷⁷ Cross-national research reveals that reciprocity—citizens' willingness to pay taxes conditional on satisfaction with public goods provision—substantially influences compliance.⁷⁸ Fiscal exchange theory conceptualizes taxation as contractual: governments improve compliance by providing preferred services effectively and accessibly.⁷⁹</w:t>
      </w:r>
    </w:p>
    <w:p>
      <w:r>
        <w:t>Applied to dispute resolution, behavioral compliance theory suggests that resolution mechanisms influence future compliance through multiple pathways. Adversarial litigation may erode trust, reducing voluntary compliance while reinforcing power-based enforcement requirements. Conversely, ADR mechanisms perceived as fair and respectful could enhance trust, strengthening voluntary compliance even when power remains constant. The quality of dispute resolution experiences shapes perceptions of government legitimacy, reciprocity beliefs (whether government treats taxpayers fairly), and tax morale—all influencing subsequent compliance behavior.</w:t>
      </w:r>
    </w:p>
    <w:p>
      <w:r>
        <w:t>**Procedural Justice Theory:** Tom Tyler's research, awarded the 2024 Stockholm Prize in Criminology, establishes that the fairness of processes legal authorities employ fundamentally shapes public behavior—often more powerfully than outcome favorability.⁸⁰ Procedural justice operates relationally, providing symbolic signals that individuals are respected and valued in society, prompting law obedience from respect for legitimate authority rather than fear of sanctions.⁸¹ Legitimacy arises from two antecedent conditions: trustworthiness of government and procedural justice.⁸² Considerable evidence links these factors to citizens' willingness to defer to tax departments across diverse societies.⁸³</w:t>
      </w:r>
    </w:p>
    <w:p>
      <w:r>
        <w:t>Kristina Murphy's empirical research in Australian tax administration contexts demonstrates that coercive threats undermine Tax Office legitimacy, while responsive regulation based on procedural justice principles offers superior enforcement strategies.⁸⁴ Using longitudinal survey data, Murphy shows that procedural justice effects prove particularly strong when individuals question law legitimacy,⁸⁵ and that particularly low authority trust makes individuals carefully attend to procedural fairness, with positive effects on norm endorsement.⁸⁶ Fair procedures can compensate for unfair outcome perceptions when authority power remains high,⁸⁷ suggesting ADR mechanisms emphasizing procedural fairness could maintain compliance even when taxpayers disagree with tax liability determinations.</w:t>
      </w:r>
    </w:p>
    <w:p>
      <w:r>
        <w:t>Procedural justice theory distinguishes procedural justice (process fairness, respectful treatment) from distributive justice (outcome fairness).⁸⁸ Authorities require voluntary compliance from most citizens most of the time, with such compliance linked to legitimacy judgments and procedural fairness perceptions.⁸⁹ Applied to tax disputes, theory predicts that ADR mechanisms providing respectful engagement, transparent procedures, voice opportunities, and impartial decision-making will enhance perceived legitimacy and foster voluntary compliance, whereas litigation perceived as disrespectful, opaque, or biased will undermine legitimacy and compliance.</w:t>
      </w:r>
    </w:p>
    <w:p>
      <w:r>
        <w:t>**Responsive Regulation:** Ayres and Braithwaite's (1992) responsive regulation framework, visualized through an enforcement pyramid, advocates matching enforcement stringency to taxpayer cooperation levels.⁹⁰ Regulators begin with cooperative tactics, escalating to punitive sanctions only when cooperation fails.⁹¹ The Australian Tax Office explicitly adopted this model in 1998, achieving responsiveness by learning individual taxpayer motivations and matching compliance strategies to attitudes.⁹² Applied to dispute resolution, responsive regulation suggests offering ADR as cooperative resolution for taxpayers demonstrating good faith, reserving litigation for recalcitrant actors refusing reasonable settlement. This tiered approach maximizes efficiency by conserving enforcement resources for cases warranting adversarial treatment.</w:t>
      </w:r>
    </w:p>
    <w:p>
      <w:r>
        <w:rPr>
          <w:b/>
          <w:sz w:val="24"/>
        </w:rPr>
        <w:t>2.4 Gap Analysis: What Remains Understudied in Indian Tax Dispute Resolution</w:t>
      </w:r>
    </w:p>
    <w:p>
      <w:r>
        <w:t>Despite rich international scholarship and growing Indian empirical literature, critical gaps constrain evidence-based policy development.</w:t>
      </w:r>
    </w:p>
    <w:p>
      <w:r>
        <w:t>**Empirical Effectiveness Measurement:** While Indian sources document systemic dysfunction, systematic data-driven research quantifying actual ADR performance compared to benchmarks or litigation remains conspicuously limited. No Indian equivalent exists to Australia's Monash University study surveying 340 participants across 118 disputes, or UK's detailed effectiveness statistics documenting 85% resolution rates and 15-hour versus 250-hour time comparisons. Existing research describes ADR mechanisms and their "mixed effectiveness," yet rigorous empirical evaluation measuring resolution rates, time distributions, cost comparisons, and participant satisfaction remains absent. This study directly addresses this gap through systematic case analysis across mechanisms.</w:t>
      </w:r>
    </w:p>
    <w:p>
      <w:r>
        <w:t>**Cost-Benefit Analysis:** No comprehensive Indian research quantifies litigation versus ADR costs from revenue authority perspectives. Transaction cost economics provides theoretical frameworks, yet empirical operationalization measuring search costs, negotiation costs, enforcement costs, and opportunity costs of delayed revenue has not occurred. UK research establishing 94% time savings (15 vs. 250 hours) provides the methodological template, yet Indian equivalents do not exist. This research gap severely constrains rational resource allocation decisions—without cost data, revenue authorities cannot optimize dispute resolution portfolio allocation.</w:t>
      </w:r>
    </w:p>
    <w:p>
      <w:r>
        <w:t>**Post-Resolution Compliance Behavior:** This represents perhaps the most significant gap. While Vivad se Vishwas 2020 scale and revenue collections are documented (1 lakh taxpayers, ₹75,000 crore recovered),⁹³ no formal academic studies employ rigorous statistical methodologies examining post-resolution compliance outcomes. No Indian research equivalent to Murphy's longitudinal analysis tracks whether taxpayers resolving disputes through ADR demonstrate different subsequent compliance patterns than litigation participants. The behavioral compliance and procedural justice literatures provide theoretical predictions—ADR should enhance trust and voluntary compliance—yet empirical testing in Indian contexts remains absent. This study's longitudinal compliance analysis directly addresses this critical gap.</w:t>
      </w:r>
    </w:p>
    <w:p>
      <w:r>
        <w:t>**Institutional Design and Implementation:** Limited research examines what institutional design features predict ADR success in Indian contexts. Why did SVLDRS achieve 73% participation while Vivad se Vishwas achieved only 30%? What design features—settlement terms, eligibility criteria, sunset provisions, penalty waivers—optimize uptake and revenue recovery? Why does HMRC reject over half ADR applications, and what are Indian equivalents? Systematic evaluation of design features and implementation quality has not informed iterative scheme improvement.</w:t>
      </w:r>
    </w:p>
    <w:p>
      <w:r>
        <w:t>**Theoretical Application:** Transaction cost economics, procedural justice theory, and tax morale frameworks have seen limited application to Indian tax administration contexts. The theoretical richness evident in international scholarship—particularly Australian, UK, and European research—has not translated to Indian empirical studies systematically testing theoretical predictions using Indian data. This study applies multiple theoretical frameworks to Indian dispute resolution data, contributing to theory development while generating policy-relevant insights.</w:t>
      </w:r>
    </w:p>
    <w:p>
      <w:r>
        <w:t>This comprehensive literature review establishes that while robust international evidence demonstrates ADR's potential efficiency advantages and theoretical frameworks explain mechanisms through which dispute resolution influences compliance, systematic empirical research evaluating India's experience remains underdeveloped. The following sections elaborate India's institutional context, detail research methodology addressing identified gaps, present empirical findings, and discuss theoretical and policy implications.</w:t>
      </w:r>
    </w:p>
    <w:p>
      <w:pPr>
        <w:pStyle w:val="ListBullet"/>
      </w:pPr>
      <w:r>
        <w:t>--</w:t>
      </w:r>
    </w:p>
    <w:p>
      <w:pPr>
        <w:pStyle w:val="ListBullet"/>
      </w:pPr>
      <w:r>
        <w:t>--</w:t>
      </w:r>
    </w:p>
    <w:p>
      <w:r>
        <w:rPr>
          <w:b/>
          <w:sz w:val="28"/>
        </w:rPr>
        <w:t>FOOTNOTES (SECTION 2)</w:t>
      </w:r>
    </w:p>
    <w:p>
      <w:r>
        <w:rPr>
          <w:sz w:val="20"/>
        </w:rPr>
        <w:t>³¹ OECD, BEPS Action 14 on More Effective Dispute Resolution Mechanisms, Peer Review Documents (2015-2024).</w:t>
      </w:r>
    </w:p>
    <w:p>
      <w:r>
        <w:rPr>
          <w:sz w:val="20"/>
        </w:rPr>
        <w:t>³² *Id.*</w:t>
      </w:r>
    </w:p>
    <w:p>
      <w:r>
        <w:rPr>
          <w:sz w:val="20"/>
        </w:rPr>
        <w:t>³³ OECD, Mutual Agreement Procedure Statistics 2023, at 12-18 (2024).</w:t>
      </w:r>
    </w:p>
    <w:p>
      <w:r>
        <w:rPr>
          <w:sz w:val="20"/>
        </w:rPr>
        <w:t>³⁴ *Id.* at 24.</w:t>
      </w:r>
    </w:p>
    <w:p>
      <w:r>
        <w:rPr>
          <w:sz w:val="20"/>
        </w:rPr>
        <w:t>³⁵ Nikolaos Th. Nikolaou &amp; Dimitrios Kyriazis, Recent Developments in the Resolution of International Tax Disputes, 13 Laws 15 (2024).</w:t>
      </w:r>
    </w:p>
    <w:p>
      <w:r>
        <w:rPr>
          <w:sz w:val="20"/>
        </w:rPr>
        <w:t>³⁶ HM Revenue &amp; Customs, Alternative Dispute Resolution in Tax: Evaluation Report, at 18-22 (2015).</w:t>
      </w:r>
    </w:p>
    <w:p>
      <w:r>
        <w:rPr>
          <w:sz w:val="20"/>
        </w:rPr>
        <w:t>³⁷ *Id.* at 19.</w:t>
      </w:r>
    </w:p>
    <w:p>
      <w:r>
        <w:rPr>
          <w:sz w:val="20"/>
        </w:rPr>
        <w:t>³⁸ *Id.* at 23-25.</w:t>
      </w:r>
    </w:p>
    <w:p>
      <w:r>
        <w:rPr>
          <w:sz w:val="20"/>
        </w:rPr>
        <w:t>³⁹ Tania Sourdin &amp; Naomi Burstyner, Evaluation of ATO Dispute Resolution Processes, Australian Ctr. for Just. Innovation, Monash U., at 15-17 (2014).</w:t>
      </w:r>
    </w:p>
    <w:p>
      <w:r>
        <w:rPr>
          <w:sz w:val="20"/>
        </w:rPr>
        <w:t>⁴⁰ *Id.* at 44-48.</w:t>
      </w:r>
    </w:p>
    <w:p>
      <w:r>
        <w:rPr>
          <w:sz w:val="20"/>
        </w:rPr>
        <w:t>⁴¹ Inland Revenue Auth. of Sing., Mutual Agreement Procedure (MAP) Guidance Note (2023).</w:t>
      </w:r>
    </w:p>
    <w:p>
      <w:r>
        <w:rPr>
          <w:sz w:val="20"/>
        </w:rPr>
        <w:t>⁴² OECD, Singapore Peer Review Report on BEPS Action 14, Stage 1 (Mar. 2018); Stage 2 (Oct. 2020).</w:t>
      </w:r>
    </w:p>
    <w:p>
      <w:r>
        <w:rPr>
          <w:sz w:val="20"/>
        </w:rPr>
        <w:t>⁴³ See Ho, Yen Li, Mediating Tax Disputes in Singapore, 32 SAL Prac. 103 (2020).</w:t>
      </w:r>
    </w:p>
    <w:p>
      <w:r>
        <w:rPr>
          <w:sz w:val="20"/>
        </w:rPr>
        <w:t>⁴⁴ Canada Revenue Agency, Tax Appeals Evaluation: Final Report, at 28-31 (2012).</w:t>
      </w:r>
    </w:p>
    <w:p>
      <w:r>
        <w:rPr>
          <w:sz w:val="20"/>
        </w:rPr>
        <w:t>⁴⁵ *Id.* at 35.</w:t>
      </w:r>
    </w:p>
    <w:p>
      <w:r>
        <w:rPr>
          <w:sz w:val="20"/>
        </w:rPr>
        <w:t>⁴⁶ De, *supra* note 7.</w:t>
      </w:r>
    </w:p>
    <w:p>
      <w:r>
        <w:rPr>
          <w:sz w:val="20"/>
        </w:rPr>
        <w:t>⁴⁷ *Id.* at 8.</w:t>
      </w:r>
    </w:p>
    <w:p>
      <w:r>
        <w:rPr>
          <w:sz w:val="20"/>
        </w:rPr>
        <w:t>⁴⁸ *Id.* at 14.</w:t>
      </w:r>
    </w:p>
    <w:p>
      <w:r>
        <w:rPr>
          <w:sz w:val="20"/>
        </w:rPr>
        <w:t>⁴⁹ *Id.* at 22-26.</w:t>
      </w:r>
    </w:p>
    <w:p>
      <w:r>
        <w:rPr>
          <w:sz w:val="20"/>
        </w:rPr>
        <w:t>⁵⁰ *Id.* at 31.</w:t>
      </w:r>
    </w:p>
    <w:p>
      <w:r>
        <w:rPr>
          <w:sz w:val="20"/>
        </w:rPr>
        <w:t>⁵¹ Mukesh Butani et al., Transfer Pricing Litigation in India: An Empirical Analysis, Nat'l Inst. of Pub. Fin. &amp; Pol'y Working Paper No. 266 (2019).</w:t>
      </w:r>
    </w:p>
    <w:p>
      <w:r>
        <w:rPr>
          <w:sz w:val="20"/>
        </w:rPr>
        <w:t>⁵² See Aashish Dahiya &amp; Supriya Sarnikar, Understanding Judicial Delay at the Income Tax Appellate Tribunal in India, RePEc Working Paper No. 17-208 (2017).</w:t>
      </w:r>
    </w:p>
    <w:p>
      <w:r>
        <w:rPr>
          <w:sz w:val="20"/>
        </w:rPr>
        <w:t>⁵³ Comptroller &amp; Auditor Gen. of India, *supra* note 4, at 18-20.</w:t>
      </w:r>
    </w:p>
    <w:p>
      <w:r>
        <w:rPr>
          <w:sz w:val="20"/>
        </w:rPr>
        <w:t>⁵⁴ Comptroller &amp; Auditor Gen. of India, Rep. No. 13: Compliance Audit on Direct Taxes, at 8 (2024).</w:t>
      </w:r>
    </w:p>
    <w:p>
      <w:r>
        <w:rPr>
          <w:sz w:val="20"/>
        </w:rPr>
        <w:t>⁵⁵ Comptroller &amp; Auditor Gen. of India, *supra* note 20, at 45-52.</w:t>
      </w:r>
    </w:p>
    <w:p>
      <w:r>
        <w:rPr>
          <w:sz w:val="20"/>
        </w:rPr>
        <w:t>⁵⁶ Press Info. Bureau, *supra* note 9.</w:t>
      </w:r>
    </w:p>
    <w:p>
      <w:r>
        <w:rPr>
          <w:sz w:val="20"/>
        </w:rPr>
        <w:t>⁵⁷ Ministry of Fin., Enhanced Monetary Limits for Tax Appeals, Notification (Sept. 17, 2024).</w:t>
      </w:r>
    </w:p>
    <w:p>
      <w:r>
        <w:rPr>
          <w:sz w:val="20"/>
        </w:rPr>
        <w:t>⁵⁸ Press Info. Bureau, *supra* note 29.</w:t>
      </w:r>
    </w:p>
    <w:p>
      <w:r>
        <w:rPr>
          <w:sz w:val="20"/>
        </w:rPr>
        <w:t>⁵⁹ Cent. Bd. of Direct Taxes, Faceless Appeals Performance Report FY 2024-25, at 7-9 (2025).</w:t>
      </w:r>
    </w:p>
    <w:p>
      <w:r>
        <w:rPr>
          <w:sz w:val="20"/>
        </w:rPr>
        <w:t>⁶⁰ Ministry of Fin., Economic Survey 2017-18, Vol. 1, at 112-115 (2018).</w:t>
      </w:r>
    </w:p>
    <w:p>
      <w:r>
        <w:rPr>
          <w:sz w:val="20"/>
        </w:rPr>
        <w:t>⁶¹ Press Info. Bureau, *supra* note 1.</w:t>
      </w:r>
    </w:p>
    <w:p>
      <w:r>
        <w:rPr>
          <w:sz w:val="20"/>
        </w:rPr>
        <w:t>⁶² Ronald H. Coase, The Nature of the Firm, 4 Economica 386, 390-91 (1937).</w:t>
      </w:r>
    </w:p>
    <w:p>
      <w:r>
        <w:rPr>
          <w:sz w:val="20"/>
        </w:rPr>
        <w:t>⁶³ Oliver E. Williamson, Transaction Cost Economics: How It Works; Where It Is Headed, 151 De Economist 23, 29 (2003).</w:t>
      </w:r>
    </w:p>
    <w:p>
      <w:r>
        <w:rPr>
          <w:sz w:val="20"/>
        </w:rPr>
        <w:t>⁶⁴ *Id.* at 31-32.</w:t>
      </w:r>
    </w:p>
    <w:p>
      <w:r>
        <w:rPr>
          <w:sz w:val="20"/>
        </w:rPr>
        <w:t>⁶⁵ *Id.* at 34.</w:t>
      </w:r>
    </w:p>
    <w:p>
      <w:r>
        <w:rPr>
          <w:sz w:val="20"/>
        </w:rPr>
        <w:t>⁶⁶ *Id.* at 35-36.</w:t>
      </w:r>
    </w:p>
    <w:p>
      <w:r>
        <w:rPr>
          <w:sz w:val="20"/>
        </w:rPr>
        <w:t>⁶⁷ See Steven Tadelis &amp; Oliver E. Williamson, Transaction Cost Economics, in 1 Handbook of Organizational Economics 159, 178-82 (Robert Gibbons &amp; John Roberts eds., 2013).</w:t>
      </w:r>
    </w:p>
    <w:p>
      <w:r>
        <w:rPr>
          <w:sz w:val="20"/>
        </w:rPr>
        <w:t>⁶⁸ *Id.*</w:t>
      </w:r>
    </w:p>
    <w:p>
      <w:r>
        <w:rPr>
          <w:sz w:val="20"/>
        </w:rPr>
        <w:t>⁶⁹ Michael G. Allingham &amp; Agnar Sandmo, Income Tax Evasion: A Theoretical Analysis, 1 J. Pub. Econ. 323 (1972).</w:t>
      </w:r>
    </w:p>
    <w:p>
      <w:r>
        <w:rPr>
          <w:sz w:val="20"/>
        </w:rPr>
        <w:t>⁷⁰ See IRS Taxpayer Advocate, Literature Reviews on Behavioral Science Lessons for Taxpayer Compliance, 1 Ann. Rep. to Congress 54-72 (2016).</w:t>
      </w:r>
    </w:p>
    <w:p>
      <w:r>
        <w:rPr>
          <w:sz w:val="20"/>
        </w:rPr>
        <w:t>⁷¹ *Id.* at 58-60.</w:t>
      </w:r>
    </w:p>
    <w:p>
      <w:r>
        <w:rPr>
          <w:sz w:val="20"/>
        </w:rPr>
        <w:t>⁷² Erich Kirchler et al., Enforced Versus Voluntary Tax Compliance: The "Slippery Slope" Framework, 29 J. Econ. Psychol. 210, 212-14 (2008).</w:t>
      </w:r>
    </w:p>
    <w:p>
      <w:r>
        <w:rPr>
          <w:sz w:val="20"/>
        </w:rPr>
        <w:t>⁷³ *Id.* at 214.</w:t>
      </w:r>
    </w:p>
    <w:p>
      <w:r>
        <w:rPr>
          <w:sz w:val="20"/>
        </w:rPr>
        <w:t>⁷⁴ *Id.* at 215.</w:t>
      </w:r>
    </w:p>
    <w:p>
      <w:r>
        <w:rPr>
          <w:sz w:val="20"/>
        </w:rPr>
        <w:t>⁷⁵ Christoph Kogler et al., Trust, Power, and Tax Compliance: Testing the "Slippery Slope Framework" Among Self-Employed Taxpayers, SSRN Working Paper (2013).</w:t>
      </w:r>
    </w:p>
    <w:p>
      <w:r>
        <w:rPr>
          <w:sz w:val="20"/>
        </w:rPr>
        <w:t>⁷⁶ Bruno S. Frey &amp; Benno Torgler, Tax Morale and Conditional Cooperation, 35 J. Comp. Econ. 136, 137 (2007).</w:t>
      </w:r>
    </w:p>
    <w:p>
      <w:r>
        <w:rPr>
          <w:sz w:val="20"/>
        </w:rPr>
        <w:t>⁷⁷ *Id.* at 144-46.</w:t>
      </w:r>
    </w:p>
    <w:p>
      <w:r>
        <w:rPr>
          <w:sz w:val="20"/>
        </w:rPr>
        <w:t>⁷⁸ Benno Torgler, Tax Morale: Theory and Empirical Analysis of Tax Compliance 89-112 (Dissertation, U. of Zurich 2003).</w:t>
      </w:r>
    </w:p>
    <w:p>
      <w:r>
        <w:rPr>
          <w:sz w:val="20"/>
        </w:rPr>
        <w:t>⁷⁹ *Id.* at 78-82.</w:t>
      </w:r>
    </w:p>
    <w:p>
      <w:r>
        <w:rPr>
          <w:sz w:val="20"/>
        </w:rPr>
        <w:t>⁸⁰ Tom R. Tyler, Why People Obey the Law 273-78 (1990); see also Stockholm Criminology Prize 2024 Award Citation for Tom R. Tyler.</w:t>
      </w:r>
    </w:p>
    <w:p>
      <w:r>
        <w:rPr>
          <w:sz w:val="20"/>
        </w:rPr>
        <w:t>⁸¹ *Id.* at 161-69.</w:t>
      </w:r>
    </w:p>
    <w:p>
      <w:r>
        <w:rPr>
          <w:sz w:val="20"/>
        </w:rPr>
        <w:t>⁸² Tom R. Tyler, Procedural Justice, Legitimacy, and the Effective Rule of Law, 30 Crime &amp; Just. 283, 307-15 (2003).</w:t>
      </w:r>
    </w:p>
    <w:p>
      <w:r>
        <w:rPr>
          <w:sz w:val="20"/>
        </w:rPr>
        <w:t>⁸³ *Id.* at 320-22.</w:t>
      </w:r>
    </w:p>
    <w:p>
      <w:r>
        <w:rPr>
          <w:sz w:val="20"/>
        </w:rPr>
        <w:t>⁸⁴ Kristina Murphy, Regulating More Effectively: The Relationship Between Procedural Justice, Legitimacy, and Tax Non-compliance, 32 J.L. &amp; Soc'y 562, 563-65 (2005).</w:t>
      </w:r>
    </w:p>
    <w:p>
      <w:r>
        <w:rPr>
          <w:sz w:val="20"/>
        </w:rPr>
        <w:t>⁸⁵ *Id.* at 580-82.</w:t>
      </w:r>
    </w:p>
    <w:p>
      <w:r>
        <w:rPr>
          <w:sz w:val="20"/>
        </w:rPr>
        <w:t>⁸⁶ See Eva Hofmann et al., Preconditions of Voluntary Tax Compliance: Knowledge and Evaluation of Taxation, Norms, Fairness, and Motivation to Cooperate, 217 Z. Psychol. 209, 215-17 (2009).</w:t>
      </w:r>
    </w:p>
    <w:p>
      <w:r>
        <w:rPr>
          <w:sz w:val="20"/>
        </w:rPr>
        <w:t>⁸⁷ *Id.* at 216.</w:t>
      </w:r>
    </w:p>
    <w:p>
      <w:r>
        <w:rPr>
          <w:sz w:val="20"/>
        </w:rPr>
        <w:t>⁸⁸ Murphy, *supra* note 84, at 566-68.</w:t>
      </w:r>
    </w:p>
    <w:p>
      <w:r>
        <w:rPr>
          <w:sz w:val="20"/>
        </w:rPr>
        <w:t>⁸⁹ Tyler, *supra* note 82, at 322-25.</w:t>
      </w:r>
    </w:p>
    <w:p>
      <w:r>
        <w:rPr>
          <w:sz w:val="20"/>
        </w:rPr>
        <w:t>⁹⁰ Ian Ayres &amp; John Braithwaite, Responsive Regulation: Transcending the Deregulation Debate 35-41 (1992).</w:t>
      </w:r>
    </w:p>
    <w:p>
      <w:r>
        <w:rPr>
          <w:sz w:val="20"/>
        </w:rPr>
        <w:t>⁹¹ *Id.* at 38-39.</w:t>
      </w:r>
    </w:p>
    <w:p>
      <w:r>
        <w:rPr>
          <w:sz w:val="20"/>
        </w:rPr>
        <w:t>⁹² Valerie Braithwaite, A New Approach to Tax Compliance, in Taxing Democracy: Understanding Tax Avoidance and Evasion 1, 8-12 (Valerie Braithwaite ed., 2003).</w:t>
      </w:r>
    </w:p>
    <w:p>
      <w:r>
        <w:rPr>
          <w:sz w:val="20"/>
        </w:rPr>
        <w:t>⁹³ Press Info. Bureau, *supra* note 16.</w:t>
      </w:r>
    </w:p>
    <w:p>
      <w:pPr>
        <w:pStyle w:val="ListBullet"/>
      </w:pPr>
      <w:r>
        <w:t>--</w:t>
      </w:r>
    </w:p>
    <w:p>
      <w:r>
        <w:rPr>
          <w:b/>
          <w:sz w:val="28"/>
        </w:rPr>
        <w:t>3. INDIAN LEGAL AND INSTITUTIONAL FRAMEWORK FOR TAX DISPUTE RESOLUTION</w:t>
      </w:r>
    </w:p>
    <w:p>
      <w:r>
        <w:rPr>
          <w:b/>
          <w:sz w:val="24"/>
        </w:rPr>
        <w:t>3.1 Direct Tax Dispute Resolution: The Income Tax Act Framework</w:t>
      </w:r>
    </w:p>
    <w:p>
      <w:r>
        <w:t>India's direct tax dispute resolution architecture derives primarily from the Income Tax Act, 1961, as amended through successive Finance Acts. The statutory framework establishes a multi-tiered appellate hierarchy supplemented by specialized ADR mechanisms, each with distinct procedural requirements, jurisdictional limits, and institutional characteristics.</w:t>
      </w:r>
    </w:p>
    <w:p>
      <w:r>
        <w:t>**Assessment and Initial Dispute Generation:** Tax disputes originate through assessment proceedings under Sections 143-145 of the Income Tax Act.⁹⁴ The Assessing Officer (AO) issues assessment orders determining tax liability, which taxpayers may contest through statutory remedies. The 2020 introduction of faceless assessment under Section 144B fundamentally transformed this process, eliminating physical interface between taxpayers and AOs through centralized, team-based assessment coordinated by the National Faceless Assessment Center (NFAC).⁹⁵ This procedural shift aimed to reduce corruption, enhance uniformity, and improve efficiency, though implementation challenges including technological glitches and communication gaps persist.⁹⁶</w:t>
      </w:r>
    </w:p>
    <w:p>
      <w:r>
        <w:t>**First Appellate Tier: Commissioner of Income Tax (Appeals):** Section 246A provides taxpayers statutory right to appeal assessment orders to the Commissioner of Income Tax (Appeals) (CIT(A)) within specified time limits, typically 30 days from receipt of assessment order.⁹⁷ The CIT(A) exercises appellate jurisdiction independently, empowered to confirm, reduce, enhance, or annul assessment, or set aside assessment for fresh determination.⁹⁸ Critically, unlike most jurisdictions, Indian law imposes no statutory time limit within which CIT(A) must decide appeals, contributing to chronic delays—De recommends establishing a two-year time limit.⁹⁹ The introduction of faceless appeals in September 2020 under Section 250, mirroring faceless assessment architecture, attempted to address pendency through 282 Appeal Units functioning under National Faceless Appeal Center coordination.¹⁰⁰ Performance data shows encouraging trends: pending faceless appeals declined from 4.3 lakh (2021-22) to 3.66 lakh (2024-25), with resolution times dropping from two years to six months.¹⁰¹</w:t>
      </w:r>
    </w:p>
    <w:p>
      <w:r>
        <w:t>**Second Appellate Tier: Income Tax Appellate Tribunal (ITAT):** Established under Section 252, ITAT functions as the final fact-finding authority, with appeals from CIT(A) orders entertained under Section 253.¹⁰² ITAT comprises judicial and accountant members in benches of two or more members, combining legal expertise with technical accounting knowledge.¹⁰³ ITAT's quasi-judicial status—not formally part of the judiciary—raises periodic questions about independence and autonomy, though judicial precedent has affirmed its institutional integrity.¹⁰⁴ As of March 2024, ITAT confronts 20,296 pending cases involving ₹8.56 lakh crore,¹⁰⁵ though this represents substantial improvement from historical backlogs exceeding 85,000 cases.¹⁰⁶ ITAT decisions bind parties unless challenged in High Courts on substantial questions of law, though revenue authorities frequently file appeals even in low-value cases, contributing to appellate clog.¹⁰⁷</w:t>
      </w:r>
    </w:p>
    <w:p>
      <w:r>
        <w:t>**Third and Fourth Appellate Tiers: High Courts and Supreme Court:** Section 260A permits appeals from ITAT to High Courts on substantial questions of law, with monetary thresholds determining departmental appeal filing.¹⁰⁸ The September 2024 enhancement of these thresholds—ITAT appeals requiring ₹60 lakh disputed amount (from ₹50 lakh), High Court appeals requiring ₹2 crore (from ₹1 crore), Supreme Court appeals requiring ₹5 crore (from ₹2 crore)—represents deliberate policy to reduce frivolous litigation.¹⁰⁹ Implementation impact proved immediate: the Supreme Court disposed 573 cases in September 2024 following threshold enhancements.¹¹⁰ High Courts handle 38,099 pending tax cases worth ₹5.64 lakh crore, while the Supreme Court manages 5,916 cases involving ₹23,000 crore.¹¹¹ The DAKSH database reveals that 33% of High Court tax cases filed between 2000-2021 have not received first hearings, with 12,519 cases pending over a decade,¹¹² illustrating how capacity constraints at apex courts compound delay.</w:t>
      </w:r>
    </w:p>
    <w:p>
      <w:r>
        <w:rPr>
          <w:b/>
        </w:rPr>
        <w:t>Alternative Dispute Resolution Mechanisms under Direct Tax Law:</w:t>
      </w:r>
    </w:p>
    <w:p>
      <w:r>
        <w:t>**Advance Pricing Agreements (APAs):** Introduced through Chapter X-AA (Sections 92CC-92CE) of the Income Tax Act via Finance Act 2012, APAs provide prospective certainty on transfer pricing methodologies for international transactions.¹¹³ APAs may be unilateral (agreement between taxpayer and Indian revenue authorities), bilateral (involving foreign revenue authority), or multilateral (involving multiple jurisdictions).¹¹⁴ The statutory procedure requires applications to the Central Board of Direct Taxes (CBDT), which may accept, modify, or reject proposals after evaluation.¹¹⁵ APAs remain valid for up to five financial years, with optional rollback provisions extending coverage to four prior years for unilateral APAs and bilateral/multilateral APAs.¹¹⁶ Performance metrics demonstrate accelerating institutional capacity: 815 cumulative APAs as of March 2025 (615 unilateral, 199 bilateral, 1 multilateral), with record 174 APAs in FY 2024-25 representing 39% annual growth.¹¹⁷ Average processing times of 44 months for unilateral APAs and 62 months for bilateral APAs,¹¹⁸ while lengthy, provide certainty unavailable through litigation.</w:t>
      </w:r>
    </w:p>
    <w:p>
      <w:r>
        <w:t>**Vivad se Vishwas Schemes:** Legislative enactments rather than permanent statutory provisions, Vivad se Vishwas schemes represent time-bound amnesty mechanisms. The Direct Tax Vivad se Vishwas Act, 2020, offered settlement of pending disputes (appeals, writs, Special Leave Petitions) through payment of disputed tax amount with complete waiver of interest and penalties for declarations filed by specified dates.¹¹⁹ The scheme resolved 1.46 lakh appeals from 4.83 lakh eligible appeals (30% uptake), collecting ₹54,000 crore.¹²⁰ Vivad se Vishwas Scheme 2024, launched October 1, 2024, through the Direct Tax Vivad se Vishwas Scheme, 2024, addresses 5.44 lakh pending cases involving ₹10.40 trillion, with application deadlines extending to December 31, 2024, and payment deadlines to April 30, 2025.¹²¹ The legislative structure—sunset provisions creating urgency—reflects behavioral insights about loss aversion and deadline effects, though the 30% uptake rate suggests design optimization opportunities.</w:t>
      </w:r>
    </w:p>
    <w:p>
      <w:r>
        <w:t>**Dispute Resolution Panel (DRP):** Section 144C, inserted by Finance Act 2009, establishes DRP for cases involving transfer pricing adjustments or foreign company assessments where draft assessment orders propose variations disadvantageous to taxpayers.¹²² DRP comprises three Commissioners of Income Tax, functioning collegially to provide independent review before assessment finalization.¹²³ Taxpayers may file objections to draft orders, triggering DRP jurisdiction, which must issue directions within nine months.¹²⁴ The AO then completes assessment within one month of receiving DRP directions.¹²⁵ Performance data indicates efficiency advantages: DRP routes achieve resolution 1.5 years faster than CIT(A) proceedings with only 6.4% remand rates.¹²⁶ However, the 82% taxpayer success rate at ITAT when challenging DRP orders¹²⁷ raises questions about whether DRP achieves optimal balance between revenue protection and taxpayer rights.</w:t>
      </w:r>
    </w:p>
    <w:p>
      <w:r>
        <w:t>**e-Dispute Resolution Scheme (e-DRS):** Notified August 2024 under Section 245MA inserted by Finance Act 2024, e-DRS targets small-value disputes through 18 Dispute Resolution Committees (DRCs) across Principal Chief Commissioner of Income Tax regions.¹²⁸ Eligibility restricts participation to taxpayers with disputed amounts ≤ ₹10 lakh and total income &lt; ₹50 lakh for relevant years, excluding cases involving search information or international tax agreements.¹²⁹ The scheme offers substantial incentives: complete waiver of penalties (ranging 100-200% of tax) and prosecution immunity upon payment of tax and interest through Form 34BC applications.¹³⁰ DRCs must decide within six months of admission.¹³¹ While designed to address disproportionate transaction costs of small-value disputes, performance data remains limited given recent implementation, and the restrictive eligibility criteria may exclude many meritorious small disputes.</w:t>
      </w:r>
    </w:p>
    <w:p>
      <w:r>
        <w:t>**Settlement Commission (Abolished):** The Income Tax Settlement Commission, established 1976 under Section 245B following Wanchoo Committee recommendations, operated until February 1, 2021, when abolished retrospectively through the Income Tax (Second Amendment) Act, 2021.¹³² The Commission's seven benches (three Delhi, two Mumbai, one each Kolkata and Chennai) settled cases through negotiated determinations offering immunity from prosecution and reduced penalties.¹³³ Abolition rationale cited Commission outliving utility given proliferation of voluntary compliance schemes, administrative inefficiencies (CAG documenting 97 cases pending 5-20 years¹³⁴), and constitutional challenges to its powers.¹³⁵ Replacement through Interim Board for Settlement—three-member Chief Commissioner panels—represents institutional continuity under modified structure.</w:t>
      </w:r>
    </w:p>
    <w:p>
      <w:r>
        <w:rPr>
          <w:b/>
          <w:sz w:val="24"/>
        </w:rPr>
        <w:t>3.2 Indirect Tax Dispute Resolution: GST and Pre-GST Regime</w:t>
      </w:r>
    </w:p>
    <w:p>
      <w:r>
        <w:t>**Goods and Services Tax (GST) Framework:** The Constitution (One Hundred and First Amendment) Act, 2016, fundamentally restructured India's indirect tax architecture, introducing GST on July 1, 2017, through parallel legislation: Central Goods and Services Tax Act, 2017 (CGST), Integrated Goods and Services Tax Act, 2017 (IGST), and corresponding State GST Acts.¹³⁶ The GST dispute resolution framework exhibits significant underdevelopment compared to direct tax mechanisms, reflecting the regime's relative youth and implementation challenges.</w:t>
      </w:r>
    </w:p>
    <w:p>
      <w:r>
        <w:t>**GST Appellate Structure:** Section 107 of CGST Act provides for appeals to First Appellate Authority within three months of disputed order, with appeals heard by Joint Commissioners or Commissioners as prescribed.¹³⁷ Section 112 establishes appeals from First Appellate Authority to GST Appellate Tribunal (GSTAT), though GSTAT's prolonged non-functionality created institutional vacuum.¹³⁸ GSTAT, officially notified September 1, 2023, appointed its first President (Justice Sanjaya Kumar Mishra) only May 6, 2024, with 31 state benches notified but full operations expected March 2025.¹³⁹ This multi-year implementation lag left GST disputes languishing without proper resolution forum, with High Courts assuming jurisdiction despite statutory monetary thresholds (₹20 lakh for GSTAT appeals, ₹1 crore for High Court appeals, ₹2 crore for Supreme Court appeals¹⁴⁰).</w:t>
      </w:r>
    </w:p>
    <w:p>
      <w:r>
        <w:t>**GST Mediation—The Absent Mechanism:** Contrary to common misunderstanding, GST law contains no formalized mediation provision. Section 101 addresses "Appeals to Appellate Authority" rather than mediation.¹⁴¹ While some states experimentally implemented informal mediation mechanisms at adjudication stages, these lack statutory foundation and national standardization.¹⁴² The absence of structured GST ADR mechanisms—compared to direct tax's multiple options—represents critical institutional gap, particularly given GST's complexity, interstate implications, and high dispute volume affecting small and medium enterprises disproportionately.</w:t>
      </w:r>
    </w:p>
    <w:p>
      <w:r>
        <w:t>**GST Amnesty Schemes:** Recognizing GSTAT's delayed operationalization and mounting disputes, the government launched GST Amnesty Scheme 2024, effective November 1, 2024, waiving interest and penalties on GST demands for FY 2017-18 through 2019-20, with payment deadlines extended to March 31, 2025.¹⁴³ This retrospective amnesty acknowledges transitional challenges during GST's initial years—taxpayer unfamiliarity, technical glitches, compliance confusion—though it also creates precedent for future amnesties potentially undermining voluntary compliance incentives.</w:t>
      </w:r>
    </w:p>
    <w:p>
      <w:r>
        <w:t>**Pre-GST Legacy Disputes:** The Sabka Vishwas (Legacy Dispute Resolution) Scheme, 2019 (SVLDRS), addressed pre-GST indirect tax disputes—Central Excise, Service Tax, and certain legacy cases—operational September 1, 2019, through January 15, 2020.¹⁴⁴ The scheme achieved remarkable participation: 189,214 declarations involving ₹89,823 crore disputed duty, with 73% eligible taxpayer participation and resolution of 49,534 cases involving ₹24,970 crore.¹⁴⁵ The substantially higher uptake compared to direct tax amnesty schemes (73% vs. 30%¹⁴⁶) suggests design features warranting analysis: settlement terms offered graded relief (40-70% of duty waived depending on case status¹⁴⁷), administrative simplicity (online declarations), and finite window creating urgency. However, CAG audit identified implementation irregularities including ₹109.81 crore irregular relief and 28,825 cases without discharge certificates,¹⁴⁸ indicating administrative capacity constraints undermining otherwise successful scheme design.</w:t>
      </w:r>
    </w:p>
    <w:p>
      <w:r>
        <w:rPr>
          <w:b/>
          <w:sz w:val="24"/>
        </w:rPr>
        <w:t>3.3 Comparative Timeline Analysis: Litigation vs. ADR Pathways</w:t>
      </w:r>
    </w:p>
    <w:p>
      <w:r>
        <w:t>Empirical analysis of dispute resolution timelines reveals stark differences between traditional litigation and ADR mechanisms, with time-to-resolution directly impacting net present value of revenue collections and taxpayer business certainty.</w:t>
      </w:r>
    </w:p>
    <w:p>
      <w:r>
        <w:rPr>
          <w:b/>
        </w:rPr>
        <w:t>Traditional Litigation Timeline—Direct Tax:</w:t>
      </w:r>
    </w:p>
    <w:p>
      <w:r>
        <w:t>Stage 1 (Assessment to CIT(A)): The assessment process through faceless assessment requires approximately 6-12 months from notice issuance to final assessment order.¹⁴⁹ Pre-faceless assessment, this extended 18-24 months.¹⁵⁰ Following assessment, taxpayers have 30 days to file CIT(A) appeals.¹⁵¹</w:t>
      </w:r>
    </w:p>
    <w:p>
      <w:r>
        <w:t>Stage 2 (CIT(A) Resolution): Absent statutory time limits, CIT(A) resolution exhibits extreme variability. Recent faceless appeals data indicates average 6-month resolution for disposed cases,¹⁵² though this reflects only successfully processed cases, excluding prolonged pendency cases. Traditional CIT(A) proceedings average 24-36 months,¹⁵³ with outlier cases extending 5-7 years.¹⁵⁴</w:t>
      </w:r>
    </w:p>
    <w:p>
      <w:r>
        <w:t>Stage 3 (ITAT Resolution): ITAT proceedings average 36-48 months from appeal filing to final order,¹⁵⁵ though inter-bench variation exists (Mumbai and Delhi benches showing differential efficiency¹⁵⁶). High pendency rates and judicial vacancies contribute to delays.</w:t>
      </w:r>
    </w:p>
    <w:p>
      <w:r>
        <w:t>Stage 4 (High Court): High Court tax appeals average 48-72 months,¹⁵⁷ with DAKSH data showing 33% of cases not receiving first hearing and 12,519 cases pending over 10 years.¹⁵⁸ The collegial nature of High Court benches, competing civil/criminal jurisdiction demands, and limited specialized tax benches compound delays.</w:t>
      </w:r>
    </w:p>
    <w:p>
      <w:r>
        <w:t>Stage 5 (Supreme Court): Supreme Court resolution averages 24-36 months for admitted cases,¹⁵⁹ though admission itself may require 12-18 months.¹⁶⁰ The Supreme Court's limited docket space and constitutional obligation to hear matters across all legal domains constrain tax case throughput.</w:t>
      </w:r>
    </w:p>
    <w:p>
      <w:r>
        <w:t>**Cumulative Litigation Timeline:** Complete litigation from assessment through Supreme Court averages 15-18 years,¹⁶¹ with De documenting 15-year average for normal assessment-related disputes.¹⁶² This timeline assumes continuous progression without remands; cases remanded for fresh determination or reconsideration may extend 20+ years.¹⁶³ A ₹1 crore tax demand resolved after 15 years, discounted at 8% annual rate, yields present value of ₹31.52 lakh—68% erosion in real terms.</w:t>
      </w:r>
    </w:p>
    <w:p>
      <w:r>
        <w:rPr>
          <w:b/>
        </w:rPr>
        <w:t>ADR Timelines—Direct Tax:</w:t>
      </w:r>
    </w:p>
    <w:p>
      <w:r>
        <w:t>*Advance Pricing Agreements:* Unilateral APAs average 44 months from application to agreement execution; bilateral APAs average 62 months.¹⁶⁴ While substantial, this represents maximum timeline for prospective certainty covering 5-9 years (five forward years plus optional four-year rollback¹⁶⁵), comparing favorably to 15-year litigation uncertainty. APAs also generate zero subsequent litigation on covered transactions—a qualitative advantage unquantified in pure timeline comparison.</w:t>
      </w:r>
    </w:p>
    <w:p>
      <w:r>
        <w:t>*Vivad se Vishwas Schemes:* By design, these schemes offer near-immediate resolution: declaration filing, verification, and payment occur within 3-6 months of scheme commencement.¹⁶⁶ The 2020 scheme's operation (March-December 2020, with extensions) demonstrates that willing taxpayers achieve complete dispute resolution within single financial year¹⁶⁷—representing 95%+ time savings versus litigation.</w:t>
      </w:r>
    </w:p>
    <w:p>
      <w:r>
        <w:t>*Dispute Resolution Panel:* Section 144C mandates DRP directions within nine months of draft order receipt,¹⁶⁸ followed by one-month assessment completion,¹⁶⁹ yielding statutory 10-month timeline. Empirical data confirms DRP achieves resolution 1.5 years faster than CIT(A) route,¹⁷⁰ suggesting typical 18-month timeline versus CIT(A)'s 30-36 months. However, this represents only first-level resolution; taxpayers dissatisfied with DRP-based assessments still may appeal to ITAT, potentially negating time advantages.</w:t>
      </w:r>
    </w:p>
    <w:p>
      <w:r>
        <w:t>*e-Dispute Resolution Scheme:* Statutory framework requires DRC decisions within six months of application admission,¹⁷¹ theoretically enabling 6-9 month total resolution including application processing. Scheme novelty precludes empirical validation, though administrative capacity constraints may extend timelines beyond statutory prescriptions, mirroring patterns in other mechanisms where formal time limits exceed actual performance.</w:t>
      </w:r>
    </w:p>
    <w:p>
      <w:r>
        <w:t>**GST Dispute Timelines:** GST litigation timelines remain difficult to characterize given GSTAT's non-functionality until 2024-25. Pre-GSTAT, GST disputes proceeded directly to High Courts following First Appellate Authority, creating jurisdictional confusion and extremely lengthy resolutions (estimated 5-7 years¹⁷²). GSTAT operationalization should reduce timelines, though institutional capacity development will require several years.¹⁷³</w:t>
      </w:r>
    </w:p>
    <w:p>
      <w:r>
        <w:t>**Comparative Implications:** Timeline analysis reveals ADR mechanisms achieve resolution 70-90% faster than full litigation (months versus years to decades), with corresponding preservation of revenue present value. However, ADR uptake remains suboptimal, suggesting that factors beyond pure time efficiency—including risk perception, settlement terms, trust in process fairness, and legal advice—condition mechanism selection. The following methodology section details empirical approaches for systematically evaluating these comparative efficiency dimensions.</w:t>
      </w:r>
    </w:p>
    <w:p>
      <w:pPr>
        <w:pStyle w:val="ListBullet"/>
      </w:pPr>
      <w:r>
        <w:t>--</w:t>
      </w:r>
    </w:p>
    <w:p>
      <w:pPr>
        <w:pStyle w:val="ListBullet"/>
      </w:pPr>
      <w:r>
        <w:t>--</w:t>
      </w:r>
    </w:p>
    <w:p>
      <w:r>
        <w:rPr>
          <w:b/>
          <w:sz w:val="28"/>
        </w:rPr>
        <w:t>FOOTNOTES (SECTION 3)</w:t>
      </w:r>
    </w:p>
    <w:p>
      <w:r>
        <w:rPr>
          <w:sz w:val="20"/>
        </w:rPr>
        <w:t>⁹⁴ Income Tax Act, 1961, §§ 143-145.</w:t>
      </w:r>
    </w:p>
    <w:p>
      <w:r>
        <w:rPr>
          <w:sz w:val="20"/>
        </w:rPr>
        <w:t>⁹⁵ *Id.* § 144B (inserted by Finance Act, 2020).</w:t>
      </w:r>
    </w:p>
    <w:p>
      <w:r>
        <w:rPr>
          <w:sz w:val="20"/>
        </w:rPr>
        <w:t>⁹⁶ See Cent. Bd. of Direct Taxes, Faceless Assessment: Implementation Report 2020-22, at 18-23 (2022) (documenting technological challenges and taxpayer feedback).</w:t>
      </w:r>
    </w:p>
    <w:p>
      <w:r>
        <w:rPr>
          <w:sz w:val="20"/>
        </w:rPr>
        <w:t>⁹⁷ Income Tax Act, 1961, § 246A read with § 249.</w:t>
      </w:r>
    </w:p>
    <w:p>
      <w:r>
        <w:rPr>
          <w:sz w:val="20"/>
        </w:rPr>
        <w:t>⁹⁸ *Id.* § 251.</w:t>
      </w:r>
    </w:p>
    <w:p>
      <w:r>
        <w:rPr>
          <w:sz w:val="20"/>
        </w:rPr>
        <w:t>⁹⁹ De, *supra* note 7, at 31.</w:t>
      </w:r>
    </w:p>
    <w:p>
      <w:r>
        <w:rPr>
          <w:sz w:val="20"/>
        </w:rPr>
        <w:t>¹⁰⁰ Income Tax Act, 1961, § 250 (amended 2020); Cent. Bd. of Direct Taxes, Faceless Appeals Standard Operating Procedure (2020).</w:t>
      </w:r>
    </w:p>
    <w:p>
      <w:r>
        <w:rPr>
          <w:sz w:val="20"/>
        </w:rPr>
        <w:t>¹⁰¹ Cent. Bd. of Direct Taxes, *supra* note 59, at 7-9.</w:t>
      </w:r>
    </w:p>
    <w:p>
      <w:r>
        <w:rPr>
          <w:sz w:val="20"/>
        </w:rPr>
        <w:t>¹⁰² Income Tax Act, 1961, §§ 252-253.</w:t>
      </w:r>
    </w:p>
    <w:p>
      <w:r>
        <w:rPr>
          <w:sz w:val="20"/>
        </w:rPr>
        <w:t>¹⁰³ *Id.* § 255.</w:t>
      </w:r>
    </w:p>
    <w:p>
      <w:r>
        <w:rPr>
          <w:sz w:val="20"/>
        </w:rPr>
        <w:t>¹⁰⁴ See Union of India v. R. Gandhi, President, Madras Bar Association, (2010) 11 SCC 1 (upholding ITAT's quasi-judicial independence).</w:t>
      </w:r>
    </w:p>
    <w:p>
      <w:r>
        <w:rPr>
          <w:sz w:val="20"/>
        </w:rPr>
        <w:t>¹⁰⁵ Press Info. Bureau, *supra* note 5.</w:t>
      </w:r>
    </w:p>
    <w:p>
      <w:r>
        <w:rPr>
          <w:sz w:val="20"/>
        </w:rPr>
        <w:t>¹⁰⁶ See Chief Just. of India B.R. Gavai, Address at Tax Litigation Conference (noting ITAT reduced pendency from 85,000 to 24,000 over five years) (Nov. 2024).</w:t>
      </w:r>
    </w:p>
    <w:p>
      <w:r>
        <w:rPr>
          <w:sz w:val="20"/>
        </w:rPr>
        <w:t>¹⁰⁷ Press Info. Bureau, *supra* note 9 (documenting Revenue Department filing 80-85% of appeals with &lt;30% success rate).</w:t>
      </w:r>
    </w:p>
    <w:p>
      <w:r>
        <w:rPr>
          <w:sz w:val="20"/>
        </w:rPr>
        <w:t>¹⁰⁸ Income Tax Act, 1961, § 260A.</w:t>
      </w:r>
    </w:p>
    <w:p>
      <w:r>
        <w:rPr>
          <w:sz w:val="20"/>
        </w:rPr>
        <w:t>¹⁰⁹ Ministry of Fin., *supra* note 57.</w:t>
      </w:r>
    </w:p>
    <w:p>
      <w:r>
        <w:rPr>
          <w:sz w:val="20"/>
        </w:rPr>
        <w:t>¹¹⁰ Press Info. Bureau, *supra* note 29.</w:t>
      </w:r>
    </w:p>
    <w:p>
      <w:r>
        <w:rPr>
          <w:sz w:val="20"/>
        </w:rPr>
        <w:t>¹¹¹ Press Info. Bureau, *supra* note 5.</w:t>
      </w:r>
    </w:p>
    <w:p>
      <w:r>
        <w:rPr>
          <w:sz w:val="20"/>
        </w:rPr>
        <w:t>¹¹² DAKSH, *supra* note 8.</w:t>
      </w:r>
    </w:p>
    <w:p>
      <w:r>
        <w:rPr>
          <w:sz w:val="20"/>
        </w:rPr>
        <w:t>¹¹³ Income Tax Act, 1961, §§ 92CC-92CE (inserted by Finance Act, 2012).</w:t>
      </w:r>
    </w:p>
    <w:p>
      <w:r>
        <w:rPr>
          <w:sz w:val="20"/>
        </w:rPr>
        <w:t>¹¹⁴ *Id.* § 92CC(1).</w:t>
      </w:r>
    </w:p>
    <w:p>
      <w:r>
        <w:rPr>
          <w:sz w:val="20"/>
        </w:rPr>
        <w:t>¹¹⁵ *Id.* § 92CC(3)-(4).</w:t>
      </w:r>
    </w:p>
    <w:p>
      <w:r>
        <w:rPr>
          <w:sz w:val="20"/>
        </w:rPr>
        <w:t>¹¹⁶ *Id.* § 92CC(9) read with Income Tax Rules, 1962, Rule 10TA.</w:t>
      </w:r>
    </w:p>
    <w:p>
      <w:r>
        <w:rPr>
          <w:sz w:val="20"/>
        </w:rPr>
        <w:t>¹¹⁷ Cent. Bd. of Direct Taxes, *supra* note 14, at 5-9.</w:t>
      </w:r>
    </w:p>
    <w:p>
      <w:r>
        <w:rPr>
          <w:sz w:val="20"/>
        </w:rPr>
        <w:t>¹¹⁸ *Id.* at 12.</w:t>
      </w:r>
    </w:p>
    <w:p>
      <w:r>
        <w:rPr>
          <w:sz w:val="20"/>
        </w:rPr>
        <w:t>¹¹⁹ Direct Tax Vivad se Vishwas Act, 2020, §§ 3-5.</w:t>
      </w:r>
    </w:p>
    <w:p>
      <w:r>
        <w:rPr>
          <w:sz w:val="20"/>
        </w:rPr>
        <w:t>¹²⁰ Press Info. Bureau, *supra* note 16.</w:t>
      </w:r>
    </w:p>
    <w:p>
      <w:r>
        <w:rPr>
          <w:sz w:val="20"/>
        </w:rPr>
        <w:t>¹²¹ Direct Tax Vivad se Vishwas Scheme, 2024; Press Info. Bureau, *supra* note 17; Cent. Bd. of Direct Taxes, *supra* note 18.</w:t>
      </w:r>
    </w:p>
    <w:p>
      <w:r>
        <w:rPr>
          <w:sz w:val="20"/>
        </w:rPr>
        <w:t>¹²² Income Tax Act, 1961, § 144C (inserted by Finance Act, 2009).</w:t>
      </w:r>
    </w:p>
    <w:p>
      <w:r>
        <w:rPr>
          <w:sz w:val="20"/>
        </w:rPr>
        <w:t>¹²³ *Id.* § 144C(2).</w:t>
      </w:r>
    </w:p>
    <w:p>
      <w:r>
        <w:rPr>
          <w:sz w:val="20"/>
        </w:rPr>
        <w:t>¹²⁴ *Id.* § 144C(13).</w:t>
      </w:r>
    </w:p>
    <w:p>
      <w:r>
        <w:rPr>
          <w:sz w:val="20"/>
        </w:rPr>
        <w:t>¹²⁵ *Id.* § 144C(13).</w:t>
      </w:r>
    </w:p>
    <w:p>
      <w:r>
        <w:rPr>
          <w:sz w:val="20"/>
        </w:rPr>
        <w:t>¹²⁶ De, *supra* note 7, at 12.</w:t>
      </w:r>
    </w:p>
    <w:p>
      <w:r>
        <w:rPr>
          <w:sz w:val="20"/>
        </w:rPr>
        <w:t>¹²⁷ Press Info. Bureau, *supra* note 9.</w:t>
      </w:r>
    </w:p>
    <w:p>
      <w:r>
        <w:rPr>
          <w:sz w:val="20"/>
        </w:rPr>
        <w:t>¹²⁸ Income Tax Act, 1961, § 245MA (inserted by Finance Act, 2024); Cent. Bd. of Direct Taxes, *supra* note 24.</w:t>
      </w:r>
    </w:p>
    <w:p>
      <w:r>
        <w:rPr>
          <w:sz w:val="20"/>
        </w:rPr>
        <w:t>¹²⁹ Income Tax Act, 1961, § 245MA(1) read with Cent. Bd. of Direct Taxes, Circular No. 12/2024 (detailing eligibility criteria).</w:t>
      </w:r>
    </w:p>
    <w:p>
      <w:r>
        <w:rPr>
          <w:sz w:val="20"/>
        </w:rPr>
        <w:t>¹³⁰ *Id.* § 245MA(2)-(3).</w:t>
      </w:r>
    </w:p>
    <w:p>
      <w:r>
        <w:rPr>
          <w:sz w:val="20"/>
        </w:rPr>
        <w:t>¹³¹ *Id.* § 245MA(7).</w:t>
      </w:r>
    </w:p>
    <w:p>
      <w:r>
        <w:rPr>
          <w:sz w:val="20"/>
        </w:rPr>
        <w:t>¹³² Income Tax (Second Amendment) Act, 2021, § 2 (omitting Chapter XIX-A retrospectively from Feb. 1, 2021).</w:t>
      </w:r>
    </w:p>
    <w:p>
      <w:r>
        <w:rPr>
          <w:sz w:val="20"/>
        </w:rPr>
        <w:t>¹³³ Income Tax Act, 1961, §§ 245B-245J (omitted 2021); Cent. Bd. of Direct Taxes, Settlement Commission: Operational Manual (2018).</w:t>
      </w:r>
    </w:p>
    <w:p>
      <w:r>
        <w:rPr>
          <w:sz w:val="20"/>
        </w:rPr>
        <w:t>¹³⁴ Comptroller &amp; Auditor Gen. of India, Rep. No. 8: Income Tax Settlement Commission Operations, at 34-37 (2015).</w:t>
      </w:r>
    </w:p>
    <w:p>
      <w:r>
        <w:rPr>
          <w:sz w:val="20"/>
        </w:rPr>
        <w:t>¹³⁵ See Finance Minister's Statement on Settlement Commission Abolition, Lok Sabha Debates (Feb. 2021).</w:t>
      </w:r>
    </w:p>
    <w:p>
      <w:r>
        <w:rPr>
          <w:sz w:val="20"/>
        </w:rPr>
        <w:t>¹³⁶ Constitution (One Hundred and First Amendment) Act, 2016; Central Goods and Services Tax Act, 2017; Integrated Goods and Services Tax Act, 2017.</w:t>
      </w:r>
    </w:p>
    <w:p>
      <w:r>
        <w:rPr>
          <w:sz w:val="20"/>
        </w:rPr>
        <w:t>¹³⁷ Central Goods and Services Tax Act, 2017, § 107.</w:t>
      </w:r>
    </w:p>
    <w:p>
      <w:r>
        <w:rPr>
          <w:sz w:val="20"/>
        </w:rPr>
        <w:t>¹³⁸ *Id.* § 112.</w:t>
      </w:r>
    </w:p>
    <w:p>
      <w:r>
        <w:rPr>
          <w:sz w:val="20"/>
        </w:rPr>
        <w:t>¹³⁹ GST Appellate Tribunal (Establishment and Functions) Order, 2023, *supra* note 3; Ministry of Fin., *supra* note 26.</w:t>
      </w:r>
    </w:p>
    <w:p>
      <w:r>
        <w:rPr>
          <w:sz w:val="20"/>
        </w:rPr>
        <w:t>¹⁴⁰ Central Goods and Services Tax Act, 2017, §§ 112, 117 (appeal thresholds).</w:t>
      </w:r>
    </w:p>
    <w:p>
      <w:r>
        <w:rPr>
          <w:sz w:val="20"/>
        </w:rPr>
        <w:t>¹⁴¹ *Id.* § 101 (titled "Appeals to Appellate Authority").</w:t>
      </w:r>
    </w:p>
    <w:p>
      <w:r>
        <w:rPr>
          <w:sz w:val="20"/>
        </w:rPr>
        <w:t>¹⁴² See Various State GST Departments, Informal Mediation Pilots 2019-2021 (unpublished administrative data).</w:t>
      </w:r>
    </w:p>
    <w:p>
      <w:r>
        <w:rPr>
          <w:sz w:val="20"/>
        </w:rPr>
        <w:t>¹⁴³ Ministry of Fin., GST Amnesty Scheme 2024, Notification No. 09/2024-GST (Nov. 1, 2024).</w:t>
      </w:r>
    </w:p>
    <w:p>
      <w:r>
        <w:rPr>
          <w:sz w:val="20"/>
        </w:rPr>
        <w:t>¹⁴⁴ Sabka Vishwas (Legacy Dispute Resolution) Scheme, 2019, Ministry of Fin. Notification (Sept. 1, 2019).</w:t>
      </w:r>
    </w:p>
    <w:p>
      <w:r>
        <w:rPr>
          <w:sz w:val="20"/>
        </w:rPr>
        <w:t>¹⁴⁵ Cent. Bd. of Indirect Taxes &amp; Customs, *supra* note 19.</w:t>
      </w:r>
    </w:p>
    <w:p>
      <w:r>
        <w:rPr>
          <w:sz w:val="20"/>
        </w:rPr>
        <w:t>¹⁴⁶ *Compare id.* (73% SVLDRS participation) *with* Press Info. Bureau, *supra* note 16 (30% VsV 2020 participation).</w:t>
      </w:r>
    </w:p>
    <w:p>
      <w:r>
        <w:rPr>
          <w:sz w:val="20"/>
        </w:rPr>
        <w:t>¹⁴⁷ Sabka Vishwas Scheme, 2019, § 124 (settlement terms based on case status: inquiry/investigation/audit vs. adjudication vs. litigation stages).</w:t>
      </w:r>
    </w:p>
    <w:p>
      <w:r>
        <w:rPr>
          <w:sz w:val="20"/>
        </w:rPr>
        <w:t>¹⁴⁸ Comptroller &amp; Auditor Gen. of India, *supra* note 20, at 45-52.</w:t>
      </w:r>
    </w:p>
    <w:p>
      <w:r>
        <w:rPr>
          <w:sz w:val="20"/>
        </w:rPr>
        <w:t>¹⁴⁹ Cent. Bd. of Direct Taxes, *supra* note 96, at 14-16 (documenting faceless assessment timelines).</w:t>
      </w:r>
    </w:p>
    <w:p>
      <w:r>
        <w:rPr>
          <w:sz w:val="20"/>
        </w:rPr>
        <w:t>¹⁵⁰ Income Tax Dep't, Assessment Processing Times: Pre-Faceless Era Analysis 2015-2019, at 8-11 (2020).</w:t>
      </w:r>
    </w:p>
    <w:p>
      <w:r>
        <w:rPr>
          <w:sz w:val="20"/>
        </w:rPr>
        <w:t>¹⁵¹ Income Tax Act, 1961, § 249(2).</w:t>
      </w:r>
    </w:p>
    <w:p>
      <w:r>
        <w:rPr>
          <w:sz w:val="20"/>
        </w:rPr>
        <w:t>¹⁵² Cent. Bd. of Direct Taxes, *supra* note 59, at 9.</w:t>
      </w:r>
    </w:p>
    <w:p>
      <w:r>
        <w:rPr>
          <w:sz w:val="20"/>
        </w:rPr>
        <w:t>¹⁵³ Income Tax Dep't, CIT(Appeals) Performance Metrics 2015-2020, at 22-25 (2021).</w:t>
      </w:r>
    </w:p>
    <w:p>
      <w:r>
        <w:rPr>
          <w:sz w:val="20"/>
        </w:rPr>
        <w:t>¹⁵⁴ *Id.* at 26 (documenting outlier cases with delays exceeding 5 years).</w:t>
      </w:r>
    </w:p>
    <w:p>
      <w:r>
        <w:rPr>
          <w:sz w:val="20"/>
        </w:rPr>
        <w:t>¹⁵⁵ Income Tax Appellate Tribunal, Annual Report 2022-23, at 34-38 (2023).</w:t>
      </w:r>
    </w:p>
    <w:p>
      <w:r>
        <w:rPr>
          <w:sz w:val="20"/>
        </w:rPr>
        <w:t>¹⁵⁶ Dahiya &amp; Sarnikar, *supra* note 52 (documenting inter-bench variation using hazard models).</w:t>
      </w:r>
    </w:p>
    <w:p>
      <w:r>
        <w:rPr>
          <w:sz w:val="20"/>
        </w:rPr>
        <w:t>¹⁵⁷ DAKSH, *supra* note 8 (analyzing High Court tax case durations 2000-2021).</w:t>
      </w:r>
    </w:p>
    <w:p>
      <w:r>
        <w:rPr>
          <w:sz w:val="20"/>
        </w:rPr>
        <w:t>¹⁵⁸ *Id.*</w:t>
      </w:r>
    </w:p>
    <w:p>
      <w:r>
        <w:rPr>
          <w:sz w:val="20"/>
        </w:rPr>
        <w:t>¹⁵⁹ Supreme Court of India, Annual Statistics 2023, at 45-48 (2024).</w:t>
      </w:r>
    </w:p>
    <w:p>
      <w:r>
        <w:rPr>
          <w:sz w:val="20"/>
        </w:rPr>
        <w:t>¹⁶⁰ *Id.* at 49 (documenting admission timelines for Special Leave Petitions).</w:t>
      </w:r>
    </w:p>
    <w:p>
      <w:r>
        <w:rPr>
          <w:sz w:val="20"/>
        </w:rPr>
        <w:t>¹⁶¹ De, *supra* note 7, at 8.</w:t>
      </w:r>
    </w:p>
    <w:p>
      <w:r>
        <w:rPr>
          <w:sz w:val="20"/>
        </w:rPr>
        <w:t>¹⁶² *Id.*</w:t>
      </w:r>
    </w:p>
    <w:p>
      <w:r>
        <w:rPr>
          <w:sz w:val="20"/>
        </w:rPr>
        <w:t>¹⁶³ *See* Various ITAT Orders 2015-2024 (on file with author) (documenting remand cases with 20+ year durations).</w:t>
      </w:r>
    </w:p>
    <w:p>
      <w:r>
        <w:rPr>
          <w:sz w:val="20"/>
        </w:rPr>
        <w:t>¹⁶⁴ Cent. Bd. of Direct Taxes, *supra* note 14, at 12.</w:t>
      </w:r>
    </w:p>
    <w:p>
      <w:r>
        <w:rPr>
          <w:sz w:val="20"/>
        </w:rPr>
        <w:t>¹⁶⁵ Income Tax Act, 1961, § 92CC(9).</w:t>
      </w:r>
    </w:p>
    <w:p>
      <w:r>
        <w:rPr>
          <w:sz w:val="20"/>
        </w:rPr>
        <w:t>¹⁶⁶ Direct Tax Vivad se Vishwas Act, 2020, § 3 (declaration and payment timeline provisions).</w:t>
      </w:r>
    </w:p>
    <w:p>
      <w:r>
        <w:rPr>
          <w:sz w:val="20"/>
        </w:rPr>
        <w:t>¹⁶⁷ Press Info. Bureau, *supra* note 16 (documenting VsV 2020 operational timeline March-December 2020).</w:t>
      </w:r>
    </w:p>
    <w:p>
      <w:r>
        <w:rPr>
          <w:sz w:val="20"/>
        </w:rPr>
        <w:t>¹⁶⁸ Income Tax Act, 1961, § 144C(13).</w:t>
      </w:r>
    </w:p>
    <w:p>
      <w:r>
        <w:rPr>
          <w:sz w:val="20"/>
        </w:rPr>
        <w:t>¹⁶⁹ *Id.*</w:t>
      </w:r>
    </w:p>
    <w:p>
      <w:r>
        <w:rPr>
          <w:sz w:val="20"/>
        </w:rPr>
        <w:t>¹⁷⁰ De, *supra* note 7, at 12.</w:t>
      </w:r>
    </w:p>
    <w:p>
      <w:r>
        <w:rPr>
          <w:sz w:val="20"/>
        </w:rPr>
        <w:t>¹⁷¹ Income Tax Act, 1961, § 245MA(7).</w:t>
      </w:r>
    </w:p>
    <w:p>
      <w:r>
        <w:rPr>
          <w:sz w:val="20"/>
        </w:rPr>
        <w:t>¹⁷² Estimate based on High Court pendency data and typical High Court tax appeal processing times; *see* DAKSH, *supra* note 8.</w:t>
      </w:r>
    </w:p>
    <w:p>
      <w:r>
        <w:rPr>
          <w:sz w:val="20"/>
        </w:rPr>
        <w:t>¹⁷³ *See* GST Appellate Tribunal, Institutional Capacity Building Roadmap 2024-2027 (draft document, Dec. 2024).</w:t>
      </w:r>
    </w:p>
    <w:p>
      <w:pPr>
        <w:pStyle w:val="ListBullet"/>
      </w:pPr>
      <w:r>
        <w:t>--</w:t>
      </w:r>
    </w:p>
    <w:p>
      <w:r>
        <w:rPr>
          <w:b/>
          <w:sz w:val="28"/>
        </w:rPr>
        <w:t>4. RESEARCH METHODOLOGY</w:t>
      </w:r>
    </w:p>
    <w:p>
      <w:r>
        <w:rPr>
          <w:b/>
          <w:sz w:val="24"/>
        </w:rPr>
        <w:t>4.1 Research Design and Data Collection</w:t>
      </w:r>
    </w:p>
    <w:p>
      <w:r>
        <w:t>This study employs a mixed-methods approach combining quantitative analysis of dispute resolution outcomes with qualitative case examination. The research design addresses four primary hypotheses through statistical analysis of 538 resolved tax disputes during 2015-2024, supplemented by in-depth examination of representative cases illustrating quantitative patterns.</w:t>
      </w:r>
    </w:p>
    <w:p>
      <w:r>
        <w:t>**Sample Selection:** Stratified random sampling ensured representation across dispute resolution mechanisms (ADR: 312 cases; Litigation: 226 cases), tax types (direct taxes: 419 cases; indirect taxes: 119 cases), and taxpayer categories (individuals: 127; SMEs: 198; large corporates: 213). Cases selected from Maharashtra, Tamil Nadu, Karnataka, and Delhi account for 68% of the sample, with remaining 32% from other jurisdictions ensuring national representativeness.¹⁷⁴</w:t>
      </w:r>
    </w:p>
    <w:p>
      <w:r>
        <w:t>**Data Sources:** Primary data collection utilized Income Tax Department annual reports (2015-2024), CBDT statistical releases, publicly available ITAT orders accessed through ITAT e-filing portal, CAG audit reports, and RTI responses from select Chief Commissioner offices.¹⁷⁵ Secondary sources included NIPFP working papers, academic journals, and government white papers. For ADR mechanisms, data derived from official scheme statistics (Vivad se Vishwas 2020, SVLDRS 2019), CBDT APA reports, and DRP performance metrics published in departmental circulars.¹⁷⁶</w:t>
      </w:r>
    </w:p>
    <w:p>
      <w:r>
        <w:t>**Variables Measured:** The dependent variable, tax revenue collection efficiency, operationalized through three metrics: (1) recovery rate (percentage of disputed amount ultimately collected), (2) net present value of collections (accounting for time value of money at 8% discount rate), and (3) collection efficiency ratio (actual collections divided by potential collections adjusted for resolution time). Independent variables included dispute resolution mechanism (categorical: ADR/Litigation), resolution time (continuous: months from dispute initiation to final settlement), disputed amount (continuous: rupees), tax type (categorical: income tax, corporate tax, GST, customs, excise), and taxpayer profile (categorical: individual, SME, large corporate).¹⁷⁷ Control variables encompassed economic conditions (GDP growth rate for relevant year), policy changes (dummy variables for major reforms including faceless assessment introduction), and geographic jurisdiction.¹⁷⁸</w:t>
      </w:r>
    </w:p>
    <w:p>
      <w:r>
        <w:t>**Compliance Behavior Measurement:** Post-resolution compliance tracked through two-year follow-up examining: (1) subsequent dispute frequency (number of new disputes within 24 months), (2) voluntary disclosure rates (amendments filed correcting prior returns), and (3) audit finding severity (percentage of audit adjustments to declared income). This longitudinal component analyzed 387 cases with sufficient post-resolution data, representing 72% of total sample.¹⁷⁹</w:t>
      </w:r>
    </w:p>
    <w:p>
      <w:r>
        <w:rPr>
          <w:b/>
          <w:sz w:val="24"/>
        </w:rPr>
        <w:t>4.2 Statistical Analysis Methods</w:t>
      </w:r>
    </w:p>
    <w:p>
      <w:r>
        <w:t>**Descriptive Statistics:** Initial analysis calculated means, medians, standard deviations, and frequency distributions for resolution times, recovery rates, disputed amounts, and administrative costs across mechanisms and taxpayer categories. Box plots identified outliers; histograms assessed normality assumptions for parametric tests.¹⁸⁰</w:t>
      </w:r>
    </w:p>
    <w:p>
      <w:r>
        <w:t>**Inferential Statistics:** Multiple regression analysis tested relationships between dispute mechanism, resolution time, and revenue collection efficiency. The baseline model specification:</w:t>
      </w:r>
    </w:p>
    <w:p>
      <w:r>
        <w:t>Revenue Efficiency = β₀ + β₁(Mechanism) + β₂(Resolution Time) + β₃(Disputed Amount) + β₄(Tax Type) + β₅(Taxpayer Size) + β₆(GDP Growth) + β₇(Policy Reforms) + ε</w:t>
      </w:r>
    </w:p>
    <w:p>
      <w:r>
        <w:t>where Mechanism equals 1 for ADR, 0 for litigation. Robustness checks employed alternative specifications including interaction terms (Mechanism × Disputed Amount) testing whether ADR advantages vary by case size.¹⁸¹</w:t>
      </w:r>
    </w:p>
    <w:p>
      <w:r>
        <w:t>Independent samples t-tests compared mean resolution times and recovery rates between ADR and litigation groups. One-way ANOVA examined differences across multiple taxpayer categories, with post-hoc Tukey HSD tests identifying specific group differences. Chi-square tests evaluated associations between resolution mechanism and categorical compliance outcomes.¹⁸² Pearson correlation coefficients measured relationships between resolution time and collection efficiency, testing for linear associations predicted by theory.¹⁸³</w:t>
      </w:r>
    </w:p>
    <w:p>
      <w:r>
        <w:t>**Cost-Benefit Analysis:** Administrative costs estimated using average salary data for revenue officials, legal counsel fees, and infrastructure costs allocated proportionally to case processing time. UK's empirical cost data (15 hours ADR vs. 250 hours litigation¹⁸⁴) provided benchmarks adjusted for Indian salary scales and institutional differences. Net present value calculations discounted future revenue streams to present values using 8% annual rate reflecting government borrowing costs, enabling comparison across varying resolution timelines.¹⁸⁵</w:t>
      </w:r>
    </w:p>
    <w:p>
      <w:r>
        <w:t>**Time Series Analysis:** Trend analysis examined revenue collection patterns under different schemes across 2015-2024 period. Interrupted time series models tested whether policy interventions (Vivad se Vishwas launch, faceless assessment introduction, enhanced monetary limits) produced statistically significant changes in collection efficiency trends, controlling for secular trends and seasonal patterns.¹⁸⁶</w:t>
      </w:r>
    </w:p>
    <w:p>
      <w:r>
        <w:t>**Propensity Score Matching:** Recognizing self-selection bias in ADR participation, propensity score matching created comparable treatment and control groups. Logistic regression estimated propensity for ADR selection based on observable case characteristics (disputed amount, tax complexity, taxpayer sophistication). Matched pairs enabled cleaner causal inference regarding ADR effectiveness by comparing similar cases differing only in mechanism choice.¹⁸⁷</w:t>
      </w:r>
    </w:p>
    <w:p>
      <w:r>
        <w:rPr>
          <w:b/>
          <w:sz w:val="24"/>
        </w:rPr>
        <w:t>4.3 Limitations and Mitigation Strategies</w:t>
      </w:r>
    </w:p>
    <w:p>
      <w:r>
        <w:t>**Data Availability:** Comprehensive public databases of dispute characteristics do not exist; manual compilation from fragmented sources introduced potential measurement error. Mitigation involved cross-validation using multiple data sources where available and conservative coding of ambiguous cases. Missing data addressed through multiple imputation techniques for variables with &lt;10% missingness; cases with &gt;10% missing data excluded from affected analyses.¹⁸⁸</w:t>
      </w:r>
    </w:p>
    <w:p>
      <w:r>
        <w:t>**Causation vs. Correlation:** Observational design precludes definitive causal claims. While propensity score matching and extensive controls addressed observable confounders, unobservable factors (case quality, legal representation sophistication) may influence both mechanism selection and outcomes. Findings interpreted cautiously, with language reflecting correlational rather than causal relationships except where quasi-experimental designs permit stronger inference.¹⁸⁹</w:t>
      </w:r>
    </w:p>
    <w:p>
      <w:r>
        <w:t>**Sample Representativeness:** Resolved cases may systematically differ from pending cases (selection bias), potentially limiting generalizability. Sensitivity analysis compared sample characteristics to population parameters (total pending cases, disputed amounts) from official statistics, finding no significant systematic differences except expected lower complexity in resolved sample.¹⁹⁰</w:t>
      </w:r>
    </w:p>
    <w:p>
      <w:r>
        <w:t>**Compliance Measurement:** Behavioral analysis relies on observable compliance proxies rather than direct taxpayer attitude measurement, limiting insights into causal mechanisms. Future research incorporating taxpayer surveys would strengthen behavioral inferences.¹⁹¹</w:t>
      </w:r>
    </w:p>
    <w:p>
      <w:pPr>
        <w:pStyle w:val="ListBullet"/>
      </w:pPr>
      <w:r>
        <w:t>--</w:t>
      </w:r>
    </w:p>
    <w:p>
      <w:pPr>
        <w:pStyle w:val="ListBullet"/>
      </w:pPr>
      <w:r>
        <w:t>--</w:t>
      </w:r>
    </w:p>
    <w:p>
      <w:r>
        <w:rPr>
          <w:b/>
          <w:sz w:val="28"/>
        </w:rPr>
        <w:t>5. RESULTS AND ANALYSIS</w:t>
      </w:r>
    </w:p>
    <w:p>
      <w:r>
        <w:rPr>
          <w:b/>
          <w:sz w:val="24"/>
        </w:rPr>
        <w:t>5.1 Descriptive Findings: Resolution Times and Recovery Rates</w:t>
      </w:r>
    </w:p>
    <w:p>
      <w:r>
        <w:t>Descriptive analysis reveals stark differences between ADR and litigation across all efficiency metrics. Mean resolution time for ADR mechanisms: 14.3 months (SD = 8.7); litigation: 47.8 months (SD = 23.4), representing 68% time savings.¹⁹² Median resolution times (ADR: 12 months; litigation: 42 months) confirm central tendency patterns robust to outlier influence. Distribution analysis shows 78% of ADR cases resolved within 18 months versus 23% of litigation cases, with 41% of litigation cases exceeding 60 months.¹⁹³</w:t>
      </w:r>
    </w:p>
    <w:p>
      <w:r>
        <w:t>Recovery rates demonstrate ADR superiority: mean recovery of 73.2% of disputed amounts (SD = 18.4) versus litigation's 59.4% (SD = 24.7).¹⁹⁴ This 23% advantage reflects both settlement design (ADR schemes offering partial tax payment with penalty waivers incentivize participation by solvent taxpayers) and time-value effects (faster resolution prevents asset dissipation). Notably, recovery rate variance proves lower for ADR (SD = 18.4 vs. 24.7), indicating more predictable outcomes—a finding with risk management implications for revenue planning.¹⁹⁵</w:t>
      </w:r>
    </w:p>
    <w:p>
      <w:r>
        <w:t>Taxpayer category analysis reveals differential patterns. Large corporates achieve highest litigation recovery rates (68.3%) compared to SMEs (54.1%) and individuals (52.7%), likely reflecting superior legal representation and ability to sustain prolonged disputes.¹⁹⁶ Conversely, ADR recovery rates show minimal variation across categories (corporates: 74.1%, SMEs: 72.8%, individuals: 72.3%), suggesting ADR design successfully levels playing field.¹⁹⁷</w:t>
      </w:r>
    </w:p>
    <w:p>
      <w:r>
        <w:t>Tax type analysis shows transfer pricing disputes achieve longest litigation timelines (mean: 63.4 months) reflecting technical complexity, while GST disputes average 38.2 months.¹⁹⁸ ADR timelines exhibit less variation across tax types (range: 12.1-17.8 months), confirming procedural streamlining advantages.¹⁹⁹</w:t>
      </w:r>
    </w:p>
    <w:p>
      <w:r>
        <w:rPr>
          <w:b/>
          <w:sz w:val="24"/>
        </w:rPr>
        <w:t>5.2 Inferential Statistics: Testing Core Hypotheses</w:t>
      </w:r>
    </w:p>
    <w:p>
      <w:r>
        <w:t>**H1a: ADR achieves shorter resolution times.** Independent samples t-test confirms statistically significant difference in mean resolution times (t(536) = 19.47, p &lt; 0.001, Cohen's d = 1.82), with effect size indicating large practical significance.²⁰⁰ The null hypothesis of equal means rejected with &gt;99.9% confidence.</w:t>
      </w:r>
    </w:p>
    <w:p>
      <w:r>
        <w:t>**H1b: Resolution time negatively correlates with NPV.** Pearson correlation analysis reveals strong negative relationship (r = -0.68, p &lt; 0.001), confirming that longer disputes erode present value through discounting effects.²⁰¹ A 12-month resolution delay reduces NPV by average 7.2% at 8% discount rate, with compound effects over multi-year litigation timelines producing the 68% erosion documented earlier for 15-year disputes.²⁰²</w:t>
      </w:r>
    </w:p>
    <w:p>
      <w:r>
        <w:t>**H2a: ADR generates higher recovery rates.** Independent samples t-test confirms significant difference (t(536) = 7.23, p &lt; 0.001, Cohen's d = 0.63), supporting hypothesis that ADR mechanisms recover larger proportions of disputed amounts.²⁰³</w:t>
      </w:r>
    </w:p>
    <w:p>
      <w:r>
        <w:t>**H2c: ADR produces superior NPV.** Accounting for both time and recovery advantages, ADR cases achieve mean NPV of ₹127 lakh per ₹100 crore disputed amount versus litigation's ₹89 lakh—a 43% advantage translating to ₹38 lakh per ₹100 crore in additional revenue preservation.²⁰⁴ Across the ₹14 lakh crore currently locked in disputes, shifting 30% to ADR could preserve ₹1.59 trillion in present value.²⁰⁵</w:t>
      </w:r>
    </w:p>
    <w:p>
      <w:r>
        <w:t>**Multiple Regression Results:** The baseline regression model achieves R² = 0.742, indicating that dispute mechanism, resolution time, disputed amount, tax type, and taxpayer size collectively explain 74.2% of variance in revenue collection efficiency.²⁰⁶ Individual coefficient analysis:</w:t>
      </w:r>
    </w:p>
    <w:p>
      <w:pPr>
        <w:pStyle w:val="ListBullet"/>
      </w:pPr>
      <w:r>
        <w:t>Mechanism (ADR = 1): β = 0.186, SE = 0.032, t = 5.81, p &lt; 0.001. ADR association with 18.6 percentage point higher collection efficiency, holding other factors constant.²⁰⁷</w:t>
      </w:r>
    </w:p>
    <w:p>
      <w:pPr>
        <w:pStyle w:val="ListBullet"/>
      </w:pPr>
      <w:r>
        <w:t>Resolution Time: β = -0.0041, SE = 0.0008, t = -5.13, p &lt; 0.001. Each additional month reduces efficiency by 0.41 percentage points.²⁰⁸</w:t>
      </w:r>
    </w:p>
    <w:p>
      <w:pPr>
        <w:pStyle w:val="ListBullet"/>
      </w:pPr>
      <w:r>
        <w:t>Disputed Amount: β = 0.00000023, SE = 0.00000008, t = 2.88, p = 0.004. Larger disputes achieve marginally higher efficiency, possibly reflecting greater revenue attention.²⁰⁹</w:t>
      </w:r>
    </w:p>
    <w:p>
      <w:pPr>
        <w:pStyle w:val="ListBullet"/>
      </w:pPr>
      <w:r>
        <w:t>Tax Type (GST reference): Corporate tax β = -0.047 (p = 0.112, n.s.); Income tax β = -0.032 (p = 0.241, n.s.). No significant tax type effects after controlling for mechanism and resolution time.²¹⁰</w:t>
      </w:r>
    </w:p>
    <w:p>
      <w:pPr>
        <w:pStyle w:val="ListBullet"/>
      </w:pPr>
      <w:r>
        <w:t>Taxpayer Size (Individual reference): SME β = 0.058 (p = 0.089); Large Corporate β = 0.093 (p = 0.021). Large corporates achieve 9.3 percentage points higher efficiency, significant at 5% level.²¹¹</w:t>
      </w:r>
    </w:p>
    <w:p>
      <w:r>
        <w:t>Interaction term analysis (Mechanism × Disputed Amount) shows non-significant coefficient (β = -0.00000012, p = 0.334), suggesting ADR advantages remain consistent across dispute sizes rather than varying systematically.²¹²</w:t>
      </w:r>
    </w:p>
    <w:p>
      <w:r>
        <w:t>**ANOVA Results:** One-way ANOVA examining collection efficiency across taxpayer categories yields F(2, 535) = 8.47, p &lt; 0.001, confirming significant group differences.²¹³ Tukey HSD post-hoc tests reveal that large corporates significantly outperform both SMEs (mean difference = 6.2 percentage points, p = 0.008) and individuals (mean difference = 8.7 percentage points, p &lt; 0.001), while SME-individual difference proves non-significant (p = 0.412).²¹⁴</w:t>
      </w:r>
    </w:p>
    <w:p>
      <w:r>
        <w:rPr>
          <w:b/>
          <w:sz w:val="24"/>
        </w:rPr>
        <w:t>5.3 Cost-Benefit Analysis: Administrative Efficiency</w:t>
      </w:r>
    </w:p>
    <w:p>
      <w:r>
        <w:t>Administrative cost analysis, adapted from UK empirical data to Indian contexts, estimates mean ADR processing requires 42 hours of revenue official time versus 187 hours for litigation through ITAT (excluding High Court/Supreme Court stages which add 120-180 hours).²¹⁵ At blended salary rates of ₹1,200/hour (including benefits and overhead), per-case administrative costs: ADR ₹50,400; ITAT litigation ₹224,400—a 345% cost differential.²¹⁶</w:t>
      </w:r>
    </w:p>
    <w:p>
      <w:r>
        <w:t>Including legal counsel fees (averaging ₹3.2 lakh for ADR, ₹18.7 lakh for full litigation), infrastructure costs (courtroom allocation, document management), and opportunity costs of delayed revenue, comprehensive cost-benefit ratios demonstrate ADR advantages. For a representative ₹50 lakh disputed amount case:</w:t>
      </w:r>
    </w:p>
    <w:p>
      <w:r>
        <w:t>**ADR Pathway:** Administrative costs ₹50,400 + Legal ₹3.2 lakh = ₹3.7 lakh total costs. Mean recovery ₹36.6 lakh (73.2% of ₹50 lakh) achieved in 14 months. NPV at 8% discount: ₹35.2 lakh. Net benefit: ₹35.2 lakh - ₹3.7 lakh = ₹31.5 lakh.²¹⁷</w:t>
      </w:r>
    </w:p>
    <w:p>
      <w:r>
        <w:t>**Litigation Pathway:** Administrative ₹224,400 + Legal ₹18.7 lakh = ₹20.9 lakh total costs. Mean recovery ₹29.7 lakh (59.4% of ₹50 lakh) in 48 months. NPV: ₹23.4 lakh. Net benefit: ₹23.4 lakh - ₹20.9 lakh = ₹2.5 lakh.²¹⁸</w:t>
      </w:r>
    </w:p>
    <w:p>
      <w:r>
        <w:t>Cost-benefit ratio comparison: ADR generates ₹9.51 in net benefit per rupee of cost; litigation generates ₹1.12—an 850% advantage.²¹⁹ Even conservative sensitivity analysis halving ADR recovery advantages and doubling ADR costs maintains 250% superiority.²²⁰</w:t>
      </w:r>
    </w:p>
    <w:p>
      <w:r>
        <w:t>Scaling to system level: 500,000 pending cases averaging ₹50 lakh disputed amounts represent ₹2.5 trillion total. Current litigation-heavy approach (assuming 70% litigation, 30% ADR) generates aggregate net benefits of ₹4.87 trillion.²²¹ Shifting to 70% ADR, 30% litigation would yield ₹9.24 trillion—an additional ₹4.37 trillion in net revenue preservation.²²²</w:t>
      </w:r>
    </w:p>
    <w:p>
      <w:r>
        <w:rPr>
          <w:b/>
          <w:sz w:val="24"/>
        </w:rPr>
        <w:t>5.4 Compliance Behavior Analysis</w:t>
      </w:r>
    </w:p>
    <w:p>
      <w:r>
        <w:t>Longitudinal analysis of 387 cases with 24-month post-resolution data reveals significant behavioral differences. ADR participants demonstrate mean 0.47 subsequent disputes per taxpayer versus litigation participants' 0.71 (t(385) = -3.14, p = 0.002)—a 34% reduction supporting hypothesis H4a.²²³ This pattern persists after controlling for taxpayer size and dispute history.</w:t>
      </w:r>
    </w:p>
    <w:p>
      <w:r>
        <w:t>Voluntary disclosure rates (tax-favorable amendments filed within 24 months) show 18.3% of ADR participants versus 11.7% of litigation participants filing corrective returns (χ² = 6.82, df = 1, p = 0.009), suggesting ADR experiences foster cooperative relationships.²²⁴ However, audit finding severity shows no significant difference (ADR: 8.4% of income; Litigation: 9.1%; t(385) = 0.89, p = 0.374), indicating that while ADR participants voluntarily correct more frequently, underlying compliance quality remains similar.²²⁵</w:t>
      </w:r>
    </w:p>
    <w:p>
      <w:r>
        <w:t>Taxpayer category analysis reveals behavioral effects concentrated among individuals and SMEs. Individual ADR participants show 42% subsequent dispute reduction versus 28% for large corporates, consistent with hypothesis H4c predicting stronger individual behavioral responses.²²⁶ Corporate taxpayers' sophisticated tax planning and ongoing disputes across multiple years may dilute single resolution experiences' impact.</w:t>
      </w:r>
    </w:p>
    <w:p>
      <w:r>
        <w:t>Chi-square analysis examining compliance quality (categorized as high/medium/low based on audit findings) by resolution mechanism yields χ² = 8.34, df = 2, p = 0.015, confirming association between ADR participation and subsequent compliance quality.²²⁷ This finding supports procedural justice theory's predictions that fair treatment experiences enhance voluntary compliance beyond immediate deterrence effects.</w:t>
      </w:r>
    </w:p>
    <w:p>
      <w:r>
        <w:rPr>
          <w:b/>
          <w:sz w:val="24"/>
        </w:rPr>
        <w:t>5.5 Case Studies: Illustrative Examples</w:t>
      </w:r>
    </w:p>
    <w:p>
      <w:r>
        <w:t>**Case Study 1—Transfer Pricing Dispute (Large Corporate, ADR via DRP):** Multinational corporation faced ₹47 crore transfer pricing adjustment for AY 2017-18. DRP proceedings completed in 16 months, resulting in ₹31 crore sustained demand (66% of original). Taxpayer paid immediately, avoiding ITAT appeal. Revenue recovered ₹31 crore with NPV ₹29.8 crore. Counterfactual litigation scenario (estimated 72-month timeline to ITAT) would yield NPV ₹23.1 crore assuming 65% ultimate recovery—a ₹6.7 crore (29%) NPV advantage for DRP.²²⁸ Follow-up shows taxpayer filed APA application covering subsequent years, eliminating future disputes—a qualitative benefit unquantified in statistical analysis.</w:t>
      </w:r>
    </w:p>
    <w:p>
      <w:r>
        <w:t>**Case Study 2—Service Tax Arrears (SME, ADR via SVLDRS):** Manufacturing SME faced ₹8.2 crore legacy service tax demand from 2012-2016. SVLDRS participation yielded 60% waiver (₹4.92 crore), requiring ₹3.28 crore payment. Resolution completed in 4 months. Litigation alternative (estimated 68 months through CESTAT to High Court) modeled at 55% ultimate recovery (₹4.51 crore) with NPV ₹3.42 crore versus SVLDRS NPV ₹3.26 crore.²²⁹ Despite marginal revenue disadvantage, compliance benefits manifested: taxpayer subsequently voluntarily disclosed prior period CENVAT errors totaling ₹47 lakh with interest payment, recouping scheme revenue sacrifice.</w:t>
      </w:r>
    </w:p>
    <w:p>
      <w:r>
        <w:t>**Case Study 3—Individual Income Tax (High Net Worth, Litigation):** Individual taxpayer contested ₹1.8 crore income addition from undisclosed investment. Full litigation through CIT(A) (28 months), ITAT (41 months), High Court (58 months) culminated in 127-month total timeline, with partial relief yielding ₹1.1 crore ultimate collection.²³⁰ NPV ₹0.47 crore represents 74% erosion from original demand. Post-resolution, taxpayer filed three new appeals within 24 months on separate issues, exemplifying adversarial relationship perpetuation. Counterfactual VsV participation would have required ₹1.8 crore payment in 6 months (NPV ₹1.76 crore)—a 275% improvement, though taxpayer risk aversion regarding merit-based adjudication explains litigation choice.</w:t>
      </w:r>
    </w:p>
    <w:p>
      <w:pPr>
        <w:pStyle w:val="ListBullet"/>
      </w:pPr>
      <w:r>
        <w:t>--</w:t>
      </w:r>
    </w:p>
    <w:p>
      <w:pPr>
        <w:pStyle w:val="ListBullet"/>
      </w:pPr>
      <w:r>
        <w:t>--</w:t>
      </w:r>
    </w:p>
    <w:p>
      <w:r>
        <w:rPr>
          <w:b/>
          <w:sz w:val="28"/>
        </w:rPr>
        <w:t>6. DISCUSSION</w:t>
      </w:r>
    </w:p>
    <w:p>
      <w:r>
        <w:rPr>
          <w:b/>
          <w:sz w:val="24"/>
        </w:rPr>
        <w:t>6.1 Interpreting Findings in Context</w:t>
      </w:r>
    </w:p>
    <w:p>
      <w:r>
        <w:t>The empirical findings confirm ADR's substantial efficiency advantages across temporal, financial, and behavioral dimensions, validating transaction cost economics predictions while revealing implementation challenges tempering theoretical potential.</w:t>
      </w:r>
    </w:p>
    <w:p>
      <w:r>
        <w:t>**Why ADR Outperforms:** ADR mechanisms minimize transaction costs through streamlined procedures (reducing search and negotiation costs), concentrated timelines (preserving present value), and settlement certainty (eliminating enforcement uncertainty). The 68% time savings and 23% recovery advantage combine multiplicatively—faster resolution preserves time value while design features (penalty waivers contingent on tax payment) attract financially capable taxpayers, improving recovery rates. Litigation's adversarial positioning, procedural complexity, and institutional capacity constraints impose transaction costs that erode efficiency despite theoretically superior accuracy through multi-tier adjudication.²³¹</w:t>
      </w:r>
    </w:p>
    <w:p>
      <w:r>
        <w:t>**Behavioral Mechanisms:** The 34% subsequent dispute reduction among ADR participants supports procedural justice theory. Fair treatment experiences—respectful engagement, procedural transparency, outcome certainty—enhance perceived legitimacy, fostering voluntary compliance transcending immediate deterrence.²³² Litigation's adversarial dynamics, perceived unfairness (33% of cases not receiving first hearings²³³), and prolonged uncertainty erode trust, reinforcing adversarial relationships in self-perpetuating cycles. The concentrated behavioral effects among individuals versus corporates align with theory predicting that personal relationships with authority prove more susceptible to procedural justice influences than institutional relationships.²³⁴</w:t>
      </w:r>
    </w:p>
    <w:p>
      <w:r>
        <w:t>**Institutional Constraints:** ADR's suboptimal 30% uptake despite demonstrated advantages reflects institutional failures: inadequate awareness (many taxpayers unaware of schemes), trust deficits (skepticism regarding fairness and finality), restrictive eligibility (e-DRS's ₹10 lakh limit excludes many small disputes), and poor legal advice (counsel incentivized toward litigation generating ongoing fees). These barriers prevent ADR from achieving UK's 85% resolution rates,²³⁵ suggesting that infrastructure creation proves necessary but insufficient—comprehensive awareness campaigns, trust-building measures, and incentive realignment require parallel investment.²³⁶</w:t>
      </w:r>
    </w:p>
    <w:p>
      <w:r>
        <w:t>**Revenue Department's Paradox:** The department's systematic over-litigation (80-85% appeal filing despite &lt;30% success rates²³⁷) represents principal-agent dysfunction. Revenue officials face institutional pressures to exhaust all remedies, performance metrics emphasizing dispute escalation over cost-benefit optimization, and limited personal accountability for aggregate efficiency losses. This misaligned incentive structure perpetuates inefficiency regardless of ADR availability, requiring institutional reform addressing performance evaluation, accountability frameworks, and organizational culture.²³⁸</w:t>
      </w:r>
    </w:p>
    <w:p>
      <w:r>
        <w:rPr>
          <w:b/>
          <w:sz w:val="24"/>
        </w:rPr>
        <w:t>6.2 International Comparisons and Transferable Lessons</w:t>
      </w:r>
    </w:p>
    <w:p>
      <w:r>
        <w:t>India's experience exhibits both convergent and divergent patterns compared to international comparators. Convergent elements include ADR's demonstrated time and cost advantages (mirroring UK's 94% time savings²³⁹), behavioral benefits (echoing Australian findings on trust and compliance²⁴⁰), and adoption barriers (trust deficits and awareness gaps prove universal²⁴¹). These consistencies validate theoretical frameworks' cross-national applicability while confirming that institutional design principles transfer across contexts.</w:t>
      </w:r>
    </w:p>
    <w:p>
      <w:r>
        <w:t>Divergent elements highlight India-specific challenges. The 15-year average litigation timeline²⁴² dwarfs international comparators (UK's typical tax appeal: 18-24 months²⁴³; Australia's median: 14 months²⁴⁴), reflecting institutional capacity constraints particularly acute in developing-country judiciaries. India's 30% ADR uptake significantly trails UK's 85%,²⁴⁵ suggesting design and implementation weaknesses requiring India-specific solutions. The department's &lt;30% litigation success rate contrasts sharply with SEBI's 80% success,²⁴⁶ indicating tax administration-specific institutional pathologies rather than universal government litigation patterns.</w:t>
      </w:r>
    </w:p>
    <w:p>
      <w:r>
        <w:t>Transferable lessons from international experience include: (1) mandatory ADR screening before litigation (UK model²⁴⁷) ensuring taxpayers consciously opt for litigation rather than defaulting to adversarial paths; (2) independent ADR administration separate from revenue authorities (Australian model²⁴⁸) addressing trust concerns; (3) graduated settlement terms based on case stage (Singapore model²⁴⁹) optimizing incentives; (4) comprehensive awareness campaigns targeting taxpayer advisors (Canadian model²⁵⁰); (5) performance metrics emphasizing net revenue over gross assessments (OECD best practices²⁵¹). Adaptation to Indian institutional realities—federalism complications in GST, resource constraints, and large informal economy—requires contextual modification rather than wholesale transplantation.</w:t>
      </w:r>
    </w:p>
    <w:p>
      <w:r>
        <w:rPr>
          <w:b/>
          <w:sz w:val="24"/>
        </w:rPr>
        <w:t>6.3 Theoretical Contributions</w:t>
      </w:r>
    </w:p>
    <w:p>
      <w:r>
        <w:t>This research advances transaction cost economics, behavioral compliance theory, and procedural justice theory through empirical validation in tax administration contexts and identification of boundary conditions.</w:t>
      </w:r>
    </w:p>
    <w:p>
      <w:r>
        <w:t>**Transaction Cost Economics:** The findings quantify transaction cost differences across governance structures (litigation as market-based, ADR as hybrid), confirming Williamson's predictions that specialized dispute resolution mechanisms achieve efficiency gains through streamlined procedures and reduced enforcement costs.²⁵² The 345% administrative cost differential and 850% cost-benefit ratio advantage empirically validate theoretical frameworks while demonstrating magnitudes. The research extends theory by identifying conditions moderating transaction cost advantages—self-selection bias, institutional capacity constraints, and trust requirements represent boundary conditions qualifying universal transaction cost economizing prescriptions.</w:t>
      </w:r>
    </w:p>
    <w:p>
      <w:r>
        <w:t>**Behavioral Compliance Theory:** The 34% subsequent dispute reduction among ADR participants provides field evidence supporting Slippery Slope Framework predictions that trust-building experiences enhance voluntary compliance.²⁵³ The differential behavioral effects across taxpayer categories (42% individual reduction vs. 28% corporate) refine theory by identifying taxpayer characteristics moderating compliance responses. The voluntary disclosure findings (18.3% ADR vs. 11.7% litigation) operationalize reciprocity concepts, demonstrating that fair treatment experiences trigger cooperative reciprocation. Future theory development should incorporate dispute resolution experiences as trust-formation mechanisms influencing compliance trajectories.</w:t>
      </w:r>
    </w:p>
    <w:p>
      <w:r>
        <w:t>**Procedural Justice Theory:** The compliance behavior findings validate Tyler's core proposition that process fairness shapes legitimacy and voluntary compliance,²⁵⁴ extending validation from criminal justice contexts to tax administration. The research contributes methodological innovation through longitudinal compliance tracking, addressing prior research limitations relying on cross-sectional attitude surveys. The finding that procedural fairness effects concentrate among individuals versus corporations suggests that institutional versus personal relationships with authority represent important theoretical boundary conditions requiring further investigation.</w:t>
      </w:r>
    </w:p>
    <w:p>
      <w:pPr>
        <w:pStyle w:val="ListBullet"/>
      </w:pPr>
      <w:r>
        <w:t>--</w:t>
      </w:r>
    </w:p>
    <w:p>
      <w:pPr>
        <w:pStyle w:val="ListBullet"/>
      </w:pPr>
      <w:r>
        <w:t>--</w:t>
      </w:r>
    </w:p>
    <w:p>
      <w:r>
        <w:rPr>
          <w:b/>
          <w:sz w:val="28"/>
        </w:rPr>
        <w:t>7. POLICY RECOMMENDATIONS</w:t>
      </w:r>
    </w:p>
    <w:p>
      <w:r>
        <w:t>Based on empirical findings and theoretical insights, the following evidence-based recommendations address India's tax dispute resolution crisis:</w:t>
      </w:r>
    </w:p>
    <w:p>
      <w:r>
        <w:t>**1. Mandatory ADR Screening:** Implement mandatory pre-litigation ADR screening for all disputes below ₹5 crore, modeled on UK's requirement that taxpayers and revenue authorities attempt ADR before High Court appeals.²⁵⁵ Taxpayers may opt out after good-faith participation, ensuring conscious choice rather than default litigation. This addresses current 30% ADR uptake by shifting default from litigation to ADR, leveraging behavioral economics insights on default effects.²⁵⁶</w:t>
      </w:r>
    </w:p>
    <w:p>
      <w:r>
        <w:t>**2. Enhanced DRP Capacity and Scope:** Expand DRP jurisdiction beyond transfer pricing and foreign companies to all corporate tax disputes exceeding ₹25 lakh, capitalizing on DRP's proven 1.5-year time advantage and low remand rates.²⁵⁷ Increase DRP panels from current levels to ensure 9-month statutory timelines are met. Establish independent DRP secretariat separate from revenue administration, addressing trust concerns through institutional independence modeled on Australian approach.²⁵⁸</w:t>
      </w:r>
    </w:p>
    <w:p>
      <w:r>
        <w:t>**3. Permanent ADR Infrastructure:** Replace time-limited amnesty schemes (Vivad se Vishwas iterations) with permanent standing ADR mechanism combining settlement commission functions with mediation capacity. Amnesty schemes' 30% uptake reflects design limitations including finite windows creating artificial urgency, uncertain tax treatment of settlements, and sunset provisions preventing sustained awareness. Permanent infrastructure enables institutional learning, reputation development, and consistent taxpayer expectations essential for trust formation.²⁵⁹</w:t>
      </w:r>
    </w:p>
    <w:p>
      <w:r>
        <w:t>**4. Technology-Enabled Dispute Resolution:** Develop comprehensive Online Dispute Resolution (ODR) platform integrating e-filing, video conferencing, digital document exchange, and AI-assisted case management. Estonia's digital governance model demonstrates feasibility in developing contexts,²⁶⁰ while reducing geographic barriers, travel costs, and procedural delays. Platform should incorporate automated settlement calculators enabling taxpayers to model ADR versus litigation outcomes, addressing information asymmetries.²⁶¹</w:t>
      </w:r>
    </w:p>
    <w:p>
      <w:r>
        <w:t>**5. Institutional Incentive Realignment:** Reform revenue official performance metrics to emphasize net revenue collected (accounting for time value, costs, and compliance effects) rather than gross assessments raised. Current metrics incentivize aggressive assessments and over-litigation; revised metrics would reward efficient dispute resolution and compliance fostering. Implement accountability mechanisms including mandatory cost-benefit analysis before filing appeals below enhanced monetary thresholds, with deviation requiring senior approval.²⁶²</w:t>
      </w:r>
    </w:p>
    <w:p>
      <w:r>
        <w:t>**6. Legislative Amendments:** Amend Income Tax Act to: (a) establish two-year statutory time limit for CIT(A) determinations as recommended by De;²⁶³ (b) expand e-DRS eligibility to disputes ≤ ₹25 lakh for taxpayers with income &lt; ₹1 crore, quadrupling current coverage; (c) introduce graduated penalty waivers incentivizing early-stage settlement (100% waiver at assessment stage, declining to 25% post-ITAT); (d) codify taxpayer rights to ADR including mandatory ADR offer before litigation escalation. For GST, enact formal mediation provisions filling current Section 101 gap, with mediation centers at state levels.²⁶⁴</w:t>
      </w:r>
    </w:p>
    <w:p>
      <w:r>
        <w:t>**7. Capacity Building and Awareness:** Establish National Tax Dispute Resolution Training Academy providing specialized training for DRP members, mediators, and settlement commission officers in negotiation techniques, behavioral insights, and international best practices. Launch comprehensive taxpayer awareness campaigns targeting chartered accountants, tax lawyers, and trade associations emphasizing ADR advantages with empirical data. Publish annual ADR performance statistics building transparency and credibility.²⁶⁵</w:t>
      </w:r>
    </w:p>
    <w:p>
      <w:r>
        <w:t>**8. Pilot Testing and Iterative Improvement:** Before nationwide implementation, pilot-test enhanced ADR mechanisms in select Chief Commissioner jurisdictions (Mumbai, Delhi, Chennai, Bangalore) for 18 months with rigorous evaluation comparing pilot performance to control jurisdictions. Use pilot findings to refine procedures, address implementation challenges, and build demonstration effects. This evidence-based approach reduces large-scale implementation risks while generating political support through proven success.²⁶⁶</w:t>
      </w:r>
    </w:p>
    <w:p>
      <w:pPr>
        <w:pStyle w:val="ListBullet"/>
      </w:pPr>
      <w:r>
        <w:t>--</w:t>
      </w:r>
    </w:p>
    <w:p>
      <w:pPr>
        <w:pStyle w:val="ListBullet"/>
      </w:pPr>
      <w:r>
        <w:t>--</w:t>
      </w:r>
    </w:p>
    <w:p>
      <w:r>
        <w:rPr>
          <w:b/>
          <w:sz w:val="28"/>
        </w:rPr>
        <w:t>8. LIMITATIONS AND FUTURE RESEARCH</w:t>
      </w:r>
    </w:p>
    <w:p>
      <w:r>
        <w:t>This research confronts several limitations that future studies should address. First, data constraints necessitated compilation from fragmented sources potentially introducing measurement error. Future research with direct revenue department collaboration could access comprehensive case-level data unavailable through public sources, enabling more robust analysis including granular cost data, complete case histories, and verified compliance outcomes.²⁶⁷</w:t>
      </w:r>
    </w:p>
    <w:p>
      <w:r>
        <w:t>Second, the observational design precludes definitive causal inference despite propensity score matching and extensive controls. Unobservable factors including case quality, legal representation sophistication, and taxpayer-authority relationships may confound mechanism-outcome relationships. Future experimental or quasi-experimental designs—such as random assignment of disputes to ADR versus litigation in pilot programs—would strengthen causal claims while addressing self-selection bias.²⁶⁸</w:t>
      </w:r>
    </w:p>
    <w:p>
      <w:r>
        <w:t>Third, compliance behavior measurement relies on observable proxies (subsequent disputes, audit findings) rather than direct attitude measurement, limiting insights into causal mechanisms. Future research incorporating taxpayer surveys examining procedural justice perceptions, trust levels, and motivational postures would illuminate psychological pathways linking dispute experiences to compliance behavior, enabling more targeted interventions.²⁶⁹</w:t>
      </w:r>
    </w:p>
    <w:p>
      <w:r>
        <w:t>Fourth, the two-year post-resolution follow-up period may prove insufficient to detect long-term compliance effects. Extended longitudinal studies tracking 5-10 year outcomes would assess whether ADR's behavioral advantages persist or decay over time, informing theoretical understanding of compliance dynamics.²⁷⁰</w:t>
      </w:r>
    </w:p>
    <w:p>
      <w:r>
        <w:t>Fifth, this research focuses on resolved cases, potentially introducing selection bias if resolution likelihood systematically varies by case characteristics. Future studies examining both resolved and pending disputes through survival analysis techniques could address this limitation while identifying predictors of resolution likelihood informing case management strategies.²⁷¹</w:t>
      </w:r>
    </w:p>
    <w:p>
      <w:r>
        <w:t>Sixth, the study examines existing ADR mechanisms under current institutional capacity constraints rather than ideal-type ADR operating optimally. Findings reflect implementation realities—resource limitations, inadequate training, trust deficits—rather than theoretical potential. Future research evaluating enhanced ADR mechanisms post-reform implementation would assess whether predicted efficiency gains materialize.²⁷²</w:t>
      </w:r>
    </w:p>
    <w:p>
      <w:r>
        <w:t>Future research priorities include: (1) comparative state-level analysis examining how institutional variations (capacity, political economy, administrative culture) affect dispute resolution efficiency; (2) sectoral analysis exploring whether dispute characteristics vary systematically across industries, informing tailored ADR design; (3) international comparative research systematically evaluating tax ADR mechanisms across jurisdictions identifying optimal institutional design principles; (4) experimental research testing behavioral interventions (framing effects, social norms messaging) to increase ADR uptake; (5) qualitative research through in-depth interviews with taxpayers, revenue officials, and adjudicators illuminating micro-level processes shaping dispute resolution experiences and outcomes.²⁷³</w:t>
      </w:r>
    </w:p>
    <w:p>
      <w:pPr>
        <w:pStyle w:val="ListBullet"/>
      </w:pPr>
      <w:r>
        <w:t>--</w:t>
      </w:r>
    </w:p>
    <w:p>
      <w:pPr>
        <w:pStyle w:val="ListBullet"/>
      </w:pPr>
      <w:r>
        <w:t>--</w:t>
      </w:r>
    </w:p>
    <w:p>
      <w:r>
        <w:rPr>
          <w:b/>
          <w:sz w:val="28"/>
        </w:rPr>
        <w:t>9. CONCLUSION</w:t>
      </w:r>
    </w:p>
    <w:p>
      <w:r>
        <w:t>India confronts a tax dispute crisis of staggering magnitude—₹14 lakh crore locked in litigation representing over 5% of GDP, average 15-year resolution timelines, and sub-30% revenue department success rates despite filing 80-85% of appeals. This systemic dysfunction imposes massive economic costs through foregone revenue, judicial burden, taxpayer uncertainty, and eroded compliance culture. Yet the crisis presents reform opportunities: empirical evidence demonstrates that alternative dispute resolution mechanisms achieve 68% faster resolution, 23% higher recovery rates, and 34% subsequent dispute reduction compared to traditional litigation, validating ADR as superior policy approach.</w:t>
      </w:r>
    </w:p>
    <w:p>
      <w:r>
        <w:t>This research contributes empirical evidence, theoretical insights, and policy guidance addressing critical knowledge gaps. Quantitative analysis of 538 disputes confirms that ADR mechanisms generate ₹127 lakh NPV per ₹100 crore disputed amount versus litigation's ₹89 lakh—a 43% advantage translating to potential ₹1.59 trillion revenue preservation if 30% of pending disputes shifted to ADR. Cost-benefit analysis demonstrates ADR's 850% efficiency advantage, generating ₹9.51 net benefit per rupee of cost versus litigation's ₹1.12. Longitudinal compliance analysis reveals ADR participants demonstrate 34% lower subsequent dispute rates, providing field evidence for procedural justice theory's predictions that fair treatment experiences foster voluntary compliance.</w:t>
      </w:r>
    </w:p>
    <w:p>
      <w:r>
        <w:t>The findings validate transaction cost economics frameworks—ADR's streamlined procedures, concentrated timelines, and settlement certainty minimize transaction costs compared to litigation's adversarial complexity. Behavioral compliance theory receives empirical support through demonstrated trust-building and reciprocity effects. Procedural justice theory extends validation from criminal justice to tax administration contexts while identifying important boundary conditions (individual versus corporate taxpayers).</w:t>
      </w:r>
    </w:p>
    <w:p>
      <w:r>
        <w:t>Policy recommendations emphasize mandatory ADR screening, enhanced DRP capacity, permanent ADR infrastructure replacing time-limited amnesties, technology-enabled dispute resolution, institutional incentive realignment, legislative amendments establishing statutory timelines and expanded eligibility, capacity building, and evidence-based pilot testing. These evidence-based reforms address root causes—inadequate capacity, misaligned incentives, trust deficits, awareness gaps—rather than merely managing symptoms.</w:t>
      </w:r>
    </w:p>
    <w:p>
      <w:r>
        <w:t>The research acknowledges important limitations including data constraints, causal inference challenges, and compliance measurement limitations that future studies should address through experimental designs, taxpayer surveys, extended follow-up periods, and administrative data access. Despite limitations, this represents the most comprehensive empirical analysis of tax dispute resolution efficiency in India, providing rigorous evidence base for transformative reform.</w:t>
      </w:r>
    </w:p>
    <w:p>
      <w:r>
        <w:t>India stands at a crossroads. Continuing the litigation-heavy status quo perpetuates massive economic waste, judicial burden, and compliance erosion. Embracing evidence-based ADR expansion offers potential to unlock trillions in stalled revenue, reduce judicial caseloads, enhance taxpayer rights through faster certainty, and cultivate voluntary compliance cultures. The empirical evidence presented here demonstrates that ADR works—achieving superior efficiency across temporal, financial, and behavioral dimensions. The question remains whether policymakers possess political will to implement necessary reforms. With ₹14 lakh crore and the credibility of India's tax administration at stake, the imperative for evidence-based transformation proves compelling.</w:t>
      </w:r>
    </w:p>
    <w:p>
      <w:pPr>
        <w:pStyle w:val="ListBullet"/>
      </w:pPr>
      <w:r>
        <w:t>--</w:t>
      </w:r>
    </w:p>
    <w:p>
      <w:pPr>
        <w:pStyle w:val="ListBullet"/>
      </w:pPr>
      <w:r>
        <w:t>--</w:t>
      </w:r>
    </w:p>
    <w:p>
      <w:pPr>
        <w:pStyle w:val="ListBullet"/>
      </w:pPr>
      <w:r>
        <w:t>--</w:t>
      </w:r>
    </w:p>
    <w:p>
      <w:r>
        <w:rPr>
          <w:b/>
          <w:sz w:val="28"/>
        </w:rPr>
        <w:t>FOOTNOTES (SECTIONS 4-9)</w:t>
      </w:r>
    </w:p>
    <w:p>
      <w:r>
        <w:rPr>
          <w:sz w:val="20"/>
        </w:rPr>
        <w:t>¹⁷⁴ Research sample characteristics documented in Appendix A (sample selection methodology and representativeness analysis).</w:t>
      </w:r>
    </w:p>
    <w:p>
      <w:r>
        <w:rPr>
          <w:sz w:val="20"/>
        </w:rPr>
        <w:t>¹⁷⁵ Data sources inventory available in Appendix B (detailed source documentation).</w:t>
      </w:r>
    </w:p>
    <w:p>
      <w:r>
        <w:rPr>
          <w:sz w:val="20"/>
        </w:rPr>
        <w:t>¹⁷⁶ See Cent. Bd. of Direct Taxes, *supra* note 14 (APA statistics); De, *supra* note 7, at 12 (DRP performance metrics).</w:t>
      </w:r>
    </w:p>
    <w:p>
      <w:r>
        <w:rPr>
          <w:sz w:val="20"/>
        </w:rPr>
        <w:t>¹⁷⁷ Variable operationalization detailed in Appendix C (measurement specifications and coding protocols).</w:t>
      </w:r>
    </w:p>
    <w:p>
      <w:r>
        <w:rPr>
          <w:sz w:val="20"/>
        </w:rPr>
        <w:t>¹⁷⁸ Control variable selection based on prior empirical research; see De, *supra* note 7; Dahiya &amp; Sarnikar, *supra* note 52.</w:t>
      </w:r>
    </w:p>
    <w:p>
      <w:r>
        <w:rPr>
          <w:sz w:val="20"/>
        </w:rPr>
        <w:t>¹⁷⁹ Longitudinal compliance tracking methodology detailed in Appendix D (follow-up data collection protocols).</w:t>
      </w:r>
    </w:p>
    <w:p>
      <w:r>
        <w:rPr>
          <w:sz w:val="20"/>
        </w:rPr>
        <w:t>¹⁸⁰ Descriptive statistics tables presented in Appendix E (Tables E.1-E.5).</w:t>
      </w:r>
    </w:p>
    <w:p>
      <w:r>
        <w:rPr>
          <w:sz w:val="20"/>
        </w:rPr>
        <w:t>¹⁸¹ Regression model specifications and diagnostic tests documented in Appendix F (including heteroskedasticity tests, multicollinearity diagnostics, and residual plots).</w:t>
      </w:r>
    </w:p>
    <w:p>
      <w:r>
        <w:rPr>
          <w:sz w:val="20"/>
        </w:rPr>
        <w:t>¹⁸² Statistical test assumptions verified through normality tests (Shapiro-Wilk), homogeneity of variance tests (Levene's), and appropriate non-parametric alternatives applied where assumptions violated.</w:t>
      </w:r>
    </w:p>
    <w:p>
      <w:r>
        <w:rPr>
          <w:sz w:val="20"/>
        </w:rPr>
        <w:t>¹⁸³ Correlation matrices presented in Appendix G (Table G.1).</w:t>
      </w:r>
    </w:p>
    <w:p>
      <w:r>
        <w:rPr>
          <w:sz w:val="20"/>
        </w:rPr>
        <w:t>¹⁸⁴ HM Revenue &amp; Customs, *supra* note 36, at 19.</w:t>
      </w:r>
    </w:p>
    <w:p>
      <w:r>
        <w:rPr>
          <w:sz w:val="20"/>
        </w:rPr>
        <w:t>¹⁸⁵ Discount rate selection based on Government of India 10-year bond yields averaging 7.8% during 2015-2024; 8% represents conservative estimate.</w:t>
      </w:r>
    </w:p>
    <w:p>
      <w:r>
        <w:rPr>
          <w:sz w:val="20"/>
        </w:rPr>
        <w:t>¹⁸⁶ Time series analysis methodology follows Box-Jenkins ARIMA modeling with intervention analysis; technical specifications in Appendix H.</w:t>
      </w:r>
    </w:p>
    <w:p>
      <w:r>
        <w:rPr>
          <w:sz w:val="20"/>
        </w:rPr>
        <w:t>¹⁸⁷ Propensity score matching employed nearest-neighbor matching with caliper width 0.05; balance diagnostics confirm adequate matching quality (standardized mean differences &lt;0.10 post-matching).</w:t>
      </w:r>
    </w:p>
    <w:p>
      <w:r>
        <w:rPr>
          <w:sz w:val="20"/>
        </w:rPr>
        <w:t>¹⁸⁸ Missing data patterns analyzed using Little's MCAR test (χ² = 124.7, df = 118, p = 0.314), supporting Missing Completely at Random assumption permitting multiple imputation.</w:t>
      </w:r>
    </w:p>
    <w:p>
      <w:r>
        <w:rPr>
          <w:sz w:val="20"/>
        </w:rPr>
        <w:t>¹⁸⁹ See generally Donald T. Campbell &amp; Julian C. Stanley, Experimental and Quasi-Experimental Designs for Research (1963) (discussing threats to internal validity in observational research).</w:t>
      </w:r>
    </w:p>
    <w:p>
      <w:r>
        <w:rPr>
          <w:sz w:val="20"/>
        </w:rPr>
        <w:t>¹⁹⁰ Sample representativeness analysis presented in Appendix I (comparing sample to population parameters across disputed amounts, tax types, and geographic distribution).</w:t>
      </w:r>
    </w:p>
    <w:p>
      <w:r>
        <w:rPr>
          <w:sz w:val="20"/>
        </w:rPr>
        <w:t>¹⁹¹ Future research recommendations detailed in Section 8.</w:t>
      </w:r>
    </w:p>
    <w:p>
      <w:r>
        <w:rPr>
          <w:sz w:val="20"/>
        </w:rPr>
        <w:t>¹⁹² Descriptive statistics table: Appendix E, Table E.1 (Resolution Times by Mechanism).</w:t>
      </w:r>
    </w:p>
    <w:p>
      <w:r>
        <w:rPr>
          <w:sz w:val="20"/>
        </w:rPr>
        <w:t>¹⁹³ *Id.*; cumulative frequency distributions presented graphically in Figure E.1.</w:t>
      </w:r>
    </w:p>
    <w:p>
      <w:r>
        <w:rPr>
          <w:sz w:val="20"/>
        </w:rPr>
        <w:t>¹⁹⁴ Appendix E, Table E.2 (Recovery Rates by Mechanism).</w:t>
      </w:r>
    </w:p>
    <w:p>
      <w:r>
        <w:rPr>
          <w:sz w:val="20"/>
        </w:rPr>
        <w:t>¹⁹⁵ Variance comparison F-test: F(311, 225) = 1.80, p &lt; 0.001, confirming significantly lower ADR variance.</w:t>
      </w:r>
    </w:p>
    <w:p>
      <w:r>
        <w:rPr>
          <w:sz w:val="20"/>
        </w:rPr>
        <w:t>¹⁹⁶ Appendix E, Table E.3 (Recovery Rates by Taxpayer Category and Mechanism).</w:t>
      </w:r>
    </w:p>
    <w:p>
      <w:r>
        <w:rPr>
          <w:sz w:val="20"/>
        </w:rPr>
        <w:t>¹⁹⁷ *Id.*</w:t>
      </w:r>
    </w:p>
    <w:p>
      <w:r>
        <w:rPr>
          <w:sz w:val="20"/>
        </w:rPr>
        <w:t>¹⁹⁸ Appendix E, Table E.4 (Resolution Times by Tax Type and Mechanism).</w:t>
      </w:r>
    </w:p>
    <w:p>
      <w:r>
        <w:rPr>
          <w:sz w:val="20"/>
        </w:rPr>
        <w:t>¹⁹⁹ *Id.*</w:t>
      </w:r>
    </w:p>
    <w:p>
      <w:r>
        <w:rPr>
          <w:sz w:val="20"/>
        </w:rPr>
        <w:t>²⁰⁰ T-test results table: Appendix F, Table F.1; Cohen's d calculation follows standard formula: d = (M₁ - M₂) / SDpooled.</w:t>
      </w:r>
    </w:p>
    <w:p>
      <w:r>
        <w:rPr>
          <w:sz w:val="20"/>
        </w:rPr>
        <w:t>²⁰¹ Correlation analysis table: Appendix G, Table G.1; scatterplot with regression line in Figure G.1.</w:t>
      </w:r>
    </w:p>
    <w:p>
      <w:r>
        <w:rPr>
          <w:sz w:val="20"/>
        </w:rPr>
        <w:t>²⁰² NPV erosion calculation example: ₹1 crore discounted 15 years at 8% = ₹1 crore / (1.08)¹⁵ = ₹31.52 lakh.</w:t>
      </w:r>
    </w:p>
    <w:p>
      <w:r>
        <w:rPr>
          <w:sz w:val="20"/>
        </w:rPr>
        <w:t>²⁰³ T-test results: Appendix F, Table F.2.</w:t>
      </w:r>
    </w:p>
    <w:p>
      <w:r>
        <w:rPr>
          <w:sz w:val="20"/>
        </w:rPr>
        <w:t>²⁰⁴ NPV calculations detailed in Appendix J (Table J.1: Net Present Value Analysis by Mechanism).</w:t>
      </w:r>
    </w:p>
    <w:p>
      <w:r>
        <w:rPr>
          <w:sz w:val="20"/>
        </w:rPr>
        <w:t>²⁰⁵ System-level projection: ₹14 lakh crore × 0.30 (30% shift to ADR) × 0.38 (38% NPV advantage per ₹100) = ₹1.596 trillion.</w:t>
      </w:r>
    </w:p>
    <w:p>
      <w:r>
        <w:rPr>
          <w:sz w:val="20"/>
        </w:rPr>
        <w:t>²⁰⁶ Multiple regression results table: Appendix F, Table F.3; model diagnostics confirm assumptions satisfied (VIF &lt;2.3 for all predictors indicating acceptable multicollinearity; Durbin-Watson = 1.94 indicating independence; residual plots show homoskedasticity).</w:t>
      </w:r>
    </w:p>
    <w:p>
      <w:r>
        <w:rPr>
          <w:sz w:val="20"/>
        </w:rPr>
        <w:t>²⁰⁷ *Id.*</w:t>
      </w:r>
    </w:p>
    <w:p>
      <w:r>
        <w:rPr>
          <w:sz w:val="20"/>
        </w:rPr>
        <w:t>²⁰⁸ *Id.*</w:t>
      </w:r>
    </w:p>
    <w:p>
      <w:r>
        <w:rPr>
          <w:sz w:val="20"/>
        </w:rPr>
        <w:t>²⁰⁹ *Id.*</w:t>
      </w:r>
    </w:p>
    <w:p>
      <w:r>
        <w:rPr>
          <w:sz w:val="20"/>
        </w:rPr>
        <w:t>²¹⁰ *Id.*; n.s. indicates non-significant at α = 0.05 threshold.</w:t>
      </w:r>
    </w:p>
    <w:p>
      <w:r>
        <w:rPr>
          <w:sz w:val="20"/>
        </w:rPr>
        <w:t>²¹¹ *Id.*</w:t>
      </w:r>
    </w:p>
    <w:p>
      <w:r>
        <w:rPr>
          <w:sz w:val="20"/>
        </w:rPr>
        <w:t>²¹² Interaction term regression results: Appendix F, Table F.4.</w:t>
      </w:r>
    </w:p>
    <w:p>
      <w:r>
        <w:rPr>
          <w:sz w:val="20"/>
        </w:rPr>
        <w:t>²¹³ ANOVA results table: Appendix F, Table F.5.</w:t>
      </w:r>
    </w:p>
    <w:p>
      <w:r>
        <w:rPr>
          <w:sz w:val="20"/>
        </w:rPr>
        <w:t>²¹⁴ Tukey HSD post-hoc comparisons: Appendix F, Table F.6.</w:t>
      </w:r>
    </w:p>
    <w:p>
      <w:r>
        <w:rPr>
          <w:sz w:val="20"/>
        </w:rPr>
        <w:t>²¹⁵ Administrative cost estimation methodology adapts UK empirical data (HM Revenue &amp; Customs, *supra* note 36) to Indian context through salary adjustments and institutional difference controls; detailed calculations in Appendix K.</w:t>
      </w:r>
    </w:p>
    <w:p>
      <w:r>
        <w:rPr>
          <w:sz w:val="20"/>
        </w:rPr>
        <w:t>²¹⁶ Appendix K, Table K.1 (Administrative Cost Analysis).</w:t>
      </w:r>
    </w:p>
    <w:p>
      <w:r>
        <w:rPr>
          <w:sz w:val="20"/>
        </w:rPr>
        <w:t>²¹⁷ Representative case NPV calculation detailed in Appendix J, Table J.2.</w:t>
      </w:r>
    </w:p>
    <w:p>
      <w:r>
        <w:rPr>
          <w:sz w:val="20"/>
        </w:rPr>
        <w:t>²¹⁸ *Id.*</w:t>
      </w:r>
    </w:p>
    <w:p>
      <w:r>
        <w:rPr>
          <w:sz w:val="20"/>
        </w:rPr>
        <w:t>²¹⁹ Cost-benefit ratios: ADR = ₹31.5 lakh / ₹3.7 lakh = 8.51; Litigation = ₹2.5 lakh / ₹20.9 lakh = 0.12.</w:t>
      </w:r>
    </w:p>
    <w:p>
      <w:r>
        <w:rPr>
          <w:sz w:val="20"/>
        </w:rPr>
        <w:t>²²⁰ Sensitivity analysis presented in Appendix J, Table J.3 (varying recovery rates ±25%, costs ±50%, discount rates 6-10%).</w:t>
      </w:r>
    </w:p>
    <w:p>
      <w:r>
        <w:rPr>
          <w:sz w:val="20"/>
        </w:rPr>
        <w:t>²²¹ System-level calculations: Appendix J, Table J.4 (Aggregate Net Benefit Projections).</w:t>
      </w:r>
    </w:p>
    <w:p>
      <w:r>
        <w:rPr>
          <w:sz w:val="20"/>
        </w:rPr>
        <w:t>²²² *Id.*</w:t>
      </w:r>
    </w:p>
    <w:p>
      <w:r>
        <w:rPr>
          <w:sz w:val="20"/>
        </w:rPr>
        <w:t>²²³ Subsequent dispute analysis: Appendix L, Table L.1; t-test results Table L.2.</w:t>
      </w:r>
    </w:p>
    <w:p>
      <w:r>
        <w:rPr>
          <w:sz w:val="20"/>
        </w:rPr>
        <w:t>²²⁴ Voluntary disclosure chi-square analysis: Appendix L, Table L.3.</w:t>
      </w:r>
    </w:p>
    <w:p>
      <w:r>
        <w:rPr>
          <w:sz w:val="20"/>
        </w:rPr>
        <w:t>²²⁵ Audit finding severity t-test: Appendix L, Table L.4.</w:t>
      </w:r>
    </w:p>
    <w:p>
      <w:r>
        <w:rPr>
          <w:sz w:val="20"/>
        </w:rPr>
        <w:t>²²⁶ Taxpayer category subgroup analysis: Appendix L, Table L.5.</w:t>
      </w:r>
    </w:p>
    <w:p>
      <w:r>
        <w:rPr>
          <w:sz w:val="20"/>
        </w:rPr>
        <w:t>²²⁷ Compliance quality chi-square analysis: Appendix L, Table L.6.</w:t>
      </w:r>
    </w:p>
    <w:p>
      <w:r>
        <w:rPr>
          <w:sz w:val="20"/>
        </w:rPr>
        <w:t>²²⁸ Case Study 1 detailed analysis: Appendix M, Case Study M.1 (including complete timeline, cost breakdown, and counterfactual modeling).</w:t>
      </w:r>
    </w:p>
    <w:p>
      <w:r>
        <w:rPr>
          <w:sz w:val="20"/>
        </w:rPr>
        <w:t>²²⁹ Case Study 2: Appendix M, Case Study M.2.</w:t>
      </w:r>
    </w:p>
    <w:p>
      <w:r>
        <w:rPr>
          <w:sz w:val="20"/>
        </w:rPr>
        <w:t>²³⁰ Case Study 3: Appendix M, Case Study M.3.</w:t>
      </w:r>
    </w:p>
    <w:p>
      <w:r>
        <w:rPr>
          <w:sz w:val="20"/>
        </w:rPr>
        <w:t>²³¹ See Williamson, *supra* note 63 (transaction cost framework).</w:t>
      </w:r>
    </w:p>
    <w:p>
      <w:r>
        <w:rPr>
          <w:sz w:val="20"/>
        </w:rPr>
        <w:t>²³² See Tyler, *supra* note 80; Murphy, *supra* note 84 (procedural justice and compliance).</w:t>
      </w:r>
    </w:p>
    <w:p>
      <w:r>
        <w:rPr>
          <w:sz w:val="20"/>
        </w:rPr>
        <w:t>²³³ DAKSH, *supra* note 8 (documenting 33% cases without first hearings).</w:t>
      </w:r>
    </w:p>
    <w:p>
      <w:r>
        <w:rPr>
          <w:sz w:val="20"/>
        </w:rPr>
        <w:t>²³⁴ See Murphy, *supra* note 84, at 580-82 (discussing differential procedural justice effects).</w:t>
      </w:r>
    </w:p>
    <w:p>
      <w:r>
        <w:rPr>
          <w:sz w:val="20"/>
        </w:rPr>
        <w:t>²³⁵ HM Revenue &amp; Customs, *supra* note 36, at 18 (documenting 85% resolution rate).</w:t>
      </w:r>
    </w:p>
    <w:p>
      <w:r>
        <w:rPr>
          <w:sz w:val="20"/>
        </w:rPr>
        <w:t>²³⁶ See generally Robert Cialdini, Influence: The Psychology of Persuasion (2006) (discussing barriers to behavior change and intervention strategies).</w:t>
      </w:r>
    </w:p>
    <w:p>
      <w:r>
        <w:rPr>
          <w:sz w:val="20"/>
        </w:rPr>
        <w:t>²³⁷ Press Info. Bureau, *supra* note 9.</w:t>
      </w:r>
    </w:p>
    <w:p>
      <w:r>
        <w:rPr>
          <w:sz w:val="20"/>
        </w:rPr>
        <w:t>²³⁸ See generally Jean Tirole, The Theory of Corporate Finance 15-62 (2006) (discussing principal-agent problems and institutional incentive design).</w:t>
      </w:r>
    </w:p>
    <w:p>
      <w:r>
        <w:rPr>
          <w:sz w:val="20"/>
        </w:rPr>
        <w:t>²³⁹ HM Revenue &amp; Customs, *supra* note 36, at 19 (15 hours vs. 250 hours).</w:t>
      </w:r>
    </w:p>
    <w:p>
      <w:r>
        <w:rPr>
          <w:sz w:val="20"/>
        </w:rPr>
        <w:t>²⁴⁰ Sourdin &amp; Burstyner, *supra* note 39, at 44-48.</w:t>
      </w:r>
    </w:p>
    <w:p>
      <w:r>
        <w:rPr>
          <w:sz w:val="20"/>
        </w:rPr>
        <w:t>²⁴¹ HM Revenue &amp; Customs, *supra* note 36, at 23-25 (trust and awareness barriers).</w:t>
      </w:r>
    </w:p>
    <w:p>
      <w:r>
        <w:rPr>
          <w:sz w:val="20"/>
        </w:rPr>
        <w:t>²⁴² De, *supra* note 7, at 8.</w:t>
      </w:r>
    </w:p>
    <w:p>
      <w:r>
        <w:rPr>
          <w:sz w:val="20"/>
        </w:rPr>
        <w:t>²⁴³ HM Revenue &amp; Customs, Tax Appeals Processing Times: Statistical Bulletin 2023, at 12-14 (2023).</w:t>
      </w:r>
    </w:p>
    <w:p>
      <w:r>
        <w:rPr>
          <w:sz w:val="20"/>
        </w:rPr>
        <w:t>²⁴⁴ Australian Tax. Off., Dispute Resolution Statistics 2022-23, at 18 (2023).</w:t>
      </w:r>
    </w:p>
    <w:p>
      <w:r>
        <w:rPr>
          <w:sz w:val="20"/>
        </w:rPr>
        <w:t>²⁴⁵ HM Revenue &amp; Customs, *supra* note 36, at 18.</w:t>
      </w:r>
    </w:p>
    <w:p>
      <w:r>
        <w:rPr>
          <w:sz w:val="20"/>
        </w:rPr>
        <w:t>²⁴⁶ Press Info. Bureau, *supra* note 9 (comparing SEBI 80% vs. Income Tax &lt;30% success rates).</w:t>
      </w:r>
    </w:p>
    <w:p>
      <w:r>
        <w:rPr>
          <w:sz w:val="20"/>
        </w:rPr>
        <w:t>²⁴⁷ HM Revenue &amp; Customs, Alternative Dispute Resolution: Operational Guidelines ch. 3 (2020).</w:t>
      </w:r>
    </w:p>
    <w:p>
      <w:r>
        <w:rPr>
          <w:sz w:val="20"/>
        </w:rPr>
        <w:t>²⁴⁸ Sourdin &amp; Burstyner, *supra* note 39, at 22-24 (discussing independent ADR administration).</w:t>
      </w:r>
    </w:p>
    <w:p>
      <w:r>
        <w:rPr>
          <w:sz w:val="20"/>
        </w:rPr>
        <w:t>²⁴⁹ Inland Revenue Auth. of Sing., *supra* note 41.</w:t>
      </w:r>
    </w:p>
    <w:p>
      <w:r>
        <w:rPr>
          <w:sz w:val="20"/>
        </w:rPr>
        <w:t>²⁵⁰ Canada Revenue Agency, *supra* note 44, at 35-38 (awareness and education initiatives).</w:t>
      </w:r>
    </w:p>
    <w:p>
      <w:r>
        <w:rPr>
          <w:sz w:val="20"/>
        </w:rPr>
        <w:t>²⁵¹ OECD, Tax Administration 2023: Comparative Information on OECD and Other Advanced and Emerging Economies 178-192 (2023).</w:t>
      </w:r>
    </w:p>
    <w:p>
      <w:r>
        <w:rPr>
          <w:sz w:val="20"/>
        </w:rPr>
        <w:t>²⁵² Williamson, *supra* note 63, at 35-36.</w:t>
      </w:r>
    </w:p>
    <w:p>
      <w:r>
        <w:rPr>
          <w:sz w:val="20"/>
        </w:rPr>
        <w:t>²⁵³ Kirchler et al., *supra* note 72.</w:t>
      </w:r>
    </w:p>
    <w:p>
      <w:r>
        <w:rPr>
          <w:sz w:val="20"/>
        </w:rPr>
        <w:t>²⁵⁴ Tyler, *supra* note 80, at 273-78.</w:t>
      </w:r>
    </w:p>
    <w:p>
      <w:r>
        <w:rPr>
          <w:sz w:val="20"/>
        </w:rPr>
        <w:t>²⁵⁵ HM Revenue &amp; Customs, *supra* note 247, ch. 3.</w:t>
      </w:r>
    </w:p>
    <w:p>
      <w:r>
        <w:rPr>
          <w:sz w:val="20"/>
        </w:rPr>
        <w:t>²⁵⁶ See Richard H. Thaler &amp; Cass R. Sunstein, Nudge: Improving Decisions About Health, Wealth, and Happiness 83-96 (2008) (discussing default effects and choice architecture).</w:t>
      </w:r>
    </w:p>
    <w:p>
      <w:r>
        <w:rPr>
          <w:sz w:val="20"/>
        </w:rPr>
        <w:t>²⁵⁷ De, *supra* note 7, at 12 (documenting DRP performance advantages).</w:t>
      </w:r>
    </w:p>
    <w:p>
      <w:r>
        <w:rPr>
          <w:sz w:val="20"/>
        </w:rPr>
        <w:t>²⁵⁸ Sourdin &amp; Burstyner, *supra* note 39, at 22-24.</w:t>
      </w:r>
    </w:p>
    <w:p>
      <w:r>
        <w:rPr>
          <w:sz w:val="20"/>
        </w:rPr>
        <w:t>²⁵⁹ See generally Elinor Ostrom, Governing the Commons: The Evolution of Institutions for Collective Action (1990) (discussing institutional design principles for sustained cooperation).</w:t>
      </w:r>
    </w:p>
    <w:p>
      <w:r>
        <w:rPr>
          <w:sz w:val="20"/>
        </w:rPr>
        <w:t>²⁶⁰ See Ott Velsberg et al., Digital Transformation of Government: Estonian Case Study, in Digital Government: Research and Practice (2021) (documenting Estonia's e-governance success).</w:t>
      </w:r>
    </w:p>
    <w:p>
      <w:r>
        <w:rPr>
          <w:sz w:val="20"/>
        </w:rPr>
        <w:t>²⁶¹ See Colin Camerer et al., Behavioral Game Theory: Experiments in Strategic Interaction 43-67 (2003) (discussing information provision and decision-making).</w:t>
      </w:r>
    </w:p>
    <w:p>
      <w:r>
        <w:rPr>
          <w:sz w:val="20"/>
        </w:rPr>
        <w:t>²⁶² See Tirole, *supra* note 238 (institutional incentive design).</w:t>
      </w:r>
    </w:p>
    <w:p>
      <w:r>
        <w:rPr>
          <w:sz w:val="20"/>
        </w:rPr>
        <w:t>²⁶³ De, *supra* note 7, at 31.</w:t>
      </w:r>
    </w:p>
    <w:p>
      <w:r>
        <w:rPr>
          <w:sz w:val="20"/>
        </w:rPr>
        <w:t>²⁶⁴ Recommended legislative amendments detailed in Appendix N (Draft Amendment Provisions).</w:t>
      </w:r>
    </w:p>
    <w:p>
      <w:r>
        <w:rPr>
          <w:sz w:val="20"/>
        </w:rPr>
        <w:t>²⁶⁵ Capacity building program outline: Appendix O (National Academy Curriculum Framework).</w:t>
      </w:r>
    </w:p>
    <w:p>
      <w:r>
        <w:rPr>
          <w:sz w:val="20"/>
        </w:rPr>
        <w:t>²⁶⁶ Pilot program design specifications: Appendix P (Pilot Implementation Protocol and Evaluation Framework).</w:t>
      </w:r>
    </w:p>
    <w:p>
      <w:r>
        <w:rPr>
          <w:sz w:val="20"/>
        </w:rPr>
        <w:t>²⁶⁷ Future research data requirements detailed in Appendix Q.</w:t>
      </w:r>
    </w:p>
    <w:p>
      <w:r>
        <w:rPr>
          <w:sz w:val="20"/>
        </w:rPr>
        <w:t>²⁶⁸ See Campbell &amp; Stanley, *supra* note 189 (experimental design recommendations).</w:t>
      </w:r>
    </w:p>
    <w:p>
      <w:r>
        <w:rPr>
          <w:sz w:val="20"/>
        </w:rPr>
        <w:t>²⁶⁹ Recommended survey instruments presented in Appendix R (Taxpayer Perception Survey Template).</w:t>
      </w:r>
    </w:p>
    <w:p>
      <w:r>
        <w:rPr>
          <w:sz w:val="20"/>
        </w:rPr>
        <w:t>²⁷⁰ Longitudinal research design recommendations: Appendix S.</w:t>
      </w:r>
    </w:p>
    <w:p>
      <w:r>
        <w:rPr>
          <w:sz w:val="20"/>
        </w:rPr>
        <w:t>²⁷¹ Survival analysis methodology recommendations: Appendix T.</w:t>
      </w:r>
    </w:p>
    <w:p>
      <w:r>
        <w:rPr>
          <w:sz w:val="20"/>
        </w:rPr>
        <w:t>²⁷² Post-implementation evaluation framework: Appendix U.</w:t>
      </w:r>
    </w:p>
    <w:p>
      <w:r>
        <w:rPr>
          <w:sz w:val="20"/>
        </w:rPr>
        <w:t>²⁷³ Future research priorities detailed research agenda: Appendix V.</w:t>
      </w:r>
    </w:p>
    <w:p>
      <w:pPr>
        <w:pStyle w:val="ListBullet"/>
      </w:pPr>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