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left"/>
      </w:pPr>
      <w:r>
        <w:rPr>
          <w:rFonts w:ascii="Manrope" w:cs="Manrope" w:eastAsia="Manrope" w:hAnsi="Manrope"/>
          <w:color w:val="8E9196"/>
          <w:sz w:val="14"/>
          <w:szCs w:val="14"/>
        </w:rPr>
        <w:t xml:space="preserve">STZA Finance Platform</w:t>
      </w:r>
    </w:p>
    <w:p>
      <w:pPr>
        <w:spacing w:after="40" w:before="0"/>
        <w:jc w:val="left"/>
      </w:pPr>
      <w:r>
        <w:rPr>
          <w:rFonts w:ascii="Manrope" w:cs="Manrope" w:eastAsia="Manrope" w:hAnsi="Manrope"/>
          <w:b/>
          <w:bCs/>
          <w:color w:val="C5A059"/>
          <w:sz w:val="36"/>
          <w:szCs w:val="36"/>
        </w:rPr>
        <w:t xml:space="preserve">BYOAI Architecture Scoping Memo</w:t>
      </w:r>
    </w:p>
    <w:p>
      <w:pPr>
        <w:spacing w:after="40" w:before="0"/>
        <w:jc w:val="left"/>
      </w:pPr>
      <w:r>
        <w:rPr>
          <w:rFonts w:ascii="Manrope" w:cs="Manrope" w:eastAsia="Manrope" w:hAnsi="Manrope"/>
          <w:color w:val="8E9196"/>
          <w:sz w:val="18"/>
          <w:szCs w:val="18"/>
        </w:rPr>
        <w:t xml:space="preserve">Version 1.0 — 7 August 2026</w:t>
      </w:r>
    </w:p>
    <w:p>
      <w:pPr>
        <w:spacing w:after="160" w:before="0"/>
        <w:jc w:val="left"/>
      </w:pPr>
      <w:r>
        <w:rPr>
          <w:rFonts w:ascii="Manrope" w:cs="Manrope" w:eastAsia="Manrope" w:hAnsi="Manrope"/>
          <w:color w:val="8E9196"/>
          <w:sz w:val="18"/>
          <w:szCs w:val="18"/>
        </w:rPr>
        <w:t xml:space="preserve">Author: Nik Mladenovic, CA(SA) | Classification: Internal</w:t>
      </w:r>
    </w:p>
    <w:p>
      <w:pPr>
        <w:pBdr>
          <w:bottom w:val="single" w:color="D4C5A9" w:sz="1"/>
        </w:pBdr>
        <w:spacing w:after="200" w:before="200"/>
      </w:pPr>
    </w:p>
    <w:p>
      <w:pPr>
        <w:pStyle w:val="Heading1"/>
        <w:spacing w:after="120" w:before="360"/>
      </w:pPr>
      <w:r>
        <w:rPr>
          <w:rFonts w:ascii="Manrope" w:cs="Manrope" w:eastAsia="Manrope" w:hAnsi="Manrope"/>
          <w:b/>
          <w:bCs/>
          <w:color w:val="C5A059"/>
          <w:sz w:val="32"/>
          <w:szCs w:val="32"/>
        </w:rPr>
        <w:t xml:space="preserve">1. Executive summary</w:t>
      </w:r>
    </w:p>
    <w:p>
      <w:pPr>
        <w:spacing w:after="160" w:before="0"/>
        <w:jc w:val="left"/>
      </w:pPr>
      <w:r>
        <w:rPr>
          <w:rFonts w:ascii="Manrope" w:cs="Manrope" w:eastAsia="Manrope" w:hAnsi="Manrope"/>
          <w:color w:val="0F1113"/>
          <w:sz w:val="22"/>
          <w:szCs w:val="22"/>
        </w:rPr>
        <w:t xml:space="preserve">The STZA Finance Platform currently runs an agent runner that calls the Anthropic API on STZA's account to execute finance tasks against live Xero data. This works, but creates a per-token cost that scales with usage and locks the platform to a single AI provider.</w:t>
      </w:r>
    </w:p>
    <w:p>
      <w:pPr>
        <w:spacing w:after="160" w:before="0"/>
        <w:jc w:val="left"/>
      </w:pPr>
      <w:r>
        <w:rPr>
          <w:rFonts w:ascii="Manrope" w:cs="Manrope" w:eastAsia="Manrope" w:hAnsi="Manrope"/>
          <w:color w:val="0F1113"/>
          <w:sz w:val="22"/>
          <w:szCs w:val="22"/>
        </w:rPr>
        <w:t xml:space="preserve">This memo proposes a </w:t>
      </w:r>
      <w:r>
        <w:rPr>
          <w:rFonts w:ascii="Manrope" w:cs="Manrope" w:eastAsia="Manrope" w:hAnsi="Manrope"/>
          <w:b/>
          <w:bCs/>
          <w:color w:val="0F1113"/>
          <w:sz w:val="22"/>
          <w:szCs w:val="22"/>
        </w:rPr>
        <w:t xml:space="preserve">Bring Your Own AI (BYOAI)</w:t>
      </w:r>
      <w:r>
        <w:rPr>
          <w:rFonts w:ascii="Manrope" w:cs="Manrope" w:eastAsia="Manrope" w:hAnsi="Manrope"/>
          <w:color w:val="0F1113"/>
          <w:sz w:val="22"/>
          <w:szCs w:val="22"/>
        </w:rPr>
        <w:t xml:space="preserve"> architecture: the finance-api becomes a pure tools and data platform that users connect to from their preferred AI client — Claude (via MCP), ChatGPT (via GPT Actions), or Gemini (via Extensions). STZA pays zero per-token costs. The value is in the data layer, the Xero integration, the client context, and the audit trail — not in hosting the AI.</w:t>
      </w:r>
    </w:p>
    <w:p>
      <w:pPr>
        <w:pStyle w:val="Heading1"/>
        <w:spacing w:after="120" w:before="360"/>
      </w:pPr>
      <w:r>
        <w:rPr>
          <w:rFonts w:ascii="Manrope" w:cs="Manrope" w:eastAsia="Manrope" w:hAnsi="Manrope"/>
          <w:b/>
          <w:bCs/>
          <w:color w:val="C5A059"/>
          <w:sz w:val="32"/>
          <w:szCs w:val="32"/>
        </w:rPr>
        <w:t xml:space="preserve">2. Current state</w:t>
      </w:r>
    </w:p>
    <w:p>
      <w:pPr>
        <w:spacing w:after="160" w:before="0"/>
        <w:jc w:val="left"/>
      </w:pPr>
      <w:r>
        <w:rPr>
          <w:rFonts w:ascii="Manrope" w:cs="Manrope" w:eastAsia="Manrope" w:hAnsi="Manrope"/>
          <w:color w:val="0F1113"/>
          <w:sz w:val="22"/>
          <w:szCs w:val="22"/>
        </w:rPr>
        <w:t xml:space="preserve">The finance-api (Express on Cloud Run) provides:</w:t>
      </w:r>
    </w:p>
    <w:p>
      <w:pPr>
        <w:pStyle w:val="ListParagraph"/>
        <w:numPr>
          <w:ilvl w:val="0"/>
          <w:numId w:val="2"/>
        </w:numPr>
        <w:spacing w:after="80"/>
        <w:ind w:left="720"/>
      </w:pPr>
      <w:r>
        <w:rPr>
          <w:rFonts w:ascii="Manrope" w:cs="Manrope" w:eastAsia="Manrope" w:hAnsi="Manrope"/>
          <w:color w:val="0F1113"/>
          <w:sz w:val="22"/>
          <w:szCs w:val="22"/>
        </w:rPr>
        <w:t xml:space="preserve"/>
      </w:r>
      <w:r>
        <w:rPr>
          <w:rFonts w:ascii="Manrope" w:cs="Manrope" w:eastAsia="Manrope" w:hAnsi="Manrope"/>
          <w:b/>
          <w:bCs/>
          <w:color w:val="0F1113"/>
          <w:sz w:val="22"/>
          <w:szCs w:val="22"/>
        </w:rPr>
        <w:t xml:space="preserve">8 Xero data endpoints</w:t>
      </w:r>
      <w:r>
        <w:rPr>
          <w:rFonts w:ascii="Manrope" w:cs="Manrope" w:eastAsia="Manrope" w:hAnsi="Manrope"/>
          <w:color w:val="0F1113"/>
          <w:sz w:val="22"/>
          <w:szCs w:val="22"/>
        </w:rPr>
        <w:t xml:space="preserve"> — trial balance, P&amp;L, balance sheet, bank summary, aged receivables, aged payables, chart of accounts, entity listing</w:t>
      </w:r>
    </w:p>
    <w:p>
      <w:pPr>
        <w:pStyle w:val="ListParagraph"/>
        <w:numPr>
          <w:ilvl w:val="0"/>
          <w:numId w:val="2"/>
        </w:numPr>
        <w:spacing w:after="80"/>
        <w:ind w:left="720"/>
      </w:pPr>
      <w:r>
        <w:rPr>
          <w:rFonts w:ascii="Manrope" w:cs="Manrope" w:eastAsia="Manrope" w:hAnsi="Manrope"/>
          <w:color w:val="0F1113"/>
          <w:sz w:val="22"/>
          <w:szCs w:val="22"/>
        </w:rPr>
        <w:t xml:space="preserve"/>
      </w:r>
      <w:r>
        <w:rPr>
          <w:rFonts w:ascii="Manrope" w:cs="Manrope" w:eastAsia="Manrope" w:hAnsi="Manrope"/>
          <w:b/>
          <w:bCs/>
          <w:color w:val="0F1113"/>
          <w:sz w:val="22"/>
          <w:szCs w:val="22"/>
        </w:rPr>
        <w:t xml:space="preserve">Client and entity management</w:t>
      </w:r>
      <w:r>
        <w:rPr>
          <w:rFonts w:ascii="Manrope" w:cs="Manrope" w:eastAsia="Manrope" w:hAnsi="Manrope"/>
          <w:color w:val="0F1113"/>
          <w:sz w:val="22"/>
          <w:szCs w:val="22"/>
        </w:rPr>
        <w:t xml:space="preserve"> — multi-client, multi-entity, with Xero OAuth token rotation via GCP Secret Manager</w:t>
      </w:r>
    </w:p>
    <w:p>
      <w:pPr>
        <w:pStyle w:val="ListParagraph"/>
        <w:numPr>
          <w:ilvl w:val="0"/>
          <w:numId w:val="2"/>
        </w:numPr>
        <w:spacing w:after="80"/>
        <w:ind w:left="720"/>
      </w:pPr>
      <w:r>
        <w:rPr>
          <w:rFonts w:ascii="Manrope" w:cs="Manrope" w:eastAsia="Manrope" w:hAnsi="Manrope"/>
          <w:color w:val="0F1113"/>
          <w:sz w:val="22"/>
          <w:szCs w:val="22"/>
        </w:rPr>
        <w:t xml:space="preserve"/>
      </w:r>
      <w:r>
        <w:rPr>
          <w:rFonts w:ascii="Manrope" w:cs="Manrope" w:eastAsia="Manrope" w:hAnsi="Manrope"/>
          <w:b/>
          <w:bCs/>
          <w:color w:val="0F1113"/>
          <w:sz w:val="22"/>
          <w:szCs w:val="22"/>
        </w:rPr>
        <w:t xml:space="preserve">Agent job queue</w:t>
      </w:r>
      <w:r>
        <w:rPr>
          <w:rFonts w:ascii="Manrope" w:cs="Manrope" w:eastAsia="Manrope" w:hAnsi="Manrope"/>
          <w:color w:val="0F1113"/>
          <w:sz w:val="22"/>
          <w:szCs w:val="22"/>
        </w:rPr>
        <w:t xml:space="preserve"> — queue, claim, execute, complete pattern with PostgreSQL row locking</w:t>
      </w:r>
    </w:p>
    <w:p>
      <w:pPr>
        <w:pStyle w:val="ListParagraph"/>
        <w:numPr>
          <w:ilvl w:val="0"/>
          <w:numId w:val="2"/>
        </w:numPr>
        <w:spacing w:after="80"/>
        <w:ind w:left="720"/>
      </w:pPr>
      <w:r>
        <w:rPr>
          <w:rFonts w:ascii="Manrope" w:cs="Manrope" w:eastAsia="Manrope" w:hAnsi="Manrope"/>
          <w:color w:val="0F1113"/>
          <w:sz w:val="22"/>
          <w:szCs w:val="22"/>
        </w:rPr>
        <w:t xml:space="preserve"/>
      </w:r>
      <w:r>
        <w:rPr>
          <w:rFonts w:ascii="Manrope" w:cs="Manrope" w:eastAsia="Manrope" w:hAnsi="Manrope"/>
          <w:b/>
          <w:bCs/>
          <w:color w:val="0F1113"/>
          <w:sz w:val="22"/>
          <w:szCs w:val="22"/>
        </w:rPr>
        <w:t xml:space="preserve">Agent runner</w:t>
      </w:r>
      <w:r>
        <w:rPr>
          <w:rFonts w:ascii="Manrope" w:cs="Manrope" w:eastAsia="Manrope" w:hAnsi="Manrope"/>
          <w:color w:val="0F1113"/>
          <w:sz w:val="22"/>
          <w:szCs w:val="22"/>
        </w:rPr>
        <w:t xml:space="preserve"> (runner.js) — standalone process that polls for jobs, calls the Anthropic Messages API with Xero-backed tools, reports results</w:t>
      </w:r>
    </w:p>
    <w:p>
      <w:pPr>
        <w:spacing w:after="160" w:before="0"/>
        <w:jc w:val="left"/>
      </w:pPr>
      <w:r>
        <w:rPr>
          <w:rFonts w:ascii="Manrope" w:cs="Manrope" w:eastAsia="Manrope" w:hAnsi="Manrope"/>
          <w:color w:val="0F1113"/>
          <w:sz w:val="22"/>
          <w:szCs w:val="22"/>
        </w:rPr>
        <w:t xml:space="preserve">The runner works end-to-end. However:</w:t>
      </w:r>
    </w:p>
    <w:p>
      <w:pPr>
        <w:pStyle w:val="ListParagraph"/>
        <w:numPr>
          <w:ilvl w:val="0"/>
          <w:numId w:val="2"/>
        </w:numPr>
        <w:spacing w:after="80"/>
        <w:ind w:left="720"/>
      </w:pPr>
      <w:r>
        <w:rPr>
          <w:rFonts w:ascii="Manrope" w:cs="Manrope" w:eastAsia="Manrope" w:hAnsi="Manrope"/>
          <w:color w:val="0F1113"/>
          <w:sz w:val="22"/>
          <w:szCs w:val="22"/>
        </w:rPr>
        <w:t xml:space="preserve">Every job costs STZA $0.02–$0.25 in Anthropic API fees</w:t>
      </w:r>
    </w:p>
    <w:p>
      <w:pPr>
        <w:pStyle w:val="ListParagraph"/>
        <w:numPr>
          <w:ilvl w:val="0"/>
          <w:numId w:val="2"/>
        </w:numPr>
        <w:spacing w:after="80"/>
        <w:ind w:left="720"/>
      </w:pPr>
      <w:r>
        <w:rPr>
          <w:rFonts w:ascii="Manrope" w:cs="Manrope" w:eastAsia="Manrope" w:hAnsi="Manrope"/>
          <w:color w:val="0F1113"/>
          <w:sz w:val="22"/>
          <w:szCs w:val="22"/>
        </w:rPr>
        <w:t xml:space="preserve">Users who already pay for Claude Max, ChatGPT Plus, or Gemini Advanced are paying twice</w:t>
      </w:r>
    </w:p>
    <w:p>
      <w:pPr>
        <w:pStyle w:val="ListParagraph"/>
        <w:numPr>
          <w:ilvl w:val="0"/>
          <w:numId w:val="2"/>
        </w:numPr>
        <w:spacing w:after="80"/>
        <w:ind w:left="720"/>
      </w:pPr>
      <w:r>
        <w:rPr>
          <w:rFonts w:ascii="Manrope" w:cs="Manrope" w:eastAsia="Manrope" w:hAnsi="Manrope"/>
          <w:color w:val="0F1113"/>
          <w:sz w:val="22"/>
          <w:szCs w:val="22"/>
        </w:rPr>
        <w:t xml:space="preserve">The portal's agent output is non-interactive — queue and wait, no conversation</w:t>
      </w:r>
    </w:p>
    <w:p>
      <w:pPr>
        <w:pStyle w:val="ListParagraph"/>
        <w:numPr>
          <w:ilvl w:val="0"/>
          <w:numId w:val="2"/>
        </w:numPr>
        <w:spacing w:after="80"/>
        <w:ind w:left="720"/>
      </w:pPr>
      <w:r>
        <w:rPr>
          <w:rFonts w:ascii="Manrope" w:cs="Manrope" w:eastAsia="Manrope" w:hAnsi="Manrope"/>
          <w:color w:val="0F1113"/>
          <w:sz w:val="22"/>
          <w:szCs w:val="22"/>
        </w:rPr>
        <w:t xml:space="preserve">Locked to one AI provider (Claude Sonnet)</w:t>
      </w:r>
    </w:p>
    <w:p>
      <w:pPr>
        <w:pStyle w:val="Heading1"/>
        <w:spacing w:after="120" w:before="360"/>
      </w:pPr>
      <w:r>
        <w:rPr>
          <w:rFonts w:ascii="Manrope" w:cs="Manrope" w:eastAsia="Manrope" w:hAnsi="Manrope"/>
          <w:b/>
          <w:bCs/>
          <w:color w:val="C5A059"/>
          <w:sz w:val="32"/>
          <w:szCs w:val="32"/>
        </w:rPr>
        <w:t xml:space="preserve">3. Proposed architecture: BYOAI</w:t>
      </w:r>
    </w:p>
    <w:p>
      <w:pPr>
        <w:spacing w:after="160" w:before="0"/>
        <w:jc w:val="left"/>
      </w:pPr>
      <w:r>
        <w:rPr>
          <w:rFonts w:ascii="Manrope" w:cs="Manrope" w:eastAsia="Manrope" w:hAnsi="Manrope"/>
          <w:color w:val="0F1113"/>
          <w:sz w:val="22"/>
          <w:szCs w:val="22"/>
        </w:rPr>
        <w:t xml:space="preserve">The finance-api stays as the authoritative data and tools layer. Instead of wrapping it in a runner that calls an LLM, we expose it directly to AI clients through three integration surfaces:</w:t>
      </w:r>
    </w:p>
    <w:p>
      <w:pPr>
        <w:pStyle w:val="Heading2"/>
        <w:spacing w:after="120" w:before="240"/>
      </w:pPr>
      <w:r>
        <w:rPr>
          <w:rFonts w:ascii="Manrope" w:cs="Manrope" w:eastAsia="Manrope" w:hAnsi="Manrope"/>
          <w:b/>
          <w:bCs/>
          <w:color w:val="0F1113"/>
          <w:sz w:val="26"/>
          <w:szCs w:val="26"/>
        </w:rPr>
        <w:t xml:space="preserve">3.1 Integration surfaces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2808"/>
        <w:gridCol w:w="2808"/>
        <w:gridCol w:w="1872"/>
      </w:tblGrid>
      <w:tr>
        <w:tc>
          <w:tcPr>
            <w:tcW w:type="dxa" w:w="1872"/>
            <w:tcBorders>
              <w:top w:val="single" w:color="D4C5A9" w:sz="1"/>
              <w:left w:val="single" w:color="D4C5A9" w:sz="1"/>
              <w:bottom w:val="single" w:color="D4C5A9" w:sz="1"/>
              <w:right w:val="single" w:color="D4C5A9" w:sz="1"/>
            </w:tcBorders>
            <w:shd w:fill="1A1C1E" w:val="clear"/>
          </w:tcPr>
          <w:p>
            <w:pPr>
              <w:spacing w:after="40" w:before="40"/>
            </w:pPr>
            <w:r>
              <w:rPr>
                <w:rFonts w:ascii="Manrope" w:cs="Manrope" w:eastAsia="Manrope" w:hAnsi="Manrope"/>
                <w:b/>
                <w:bCs/>
                <w:color w:val="C5A059"/>
                <w:sz w:val="18"/>
                <w:szCs w:val="18"/>
              </w:rPr>
              <w:t xml:space="preserve">Surface</w:t>
            </w:r>
          </w:p>
        </w:tc>
        <w:tc>
          <w:tcPr>
            <w:tcW w:type="dxa" w:w="2808"/>
            <w:tcBorders>
              <w:top w:val="single" w:color="D4C5A9" w:sz="1"/>
              <w:left w:val="single" w:color="D4C5A9" w:sz="1"/>
              <w:bottom w:val="single" w:color="D4C5A9" w:sz="1"/>
              <w:right w:val="single" w:color="D4C5A9" w:sz="1"/>
            </w:tcBorders>
            <w:shd w:fill="1A1C1E" w:val="clear"/>
          </w:tcPr>
          <w:p>
            <w:pPr>
              <w:spacing w:after="40" w:before="40"/>
            </w:pPr>
            <w:r>
              <w:rPr>
                <w:rFonts w:ascii="Manrope" w:cs="Manrope" w:eastAsia="Manrope" w:hAnsi="Manrope"/>
                <w:b/>
                <w:bCs/>
                <w:color w:val="C5A059"/>
                <w:sz w:val="18"/>
                <w:szCs w:val="18"/>
              </w:rPr>
              <w:t xml:space="preserve">AI client</w:t>
            </w:r>
          </w:p>
        </w:tc>
        <w:tc>
          <w:tcPr>
            <w:tcW w:type="dxa" w:w="2808"/>
            <w:tcBorders>
              <w:top w:val="single" w:color="D4C5A9" w:sz="1"/>
              <w:left w:val="single" w:color="D4C5A9" w:sz="1"/>
              <w:bottom w:val="single" w:color="D4C5A9" w:sz="1"/>
              <w:right w:val="single" w:color="D4C5A9" w:sz="1"/>
            </w:tcBorders>
            <w:shd w:fill="1A1C1E" w:val="clear"/>
          </w:tcPr>
          <w:p>
            <w:pPr>
              <w:spacing w:after="40" w:before="40"/>
            </w:pPr>
            <w:r>
              <w:rPr>
                <w:rFonts w:ascii="Manrope" w:cs="Manrope" w:eastAsia="Manrope" w:hAnsi="Manrope"/>
                <w:b/>
                <w:bCs/>
                <w:color w:val="C5A059"/>
                <w:sz w:val="18"/>
                <w:szCs w:val="18"/>
              </w:rPr>
              <w:t xml:space="preserve">Protocol</w:t>
            </w:r>
          </w:p>
        </w:tc>
        <w:tc>
          <w:tcPr>
            <w:tcW w:type="dxa" w:w="1872"/>
            <w:tcBorders>
              <w:top w:val="single" w:color="D4C5A9" w:sz="1"/>
              <w:left w:val="single" w:color="D4C5A9" w:sz="1"/>
              <w:bottom w:val="single" w:color="D4C5A9" w:sz="1"/>
              <w:right w:val="single" w:color="D4C5A9" w:sz="1"/>
            </w:tcBorders>
            <w:shd w:fill="1A1C1E" w:val="clear"/>
          </w:tcPr>
          <w:p>
            <w:pPr>
              <w:spacing w:after="40" w:before="40"/>
            </w:pPr>
            <w:r>
              <w:rPr>
                <w:rFonts w:ascii="Manrope" w:cs="Manrope" w:eastAsia="Manrope" w:hAnsi="Manrope"/>
                <w:b/>
                <w:bCs/>
                <w:color w:val="C5A059"/>
                <w:sz w:val="18"/>
                <w:szCs w:val="18"/>
              </w:rPr>
              <w:t xml:space="preserve">Effort</w:t>
            </w:r>
          </w:p>
        </w:tc>
      </w:tr>
      <w:tr>
        <w:tc>
          <w:tcPr>
            <w:tcW w:type="dxa" w:w="1872"/>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MCP Server</w:t>
            </w:r>
          </w:p>
        </w:tc>
        <w:tc>
          <w:tcPr>
            <w:tcW w:type="dxa" w:w="2808"/>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Claude Desktop, Cowork, Claude Code</w:t>
            </w:r>
          </w:p>
        </w:tc>
        <w:tc>
          <w:tcPr>
            <w:tcW w:type="dxa" w:w="2808"/>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Model Context Protocol (JSON-RPC over stdio/SSE)</w:t>
            </w:r>
          </w:p>
        </w:tc>
        <w:tc>
          <w:tcPr>
            <w:tcW w:type="dxa" w:w="1872"/>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Medium — new transport layer, same endpoints</w:t>
            </w:r>
          </w:p>
        </w:tc>
      </w:tr>
      <w:tr>
        <w:tc>
          <w:tcPr>
            <w:tcW w:type="dxa" w:w="1872"/>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GPT Actions</w:t>
            </w:r>
          </w:p>
        </w:tc>
        <w:tc>
          <w:tcPr>
            <w:tcW w:type="dxa" w:w="2808"/>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ChatGPT Plus/Teams/Enterprise</w:t>
            </w:r>
          </w:p>
        </w:tc>
        <w:tc>
          <w:tcPr>
            <w:tcW w:type="dxa" w:w="2808"/>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OpenAPI 3.1 spec + OAuth</w:t>
            </w:r>
          </w:p>
        </w:tc>
        <w:tc>
          <w:tcPr>
            <w:tcW w:type="dxa" w:w="1872"/>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Low — spec over existing REST API</w:t>
            </w:r>
          </w:p>
        </w:tc>
      </w:tr>
      <w:tr>
        <w:tc>
          <w:tcPr>
            <w:tcW w:type="dxa" w:w="1872"/>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Gemini Extensions</w:t>
            </w:r>
          </w:p>
        </w:tc>
        <w:tc>
          <w:tcPr>
            <w:tcW w:type="dxa" w:w="2808"/>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Google Gemini Advanced</w:t>
            </w:r>
          </w:p>
        </w:tc>
        <w:tc>
          <w:tcPr>
            <w:tcW w:type="dxa" w:w="2808"/>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OpenAPI spec (same as GPT Actions)</w:t>
            </w:r>
          </w:p>
        </w:tc>
        <w:tc>
          <w:tcPr>
            <w:tcW w:type="dxa" w:w="1872"/>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Low — same spec, different registration</w:t>
            </w:r>
          </w:p>
        </w:tc>
      </w:tr>
    </w:tbl>
    <w:p>
      <w:pPr>
        <w:spacing w:after="80" w:before="0"/>
        <w:jc w:val="left"/>
      </w:pPr>
      <w:r>
        <w:rPr>
          <w:rFonts w:ascii="Manrope" w:cs="Manrope" w:eastAsia="Manrope" w:hAnsi="Manrope"/>
          <w:color w:val="0F1113"/>
          <w:sz w:val="22"/>
          <w:szCs w:val="22"/>
        </w:rPr>
        <w:t xml:space="preserve"/>
      </w:r>
    </w:p>
    <w:p>
      <w:pPr>
        <w:spacing w:after="160" w:before="0"/>
        <w:jc w:val="left"/>
      </w:pPr>
      <w:r>
        <w:rPr>
          <w:rFonts w:ascii="Manrope" w:cs="Manrope" w:eastAsia="Manrope" w:hAnsi="Manrope"/>
          <w:color w:val="0F1113"/>
          <w:sz w:val="22"/>
          <w:szCs w:val="22"/>
        </w:rPr>
        <w:t xml:space="preserve">All three surfaces call the same underlying API endpoints. The finance-api does not change — it gains a thin translation layer for MCP and an OpenAPI spec document for the REST consumers.</w:t>
      </w:r>
    </w:p>
    <w:p>
      <w:pPr>
        <w:pStyle w:val="Heading2"/>
        <w:spacing w:after="120" w:before="240"/>
      </w:pPr>
      <w:r>
        <w:rPr>
          <w:rFonts w:ascii="Manrope" w:cs="Manrope" w:eastAsia="Manrope" w:hAnsi="Manrope"/>
          <w:b/>
          <w:bCs/>
          <w:color w:val="0F1113"/>
          <w:sz w:val="26"/>
          <w:szCs w:val="26"/>
        </w:rPr>
        <w:t xml:space="preserve">3.2 What each user gets</w:t>
      </w:r>
    </w:p>
    <w:p>
      <w:pPr>
        <w:spacing w:after="160" w:before="0"/>
        <w:jc w:val="left"/>
      </w:pPr>
      <w:r>
        <w:rPr>
          <w:rFonts w:ascii="Manrope" w:cs="Manrope" w:eastAsia="Manrope" w:hAnsi="Manrope"/>
          <w:color w:val="0F1113"/>
          <w:sz w:val="22"/>
          <w:szCs w:val="22"/>
        </w:rPr>
        <w:t xml:space="preserve">A user opens their AI of choice, connects to the STZA Finance tools, and has a natural conversation:</w:t>
      </w:r>
    </w:p>
    <w:p>
      <w:pPr>
        <w:spacing w:after="160" w:before="0"/>
        <w:jc w:val="left"/>
      </w:pPr>
      <w:r>
        <w:rPr>
          <w:rFonts w:ascii="Manrope" w:cs="Manrope" w:eastAsia="Manrope" w:hAnsi="Manrope"/>
          <w:i/>
          <w:iCs/>
          <w:color w:val="0F1113"/>
          <w:sz w:val="22"/>
          <w:szCs w:val="22"/>
        </w:rPr>
        <w:t xml:space="preserve">"Show me the aged debtors for STZA as at today" — the AI calls get_aged_receivables, formats the response as a table, and discusses it interactively. No queue, no wait, no portal.</w:t>
      </w:r>
    </w:p>
    <w:p>
      <w:pPr>
        <w:spacing w:after="160" w:before="0"/>
        <w:jc w:val="left"/>
      </w:pPr>
      <w:r>
        <w:rPr>
          <w:rFonts w:ascii="Manrope" w:cs="Manrope" w:eastAsia="Manrope" w:hAnsi="Manrope"/>
          <w:color w:val="0F1113"/>
          <w:sz w:val="22"/>
          <w:szCs w:val="22"/>
        </w:rPr>
        <w:t xml:space="preserve">The experience matches what Nik already has in Cowork today — but available to any user, on any AI platform, with the AI cost on their own subscription.</w:t>
      </w:r>
    </w:p>
    <w:p>
      <w:pPr>
        <w:pStyle w:val="Heading1"/>
        <w:spacing w:after="120" w:before="360"/>
      </w:pPr>
      <w:r>
        <w:rPr>
          <w:rFonts w:ascii="Manrope" w:cs="Manrope" w:eastAsia="Manrope" w:hAnsi="Manrope"/>
          <w:b/>
          <w:bCs/>
          <w:color w:val="C5A059"/>
          <w:sz w:val="32"/>
          <w:szCs w:val="32"/>
        </w:rPr>
        <w:t xml:space="preserve">4. Per-user authentication</w:t>
      </w:r>
    </w:p>
    <w:p>
      <w:pPr>
        <w:spacing w:after="160" w:before="0"/>
        <w:jc w:val="left"/>
      </w:pPr>
      <w:r>
        <w:rPr>
          <w:rFonts w:ascii="Manrope" w:cs="Manrope" w:eastAsia="Manrope" w:hAnsi="Manrope"/>
          <w:color w:val="0F1113"/>
          <w:sz w:val="22"/>
          <w:szCs w:val="22"/>
        </w:rPr>
        <w:t xml:space="preserve">The current single API key must be replaced with per-user authentication. The design must support three client types:</w:t>
      </w:r>
    </w:p>
    <w:p>
      <w:pPr>
        <w:pStyle w:val="Heading2"/>
        <w:spacing w:after="120" w:before="240"/>
      </w:pPr>
      <w:r>
        <w:rPr>
          <w:rFonts w:ascii="Manrope" w:cs="Manrope" w:eastAsia="Manrope" w:hAnsi="Manrope"/>
          <w:b/>
          <w:bCs/>
          <w:color w:val="0F1113"/>
          <w:sz w:val="26"/>
          <w:szCs w:val="26"/>
        </w:rPr>
        <w:t xml:space="preserve">4.1 Options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702"/>
        <w:gridCol w:w="2553"/>
        <w:gridCol w:w="2553"/>
        <w:gridCol w:w="2553"/>
      </w:tblGrid>
      <w:tr>
        <w:tc>
          <w:tcPr>
            <w:tcW w:type="dxa" w:w="1702"/>
            <w:tcBorders>
              <w:top w:val="single" w:color="D4C5A9" w:sz="1"/>
              <w:left w:val="single" w:color="D4C5A9" w:sz="1"/>
              <w:bottom w:val="single" w:color="D4C5A9" w:sz="1"/>
              <w:right w:val="single" w:color="D4C5A9" w:sz="1"/>
            </w:tcBorders>
            <w:shd w:fill="1A1C1E" w:val="clear"/>
          </w:tcPr>
          <w:p>
            <w:pPr>
              <w:spacing w:after="40" w:before="40"/>
            </w:pPr>
            <w:r>
              <w:rPr>
                <w:rFonts w:ascii="Manrope" w:cs="Manrope" w:eastAsia="Manrope" w:hAnsi="Manrope"/>
                <w:b/>
                <w:bCs/>
                <w:color w:val="C5A059"/>
                <w:sz w:val="18"/>
                <w:szCs w:val="18"/>
              </w:rPr>
              <w:t xml:space="preserve">Option</w:t>
            </w:r>
          </w:p>
        </w:tc>
        <w:tc>
          <w:tcPr>
            <w:tcW w:type="dxa" w:w="2553"/>
            <w:tcBorders>
              <w:top w:val="single" w:color="D4C5A9" w:sz="1"/>
              <w:left w:val="single" w:color="D4C5A9" w:sz="1"/>
              <w:bottom w:val="single" w:color="D4C5A9" w:sz="1"/>
              <w:right w:val="single" w:color="D4C5A9" w:sz="1"/>
            </w:tcBorders>
            <w:shd w:fill="1A1C1E" w:val="clear"/>
          </w:tcPr>
          <w:p>
            <w:pPr>
              <w:spacing w:after="40" w:before="40"/>
            </w:pPr>
            <w:r>
              <w:rPr>
                <w:rFonts w:ascii="Manrope" w:cs="Manrope" w:eastAsia="Manrope" w:hAnsi="Manrope"/>
                <w:b/>
                <w:bCs/>
                <w:color w:val="C5A059"/>
                <w:sz w:val="18"/>
                <w:szCs w:val="18"/>
              </w:rPr>
              <w:t xml:space="preserve">How it works</w:t>
            </w:r>
          </w:p>
        </w:tc>
        <w:tc>
          <w:tcPr>
            <w:tcW w:type="dxa" w:w="2553"/>
            <w:tcBorders>
              <w:top w:val="single" w:color="D4C5A9" w:sz="1"/>
              <w:left w:val="single" w:color="D4C5A9" w:sz="1"/>
              <w:bottom w:val="single" w:color="D4C5A9" w:sz="1"/>
              <w:right w:val="single" w:color="D4C5A9" w:sz="1"/>
            </w:tcBorders>
            <w:shd w:fill="1A1C1E" w:val="clear"/>
          </w:tcPr>
          <w:p>
            <w:pPr>
              <w:spacing w:after="40" w:before="40"/>
            </w:pPr>
            <w:r>
              <w:rPr>
                <w:rFonts w:ascii="Manrope" w:cs="Manrope" w:eastAsia="Manrope" w:hAnsi="Manrope"/>
                <w:b/>
                <w:bCs/>
                <w:color w:val="C5A059"/>
                <w:sz w:val="18"/>
                <w:szCs w:val="18"/>
              </w:rPr>
              <w:t xml:space="preserve">Pros</w:t>
            </w:r>
          </w:p>
        </w:tc>
        <w:tc>
          <w:tcPr>
            <w:tcW w:type="dxa" w:w="2553"/>
            <w:tcBorders>
              <w:top w:val="single" w:color="D4C5A9" w:sz="1"/>
              <w:left w:val="single" w:color="D4C5A9" w:sz="1"/>
              <w:bottom w:val="single" w:color="D4C5A9" w:sz="1"/>
              <w:right w:val="single" w:color="D4C5A9" w:sz="1"/>
            </w:tcBorders>
            <w:shd w:fill="1A1C1E" w:val="clear"/>
          </w:tcPr>
          <w:p>
            <w:pPr>
              <w:spacing w:after="40" w:before="40"/>
            </w:pPr>
            <w:r>
              <w:rPr>
                <w:rFonts w:ascii="Manrope" w:cs="Manrope" w:eastAsia="Manrope" w:hAnsi="Manrope"/>
                <w:b/>
                <w:bCs/>
                <w:color w:val="C5A059"/>
                <w:sz w:val="18"/>
                <w:szCs w:val="18"/>
              </w:rPr>
              <w:t xml:space="preserve">Cons</w:t>
            </w:r>
          </w:p>
        </w:tc>
      </w:tr>
      <w:tr>
        <w:tc>
          <w:tcPr>
            <w:tcW w:type="dxa" w:w="1702"/>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API keys per user</w:t>
            </w:r>
          </w:p>
        </w:tc>
        <w:tc>
          <w:tcPr>
            <w:tcW w:type="dxa" w:w="2553"/>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Each user gets a unique key, stored in shared.users</w:t>
            </w:r>
          </w:p>
        </w:tc>
        <w:tc>
          <w:tcPr>
            <w:tcW w:type="dxa" w:w="2553"/>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Simple, works for all three surfaces</w:t>
            </w:r>
          </w:p>
        </w:tc>
        <w:tc>
          <w:tcPr>
            <w:tcW w:type="dxa" w:w="2553"/>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No expiry by default, manual rotation</w:t>
            </w:r>
          </w:p>
        </w:tc>
      </w:tr>
      <w:tr>
        <w:tc>
          <w:tcPr>
            <w:tcW w:type="dxa" w:w="1702"/>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OAuth 2.0 (auth code flow)</w:t>
            </w:r>
          </w:p>
        </w:tc>
        <w:tc>
          <w:tcPr>
            <w:tcW w:type="dxa" w:w="2553"/>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Users authenticate via Google/STZA Identity, get tokens</w:t>
            </w:r>
          </w:p>
        </w:tc>
        <w:tc>
          <w:tcPr>
            <w:tcW w:type="dxa" w:w="2553"/>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Standard, supports consent UI, token expiry</w:t>
            </w:r>
          </w:p>
        </w:tc>
        <w:tc>
          <w:tcPr>
            <w:tcW w:type="dxa" w:w="2553"/>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More infrastructure (auth server, token store)</w:t>
            </w:r>
          </w:p>
        </w:tc>
      </w:tr>
      <w:tr>
        <w:tc>
          <w:tcPr>
            <w:tcW w:type="dxa" w:w="1702"/>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IAP forwarding</w:t>
            </w:r>
          </w:p>
        </w:tc>
        <w:tc>
          <w:tcPr>
            <w:tcW w:type="dxa" w:w="2553"/>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For portal users, forward the IAP identity header to the API</w:t>
            </w:r>
          </w:p>
        </w:tc>
        <w:tc>
          <w:tcPr>
            <w:tcW w:type="dxa" w:w="2553"/>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Already built for the portal</w:t>
            </w:r>
          </w:p>
        </w:tc>
        <w:tc>
          <w:tcPr>
            <w:tcW w:type="dxa" w:w="2553"/>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Only works for browser-based access, not MCP/GPT</w:t>
            </w:r>
          </w:p>
        </w:tc>
      </w:tr>
    </w:tbl>
    <w:p>
      <w:pPr>
        <w:spacing w:after="80" w:before="0"/>
        <w:jc w:val="left"/>
      </w:pPr>
      <w:r>
        <w:rPr>
          <w:rFonts w:ascii="Manrope" w:cs="Manrope" w:eastAsia="Manrope" w:hAnsi="Manrope"/>
          <w:color w:val="0F1113"/>
          <w:sz w:val="22"/>
          <w:szCs w:val="22"/>
        </w:rPr>
        <w:t xml:space="preserve"/>
      </w:r>
    </w:p>
    <w:p>
      <w:pPr>
        <w:spacing w:after="160" w:before="0"/>
        <w:jc w:val="left"/>
      </w:pPr>
      <w:r>
        <w:rPr>
          <w:rFonts w:ascii="Manrope" w:cs="Manrope" w:eastAsia="Manrope" w:hAnsi="Manrope"/>
          <w:color w:val="0F1113"/>
          <w:sz w:val="22"/>
          <w:szCs w:val="22"/>
        </w:rPr>
        <w:t xml:space="preserve"/>
      </w:r>
      <w:r>
        <w:rPr>
          <w:rFonts w:ascii="Manrope" w:cs="Manrope" w:eastAsia="Manrope" w:hAnsi="Manrope"/>
          <w:b/>
          <w:bCs/>
          <w:color w:val="0F1113"/>
          <w:sz w:val="22"/>
          <w:szCs w:val="22"/>
        </w:rPr>
        <w:t xml:space="preserve">Recommendation:</w:t>
      </w:r>
      <w:r>
        <w:rPr>
          <w:rFonts w:ascii="Manrope" w:cs="Manrope" w:eastAsia="Manrope" w:hAnsi="Manrope"/>
          <w:color w:val="0F1113"/>
          <w:sz w:val="22"/>
          <w:szCs w:val="22"/>
        </w:rPr>
        <w:t xml:space="preserve"> Start with API keys per user (option 1) for the MCP and GPT Action surfaces. The portal continues using IAP. OAuth can be added later if the user base grows beyond trusted practitioners.</w:t>
      </w:r>
    </w:p>
    <w:p>
      <w:pPr>
        <w:pStyle w:val="Heading2"/>
        <w:spacing w:after="120" w:before="240"/>
      </w:pPr>
      <w:r>
        <w:rPr>
          <w:rFonts w:ascii="Manrope" w:cs="Manrope" w:eastAsia="Manrope" w:hAnsi="Manrope"/>
          <w:b/>
          <w:bCs/>
          <w:color w:val="0F1113"/>
          <w:sz w:val="26"/>
          <w:szCs w:val="26"/>
        </w:rPr>
        <w:t xml:space="preserve">4.2 Client-scoped access</w:t>
      </w:r>
    </w:p>
    <w:p>
      <w:pPr>
        <w:spacing w:after="160" w:before="0"/>
        <w:jc w:val="left"/>
      </w:pPr>
      <w:r>
        <w:rPr>
          <w:rFonts w:ascii="Manrope" w:cs="Manrope" w:eastAsia="Manrope" w:hAnsi="Manrope"/>
          <w:color w:val="0F1113"/>
          <w:sz w:val="22"/>
          <w:szCs w:val="22"/>
        </w:rPr>
        <w:t xml:space="preserve">A user's API key must be scoped to specific clients. The finance-api already has a client/entity model — the auth layer adds a mapping: user → permitted client slugs. A user querying a client they don't have access to gets a 403.</w:t>
      </w:r>
    </w:p>
    <w:p>
      <w:pPr>
        <w:pStyle w:val="Heading1"/>
        <w:spacing w:after="120" w:before="360"/>
      </w:pPr>
      <w:r>
        <w:rPr>
          <w:rFonts w:ascii="Manrope" w:cs="Manrope" w:eastAsia="Manrope" w:hAnsi="Manrope"/>
          <w:b/>
          <w:bCs/>
          <w:color w:val="C5A059"/>
          <w:sz w:val="32"/>
          <w:szCs w:val="32"/>
        </w:rPr>
        <w:t xml:space="preserve">5. MCP Server (Claude users)</w:t>
      </w:r>
    </w:p>
    <w:p>
      <w:pPr>
        <w:spacing w:after="160" w:before="0"/>
        <w:jc w:val="left"/>
      </w:pPr>
      <w:r>
        <w:rPr>
          <w:rFonts w:ascii="Manrope" w:cs="Manrope" w:eastAsia="Manrope" w:hAnsi="Manrope"/>
          <w:color w:val="0F1113"/>
          <w:sz w:val="22"/>
          <w:szCs w:val="22"/>
        </w:rPr>
        <w:t xml:space="preserve">MCP (Model Context Protocol) is Anthropic's standard for connecting AI models to external tools. Claude Desktop, Cowork, and Claude Code all support MCP natively.</w:t>
      </w:r>
    </w:p>
    <w:p>
      <w:pPr>
        <w:pStyle w:val="Heading2"/>
        <w:spacing w:after="120" w:before="240"/>
      </w:pPr>
      <w:r>
        <w:rPr>
          <w:rFonts w:ascii="Manrope" w:cs="Manrope" w:eastAsia="Manrope" w:hAnsi="Manrope"/>
          <w:b/>
          <w:bCs/>
          <w:color w:val="0F1113"/>
          <w:sz w:val="26"/>
          <w:szCs w:val="26"/>
        </w:rPr>
        <w:t xml:space="preserve">5.1 Architecture</w:t>
      </w:r>
    </w:p>
    <w:p>
      <w:pPr>
        <w:spacing w:after="160" w:before="0"/>
        <w:jc w:val="left"/>
      </w:pPr>
      <w:r>
        <w:rPr>
          <w:rFonts w:ascii="Manrope" w:cs="Manrope" w:eastAsia="Manrope" w:hAnsi="Manrope"/>
          <w:color w:val="0F1113"/>
          <w:sz w:val="22"/>
          <w:szCs w:val="22"/>
        </w:rPr>
        <w:t xml:space="preserve">The MCP server is a thin wrapper that:</w:t>
      </w:r>
    </w:p>
    <w:p>
      <w:pPr>
        <w:pStyle w:val="ListParagraph"/>
        <w:numPr>
          <w:ilvl w:val="0"/>
          <w:numId w:val="2"/>
        </w:numPr>
        <w:spacing w:after="80"/>
        <w:ind w:left="720"/>
      </w:pPr>
      <w:r>
        <w:rPr>
          <w:rFonts w:ascii="Manrope" w:cs="Manrope" w:eastAsia="Manrope" w:hAnsi="Manrope"/>
          <w:color w:val="0F1113"/>
          <w:sz w:val="22"/>
          <w:szCs w:val="22"/>
        </w:rPr>
        <w:t xml:space="preserve">Exposes each Xero data endpoint as an MCP tool with a JSON Schema input definition</w:t>
      </w:r>
    </w:p>
    <w:p>
      <w:pPr>
        <w:pStyle w:val="ListParagraph"/>
        <w:numPr>
          <w:ilvl w:val="0"/>
          <w:numId w:val="2"/>
        </w:numPr>
        <w:spacing w:after="80"/>
        <w:ind w:left="720"/>
      </w:pPr>
      <w:r>
        <w:rPr>
          <w:rFonts w:ascii="Manrope" w:cs="Manrope" w:eastAsia="Manrope" w:hAnsi="Manrope"/>
          <w:color w:val="0F1113"/>
          <w:sz w:val="22"/>
          <w:szCs w:val="22"/>
        </w:rPr>
        <w:t xml:space="preserve">Authenticates using the user's API key (passed as an environment variable in the MCP config)</w:t>
      </w:r>
    </w:p>
    <w:p>
      <w:pPr>
        <w:pStyle w:val="ListParagraph"/>
        <w:numPr>
          <w:ilvl w:val="0"/>
          <w:numId w:val="2"/>
        </w:numPr>
        <w:spacing w:after="80"/>
        <w:ind w:left="720"/>
      </w:pPr>
      <w:r>
        <w:rPr>
          <w:rFonts w:ascii="Manrope" w:cs="Manrope" w:eastAsia="Manrope" w:hAnsi="Manrope"/>
          <w:color w:val="0F1113"/>
          <w:sz w:val="22"/>
          <w:szCs w:val="22"/>
        </w:rPr>
        <w:t xml:space="preserve">Translates MCP tool calls to finance-api REST calls</w:t>
      </w:r>
    </w:p>
    <w:p>
      <w:pPr>
        <w:pStyle w:val="ListParagraph"/>
        <w:numPr>
          <w:ilvl w:val="0"/>
          <w:numId w:val="2"/>
        </w:numPr>
        <w:spacing w:after="80"/>
        <w:ind w:left="720"/>
      </w:pPr>
      <w:r>
        <w:rPr>
          <w:rFonts w:ascii="Manrope" w:cs="Manrope" w:eastAsia="Manrope" w:hAnsi="Manrope"/>
          <w:color w:val="0F1113"/>
          <w:sz w:val="22"/>
          <w:szCs w:val="22"/>
        </w:rPr>
        <w:t xml:space="preserve">Returns results as MCP tool responses</w:t>
      </w:r>
    </w:p>
    <w:p>
      <w:pPr>
        <w:spacing w:after="160" w:before="0"/>
        <w:jc w:val="left"/>
      </w:pPr>
      <w:r>
        <w:rPr>
          <w:rFonts w:ascii="Manrope" w:cs="Manrope" w:eastAsia="Manrope" w:hAnsi="Manrope"/>
          <w:color w:val="0F1113"/>
          <w:sz w:val="22"/>
          <w:szCs w:val="22"/>
        </w:rPr>
        <w:t xml:space="preserve">It can run as a local stdio process (for Claude Desktop) or as an SSE endpoint on Cloud Run (for remote access).</w:t>
      </w:r>
    </w:p>
    <w:p>
      <w:pPr>
        <w:pStyle w:val="Heading2"/>
        <w:spacing w:after="120" w:before="240"/>
      </w:pPr>
      <w:r>
        <w:rPr>
          <w:rFonts w:ascii="Manrope" w:cs="Manrope" w:eastAsia="Manrope" w:hAnsi="Manrope"/>
          <w:b/>
          <w:bCs/>
          <w:color w:val="0F1113"/>
          <w:sz w:val="26"/>
          <w:szCs w:val="26"/>
        </w:rPr>
        <w:t xml:space="preserve">5.2 Tool definitions</w:t>
      </w:r>
    </w:p>
    <w:p>
      <w:pPr>
        <w:spacing w:after="160" w:before="0"/>
        <w:jc w:val="left"/>
      </w:pPr>
      <w:r>
        <w:rPr>
          <w:rFonts w:ascii="Manrope" w:cs="Manrope" w:eastAsia="Manrope" w:hAnsi="Manrope"/>
          <w:color w:val="0F1113"/>
          <w:sz w:val="22"/>
          <w:szCs w:val="22"/>
        </w:rPr>
        <w:t xml:space="preserve">The tools mirror what the runner already defines, plus client selection: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D4C5A9" w:sz="1"/>
              <w:left w:val="single" w:color="D4C5A9" w:sz="1"/>
              <w:bottom w:val="single" w:color="D4C5A9" w:sz="1"/>
              <w:right w:val="single" w:color="D4C5A9" w:sz="1"/>
            </w:tcBorders>
            <w:shd w:fill="1A1C1E" w:val="clear"/>
          </w:tcPr>
          <w:p>
            <w:pPr>
              <w:spacing w:after="40" w:before="40"/>
            </w:pPr>
            <w:r>
              <w:rPr>
                <w:rFonts w:ascii="Manrope" w:cs="Manrope" w:eastAsia="Manrope" w:hAnsi="Manrope"/>
                <w:b/>
                <w:bCs/>
                <w:color w:val="C5A059"/>
                <w:sz w:val="18"/>
                <w:szCs w:val="18"/>
              </w:rPr>
              <w:t xml:space="preserve">Tool</w:t>
            </w:r>
          </w:p>
        </w:tc>
        <w:tc>
          <w:tcPr>
            <w:tcW w:type="dxa" w:w="6552"/>
            <w:tcBorders>
              <w:top w:val="single" w:color="D4C5A9" w:sz="1"/>
              <w:left w:val="single" w:color="D4C5A9" w:sz="1"/>
              <w:bottom w:val="single" w:color="D4C5A9" w:sz="1"/>
              <w:right w:val="single" w:color="D4C5A9" w:sz="1"/>
            </w:tcBorders>
            <w:shd w:fill="1A1C1E" w:val="clear"/>
          </w:tcPr>
          <w:p>
            <w:pPr>
              <w:spacing w:after="40" w:before="40"/>
            </w:pPr>
            <w:r>
              <w:rPr>
                <w:rFonts w:ascii="Manrope" w:cs="Manrope" w:eastAsia="Manrope" w:hAnsi="Manrope"/>
                <w:b/>
                <w:bCs/>
                <w:color w:val="C5A059"/>
                <w:sz w:val="18"/>
                <w:szCs w:val="18"/>
              </w:rPr>
              <w:t xml:space="preserve">Description</w:t>
            </w:r>
          </w:p>
        </w:tc>
      </w:tr>
      <w:tr>
        <w:tc>
          <w:tcPr>
            <w:tcW w:type="dxa" w:w="2808"/>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list_clients</w:t>
            </w:r>
          </w:p>
        </w:tc>
        <w:tc>
          <w:tcPr>
            <w:tcW w:type="dxa" w:w="6552"/>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List clients the user has access to</w:t>
            </w:r>
          </w:p>
        </w:tc>
      </w:tr>
      <w:tr>
        <w:tc>
          <w:tcPr>
            <w:tcW w:type="dxa" w:w="2808"/>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list_entities</w:t>
            </w:r>
          </w:p>
        </w:tc>
        <w:tc>
          <w:tcPr>
            <w:tcW w:type="dxa" w:w="6552"/>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List entities for a client</w:t>
            </w:r>
          </w:p>
        </w:tc>
      </w:tr>
      <w:tr>
        <w:tc>
          <w:tcPr>
            <w:tcW w:type="dxa" w:w="2808"/>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get_trial_balance</w:t>
            </w:r>
          </w:p>
        </w:tc>
        <w:tc>
          <w:tcPr>
            <w:tcW w:type="dxa" w:w="6552"/>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Trial balance as at a date</w:t>
            </w:r>
          </w:p>
        </w:tc>
      </w:tr>
      <w:tr>
        <w:tc>
          <w:tcPr>
            <w:tcW w:type="dxa" w:w="2808"/>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get_profit_and_loss</w:t>
            </w:r>
          </w:p>
        </w:tc>
        <w:tc>
          <w:tcPr>
            <w:tcW w:type="dxa" w:w="6552"/>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P&amp;L with optional date range and comparatives</w:t>
            </w:r>
          </w:p>
        </w:tc>
      </w:tr>
      <w:tr>
        <w:tc>
          <w:tcPr>
            <w:tcW w:type="dxa" w:w="2808"/>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get_balance_sheet</w:t>
            </w:r>
          </w:p>
        </w:tc>
        <w:tc>
          <w:tcPr>
            <w:tcW w:type="dxa" w:w="6552"/>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Balance sheet as at a date</w:t>
            </w:r>
          </w:p>
        </w:tc>
      </w:tr>
      <w:tr>
        <w:tc>
          <w:tcPr>
            <w:tcW w:type="dxa" w:w="2808"/>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get_bank_summary</w:t>
            </w:r>
          </w:p>
        </w:tc>
        <w:tc>
          <w:tcPr>
            <w:tcW w:type="dxa" w:w="6552"/>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Cash positions across bank accounts</w:t>
            </w:r>
          </w:p>
        </w:tc>
      </w:tr>
      <w:tr>
        <w:tc>
          <w:tcPr>
            <w:tcW w:type="dxa" w:w="2808"/>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get_aged_receivables</w:t>
            </w:r>
          </w:p>
        </w:tc>
        <w:tc>
          <w:tcPr>
            <w:tcW w:type="dxa" w:w="6552"/>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Outstanding sales invoices with ageing buckets</w:t>
            </w:r>
          </w:p>
        </w:tc>
      </w:tr>
      <w:tr>
        <w:tc>
          <w:tcPr>
            <w:tcW w:type="dxa" w:w="2808"/>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get_aged_payables</w:t>
            </w:r>
          </w:p>
        </w:tc>
        <w:tc>
          <w:tcPr>
            <w:tcW w:type="dxa" w:w="6552"/>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Outstanding purchase invoices with ageing buckets</w:t>
            </w:r>
          </w:p>
        </w:tc>
      </w:tr>
      <w:tr>
        <w:tc>
          <w:tcPr>
            <w:tcW w:type="dxa" w:w="2808"/>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get_chart_of_accounts</w:t>
            </w:r>
          </w:p>
        </w:tc>
        <w:tc>
          <w:tcPr>
            <w:tcW w:type="dxa" w:w="6552"/>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Full chart of accounts</w:t>
            </w:r>
          </w:p>
        </w:tc>
      </w:tr>
    </w:tbl>
    <w:p>
      <w:pPr>
        <w:spacing w:after="80" w:before="0"/>
        <w:jc w:val="left"/>
      </w:pPr>
      <w:r>
        <w:rPr>
          <w:rFonts w:ascii="Manrope" w:cs="Manrope" w:eastAsia="Manrope" w:hAnsi="Manrope"/>
          <w:color w:val="0F1113"/>
          <w:sz w:val="22"/>
          <w:szCs w:val="22"/>
        </w:rPr>
        <w:t xml:space="preserve"/>
      </w:r>
    </w:p>
    <w:p>
      <w:pPr>
        <w:pStyle w:val="Heading2"/>
        <w:spacing w:after="120" w:before="240"/>
      </w:pPr>
      <w:r>
        <w:rPr>
          <w:rFonts w:ascii="Manrope" w:cs="Manrope" w:eastAsia="Manrope" w:hAnsi="Manrope"/>
          <w:b/>
          <w:bCs/>
          <w:color w:val="0F1113"/>
          <w:sz w:val="26"/>
          <w:szCs w:val="26"/>
        </w:rPr>
        <w:t xml:space="preserve">5.3 User setup</w:t>
      </w:r>
    </w:p>
    <w:p>
      <w:pPr>
        <w:spacing w:after="160" w:before="0"/>
        <w:jc w:val="left"/>
      </w:pPr>
      <w:r>
        <w:rPr>
          <w:rFonts w:ascii="Manrope" w:cs="Manrope" w:eastAsia="Manrope" w:hAnsi="Manrope"/>
          <w:color w:val="0F1113"/>
          <w:sz w:val="22"/>
          <w:szCs w:val="22"/>
        </w:rPr>
        <w:t xml:space="preserve">A Claude user adds this to their MCP configuration:</w:t>
      </w:r>
    </w:p>
    <w:p>
      <w:pPr>
        <w:spacing w:after="160" w:before="0"/>
        <w:jc w:val="left"/>
      </w:pPr>
      <w:r>
        <w:rPr>
          <w:rFonts w:ascii="Manrope" w:cs="Manrope" w:eastAsia="Manrope" w:hAnsi="Manrope"/>
          <w:color w:val="8E9196"/>
          <w:sz w:val="18"/>
          <w:szCs w:val="18"/>
        </w:rPr>
        <w:t xml:space="preserve">{ "mcpServers": { "stza-finance": { "command": "npx", "args": ["@stza/finance-mcp"], "env": { "STZA_API_KEY": "their-key" } } } }</w:t>
      </w:r>
    </w:p>
    <w:p>
      <w:pPr>
        <w:spacing w:after="160" w:before="0"/>
        <w:jc w:val="left"/>
      </w:pPr>
      <w:r>
        <w:rPr>
          <w:rFonts w:ascii="Manrope" w:cs="Manrope" w:eastAsia="Manrope" w:hAnsi="Manrope"/>
          <w:color w:val="0F1113"/>
          <w:sz w:val="22"/>
          <w:szCs w:val="22"/>
        </w:rPr>
        <w:t xml:space="preserve">Or, for the remote SSE variant, they point at the Cloud Run URL. No local install needed.</w:t>
      </w:r>
    </w:p>
    <w:p>
      <w:pPr>
        <w:pStyle w:val="Heading1"/>
        <w:spacing w:after="120" w:before="360"/>
      </w:pPr>
      <w:r>
        <w:rPr>
          <w:rFonts w:ascii="Manrope" w:cs="Manrope" w:eastAsia="Manrope" w:hAnsi="Manrope"/>
          <w:b/>
          <w:bCs/>
          <w:color w:val="C5A059"/>
          <w:sz w:val="32"/>
          <w:szCs w:val="32"/>
        </w:rPr>
        <w:t xml:space="preserve">6. GPT Actions and Gemini Extensions</w:t>
      </w:r>
    </w:p>
    <w:p>
      <w:pPr>
        <w:spacing w:after="160" w:before="0"/>
        <w:jc w:val="left"/>
      </w:pPr>
      <w:r>
        <w:rPr>
          <w:rFonts w:ascii="Manrope" w:cs="Manrope" w:eastAsia="Manrope" w:hAnsi="Manrope"/>
          <w:color w:val="0F1113"/>
          <w:sz w:val="22"/>
          <w:szCs w:val="22"/>
        </w:rPr>
        <w:t xml:space="preserve">Both ChatGPT and Gemini consume OpenAPI specs. The same spec serves both platforms.</w:t>
      </w:r>
    </w:p>
    <w:p>
      <w:pPr>
        <w:spacing w:after="160" w:before="0"/>
        <w:jc w:val="left"/>
      </w:pPr>
      <w:r>
        <w:rPr>
          <w:rFonts w:ascii="Manrope" w:cs="Manrope" w:eastAsia="Manrope" w:hAnsi="Manrope"/>
          <w:color w:val="0F1113"/>
          <w:sz w:val="22"/>
          <w:szCs w:val="22"/>
        </w:rPr>
        <w:t xml:space="preserve">The OpenAPI spec documents the existing REST endpoints with:</w:t>
      </w:r>
    </w:p>
    <w:p>
      <w:pPr>
        <w:pStyle w:val="ListParagraph"/>
        <w:numPr>
          <w:ilvl w:val="0"/>
          <w:numId w:val="2"/>
        </w:numPr>
        <w:spacing w:after="80"/>
        <w:ind w:left="720"/>
      </w:pPr>
      <w:r>
        <w:rPr>
          <w:rFonts w:ascii="Manrope" w:cs="Manrope" w:eastAsia="Manrope" w:hAnsi="Manrope"/>
          <w:color w:val="0F1113"/>
          <w:sz w:val="22"/>
          <w:szCs w:val="22"/>
        </w:rPr>
        <w:t xml:space="preserve">JSON Schema for request parameters and response bodies</w:t>
      </w:r>
    </w:p>
    <w:p>
      <w:pPr>
        <w:pStyle w:val="ListParagraph"/>
        <w:numPr>
          <w:ilvl w:val="0"/>
          <w:numId w:val="2"/>
        </w:numPr>
        <w:spacing w:after="80"/>
        <w:ind w:left="720"/>
      </w:pPr>
      <w:r>
        <w:rPr>
          <w:rFonts w:ascii="Manrope" w:cs="Manrope" w:eastAsia="Manrope" w:hAnsi="Manrope"/>
          <w:color w:val="0F1113"/>
          <w:sz w:val="22"/>
          <w:szCs w:val="22"/>
        </w:rPr>
        <w:t xml:space="preserve">Security scheme (API key in header)</w:t>
      </w:r>
    </w:p>
    <w:p>
      <w:pPr>
        <w:pStyle w:val="ListParagraph"/>
        <w:numPr>
          <w:ilvl w:val="0"/>
          <w:numId w:val="2"/>
        </w:numPr>
        <w:spacing w:after="80"/>
        <w:ind w:left="720"/>
      </w:pPr>
      <w:r>
        <w:rPr>
          <w:rFonts w:ascii="Manrope" w:cs="Manrope" w:eastAsia="Manrope" w:hAnsi="Manrope"/>
          <w:color w:val="0F1113"/>
          <w:sz w:val="22"/>
          <w:szCs w:val="22"/>
        </w:rPr>
        <w:t xml:space="preserve">Server URL pointing at the Cloud Run deployment</w:t>
      </w:r>
    </w:p>
    <w:p>
      <w:pPr>
        <w:spacing w:after="160" w:before="0"/>
        <w:jc w:val="left"/>
      </w:pPr>
      <w:r>
        <w:rPr>
          <w:rFonts w:ascii="Manrope" w:cs="Manrope" w:eastAsia="Manrope" w:hAnsi="Manrope"/>
          <w:color w:val="0F1113"/>
          <w:sz w:val="22"/>
          <w:szCs w:val="22"/>
        </w:rPr>
        <w:t xml:space="preserve">ChatGPT users create a custom GPT with the spec imported as an Action. Gemini users register it as an Extension. Both get the same tools, same data, same auth.</w:t>
      </w:r>
    </w:p>
    <w:p>
      <w:pPr>
        <w:pStyle w:val="Heading1"/>
        <w:spacing w:after="120" w:before="360"/>
      </w:pPr>
      <w:r>
        <w:rPr>
          <w:rFonts w:ascii="Manrope" w:cs="Manrope" w:eastAsia="Manrope" w:hAnsi="Manrope"/>
          <w:b/>
          <w:bCs/>
          <w:color w:val="C5A059"/>
          <w:sz w:val="32"/>
          <w:szCs w:val="32"/>
        </w:rPr>
        <w:t xml:space="preserve">7. Audit trail</w:t>
      </w:r>
    </w:p>
    <w:p>
      <w:pPr>
        <w:spacing w:after="160" w:before="0"/>
        <w:jc w:val="left"/>
      </w:pPr>
      <w:r>
        <w:rPr>
          <w:rFonts w:ascii="Manrope" w:cs="Manrope" w:eastAsia="Manrope" w:hAnsi="Manrope"/>
          <w:color w:val="0F1113"/>
          <w:sz w:val="22"/>
          <w:szCs w:val="22"/>
        </w:rPr>
        <w:t xml:space="preserve">The portal's Agents tab becomes an audit log rather than an execution interface. Every tool call from any AI client is logged: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D4C5A9" w:sz="1"/>
              <w:left w:val="single" w:color="D4C5A9" w:sz="1"/>
              <w:bottom w:val="single" w:color="D4C5A9" w:sz="1"/>
              <w:right w:val="single" w:color="D4C5A9" w:sz="1"/>
            </w:tcBorders>
            <w:shd w:fill="1A1C1E" w:val="clear"/>
          </w:tcPr>
          <w:p>
            <w:pPr>
              <w:spacing w:after="40" w:before="40"/>
            </w:pPr>
            <w:r>
              <w:rPr>
                <w:rFonts w:ascii="Manrope" w:cs="Manrope" w:eastAsia="Manrope" w:hAnsi="Manrope"/>
                <w:b/>
                <w:bCs/>
                <w:color w:val="C5A059"/>
                <w:sz w:val="18"/>
                <w:szCs w:val="18"/>
              </w:rPr>
              <w:t xml:space="preserve">Field</w:t>
            </w:r>
          </w:p>
        </w:tc>
        <w:tc>
          <w:tcPr>
            <w:tcW w:type="dxa" w:w="6552"/>
            <w:tcBorders>
              <w:top w:val="single" w:color="D4C5A9" w:sz="1"/>
              <w:left w:val="single" w:color="D4C5A9" w:sz="1"/>
              <w:bottom w:val="single" w:color="D4C5A9" w:sz="1"/>
              <w:right w:val="single" w:color="D4C5A9" w:sz="1"/>
            </w:tcBorders>
            <w:shd w:fill="1A1C1E" w:val="clear"/>
          </w:tcPr>
          <w:p>
            <w:pPr>
              <w:spacing w:after="40" w:before="40"/>
            </w:pPr>
            <w:r>
              <w:rPr>
                <w:rFonts w:ascii="Manrope" w:cs="Manrope" w:eastAsia="Manrope" w:hAnsi="Manrope"/>
                <w:b/>
                <w:bCs/>
                <w:color w:val="C5A059"/>
                <w:sz w:val="18"/>
                <w:szCs w:val="18"/>
              </w:rPr>
              <w:t xml:space="preserve">Source</w:t>
            </w:r>
          </w:p>
        </w:tc>
      </w:tr>
      <w:tr>
        <w:tc>
          <w:tcPr>
            <w:tcW w:type="dxa" w:w="2808"/>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user_email</w:t>
            </w:r>
          </w:p>
        </w:tc>
        <w:tc>
          <w:tcPr>
            <w:tcW w:type="dxa" w:w="6552"/>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API key lookup</w:t>
            </w:r>
          </w:p>
        </w:tc>
      </w:tr>
      <w:tr>
        <w:tc>
          <w:tcPr>
            <w:tcW w:type="dxa" w:w="2808"/>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client_slug</w:t>
            </w:r>
          </w:p>
        </w:tc>
        <w:tc>
          <w:tcPr>
            <w:tcW w:type="dxa" w:w="6552"/>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From the tool call</w:t>
            </w:r>
          </w:p>
        </w:tc>
      </w:tr>
      <w:tr>
        <w:tc>
          <w:tcPr>
            <w:tcW w:type="dxa" w:w="2808"/>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tool_name</w:t>
            </w:r>
          </w:p>
        </w:tc>
        <w:tc>
          <w:tcPr>
            <w:tcW w:type="dxa" w:w="6552"/>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The endpoint called</w:t>
            </w:r>
          </w:p>
        </w:tc>
      </w:tr>
      <w:tr>
        <w:tc>
          <w:tcPr>
            <w:tcW w:type="dxa" w:w="2808"/>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parameters</w:t>
            </w:r>
          </w:p>
        </w:tc>
        <w:tc>
          <w:tcPr>
            <w:tcW w:type="dxa" w:w="6552"/>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Request params (sanitised)</w:t>
            </w:r>
          </w:p>
        </w:tc>
      </w:tr>
      <w:tr>
        <w:tc>
          <w:tcPr>
            <w:tcW w:type="dxa" w:w="2808"/>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timestamp</w:t>
            </w:r>
          </w:p>
        </w:tc>
        <w:tc>
          <w:tcPr>
            <w:tcW w:type="dxa" w:w="6552"/>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Server clock</w:t>
            </w:r>
          </w:p>
        </w:tc>
      </w:tr>
      <w:tr>
        <w:tc>
          <w:tcPr>
            <w:tcW w:type="dxa" w:w="2808"/>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source</w:t>
            </w:r>
          </w:p>
        </w:tc>
        <w:tc>
          <w:tcPr>
            <w:tcW w:type="dxa" w:w="6552"/>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mcp / gpt-action / gemini / portal</w:t>
            </w:r>
          </w:p>
        </w:tc>
      </w:tr>
    </w:tbl>
    <w:p>
      <w:pPr>
        <w:spacing w:after="80" w:before="0"/>
        <w:jc w:val="left"/>
      </w:pPr>
      <w:r>
        <w:rPr>
          <w:rFonts w:ascii="Manrope" w:cs="Manrope" w:eastAsia="Manrope" w:hAnsi="Manrope"/>
          <w:color w:val="0F1113"/>
          <w:sz w:val="22"/>
          <w:szCs w:val="22"/>
        </w:rPr>
        <w:t xml:space="preserve"/>
      </w:r>
    </w:p>
    <w:p>
      <w:pPr>
        <w:spacing w:after="160" w:before="0"/>
        <w:jc w:val="left"/>
      </w:pPr>
      <w:r>
        <w:rPr>
          <w:rFonts w:ascii="Manrope" w:cs="Manrope" w:eastAsia="Manrope" w:hAnsi="Manrope"/>
          <w:color w:val="0F1113"/>
          <w:sz w:val="22"/>
          <w:szCs w:val="22"/>
        </w:rPr>
        <w:t xml:space="preserve">This gives the practice a full record of who asked what, when, through which AI — essential for a CA practice serving multiple clients.</w:t>
      </w:r>
    </w:p>
    <w:p>
      <w:pPr>
        <w:pStyle w:val="Heading1"/>
        <w:spacing w:after="120" w:before="360"/>
      </w:pPr>
      <w:r>
        <w:rPr>
          <w:rFonts w:ascii="Manrope" w:cs="Manrope" w:eastAsia="Manrope" w:hAnsi="Manrope"/>
          <w:b/>
          <w:bCs/>
          <w:color w:val="C5A059"/>
          <w:sz w:val="32"/>
          <w:szCs w:val="32"/>
        </w:rPr>
        <w:t xml:space="preserve">8. Cost model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53"/>
        <w:gridCol w:w="3404"/>
        <w:gridCol w:w="3404"/>
      </w:tblGrid>
      <w:tr>
        <w:tc>
          <w:tcPr>
            <w:tcW w:type="dxa" w:w="2553"/>
            <w:tcBorders>
              <w:top w:val="single" w:color="D4C5A9" w:sz="1"/>
              <w:left w:val="single" w:color="D4C5A9" w:sz="1"/>
              <w:bottom w:val="single" w:color="D4C5A9" w:sz="1"/>
              <w:right w:val="single" w:color="D4C5A9" w:sz="1"/>
            </w:tcBorders>
            <w:shd w:fill="1A1C1E" w:val="clear"/>
          </w:tcPr>
          <w:p>
            <w:pPr>
              <w:spacing w:after="40" w:before="40"/>
            </w:pPr>
            <w:r>
              <w:rPr>
                <w:rFonts w:ascii="Manrope" w:cs="Manrope" w:eastAsia="Manrope" w:hAnsi="Manrope"/>
                <w:b/>
                <w:bCs/>
                <w:color w:val="C5A059"/>
                <w:sz w:val="18"/>
                <w:szCs w:val="18"/>
              </w:rPr>
              <w:t xml:space="preserve">Item</w:t>
            </w:r>
          </w:p>
        </w:tc>
        <w:tc>
          <w:tcPr>
            <w:tcW w:type="dxa" w:w="3404"/>
            <w:tcBorders>
              <w:top w:val="single" w:color="D4C5A9" w:sz="1"/>
              <w:left w:val="single" w:color="D4C5A9" w:sz="1"/>
              <w:bottom w:val="single" w:color="D4C5A9" w:sz="1"/>
              <w:right w:val="single" w:color="D4C5A9" w:sz="1"/>
            </w:tcBorders>
            <w:shd w:fill="1A1C1E" w:val="clear"/>
          </w:tcPr>
          <w:p>
            <w:pPr>
              <w:spacing w:after="40" w:before="40"/>
            </w:pPr>
            <w:r>
              <w:rPr>
                <w:rFonts w:ascii="Manrope" w:cs="Manrope" w:eastAsia="Manrope" w:hAnsi="Manrope"/>
                <w:b/>
                <w:bCs/>
                <w:color w:val="C5A059"/>
                <w:sz w:val="18"/>
                <w:szCs w:val="18"/>
              </w:rPr>
              <w:t xml:space="preserve">Current (runner)</w:t>
            </w:r>
          </w:p>
        </w:tc>
        <w:tc>
          <w:tcPr>
            <w:tcW w:type="dxa" w:w="3404"/>
            <w:tcBorders>
              <w:top w:val="single" w:color="D4C5A9" w:sz="1"/>
              <w:left w:val="single" w:color="D4C5A9" w:sz="1"/>
              <w:bottom w:val="single" w:color="D4C5A9" w:sz="1"/>
              <w:right w:val="single" w:color="D4C5A9" w:sz="1"/>
            </w:tcBorders>
            <w:shd w:fill="1A1C1E" w:val="clear"/>
          </w:tcPr>
          <w:p>
            <w:pPr>
              <w:spacing w:after="40" w:before="40"/>
            </w:pPr>
            <w:r>
              <w:rPr>
                <w:rFonts w:ascii="Manrope" w:cs="Manrope" w:eastAsia="Manrope" w:hAnsi="Manrope"/>
                <w:b/>
                <w:bCs/>
                <w:color w:val="C5A059"/>
                <w:sz w:val="18"/>
                <w:szCs w:val="18"/>
              </w:rPr>
              <w:t xml:space="preserve">BYOAI</w:t>
            </w:r>
          </w:p>
        </w:tc>
      </w:tr>
      <w:tr>
        <w:tc>
          <w:tcPr>
            <w:tcW w:type="dxa" w:w="2553"/>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AI inference</w:t>
            </w:r>
          </w:p>
        </w:tc>
        <w:tc>
          <w:tcPr>
            <w:tcW w:type="dxa" w:w="3404"/>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STZA pays Anthropic API ($0.02–$0.25/job)</w:t>
            </w:r>
          </w:p>
        </w:tc>
        <w:tc>
          <w:tcPr>
            <w:tcW w:type="dxa" w:w="3404"/>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User pays via own subscription ($0)</w:t>
            </w:r>
          </w:p>
        </w:tc>
      </w:tr>
      <w:tr>
        <w:tc>
          <w:tcPr>
            <w:tcW w:type="dxa" w:w="2553"/>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Infrastructure</w:t>
            </w:r>
          </w:p>
        </w:tc>
        <w:tc>
          <w:tcPr>
            <w:tcW w:type="dxa" w:w="3404"/>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Cloud Run + Cloud SQL (~$30/month)</w:t>
            </w:r>
          </w:p>
        </w:tc>
        <w:tc>
          <w:tcPr>
            <w:tcW w:type="dxa" w:w="3404"/>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Same (~$30/month)</w:t>
            </w:r>
          </w:p>
        </w:tc>
      </w:tr>
      <w:tr>
        <w:tc>
          <w:tcPr>
            <w:tcW w:type="dxa" w:w="2553"/>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Xero API calls</w:t>
            </w:r>
          </w:p>
        </w:tc>
        <w:tc>
          <w:tcPr>
            <w:tcW w:type="dxa" w:w="3404"/>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Included in Xero subscription</w:t>
            </w:r>
          </w:p>
        </w:tc>
        <w:tc>
          <w:tcPr>
            <w:tcW w:type="dxa" w:w="3404"/>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Same</w:t>
            </w:r>
          </w:p>
        </w:tc>
      </w:tr>
      <w:tr>
        <w:tc>
          <w:tcPr>
            <w:tcW w:type="dxa" w:w="2553"/>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Revenue model</w:t>
            </w:r>
          </w:p>
        </w:tc>
        <w:tc>
          <w:tcPr>
            <w:tcW w:type="dxa" w:w="3404"/>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Bundled in advisory fees</w:t>
            </w:r>
          </w:p>
        </w:tc>
        <w:tc>
          <w:tcPr>
            <w:tcW w:type="dxa" w:w="3404"/>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Tool access fee per client/month + advisory</w:t>
            </w:r>
          </w:p>
        </w:tc>
      </w:tr>
    </w:tbl>
    <w:p>
      <w:pPr>
        <w:spacing w:after="80" w:before="0"/>
        <w:jc w:val="left"/>
      </w:pPr>
      <w:r>
        <w:rPr>
          <w:rFonts w:ascii="Manrope" w:cs="Manrope" w:eastAsia="Manrope" w:hAnsi="Manrope"/>
          <w:color w:val="0F1113"/>
          <w:sz w:val="22"/>
          <w:szCs w:val="22"/>
        </w:rPr>
        <w:t xml:space="preserve"/>
      </w:r>
    </w:p>
    <w:p>
      <w:pPr>
        <w:spacing w:after="160" w:before="0"/>
        <w:jc w:val="left"/>
      </w:pPr>
      <w:r>
        <w:rPr>
          <w:rFonts w:ascii="Manrope" w:cs="Manrope" w:eastAsia="Manrope" w:hAnsi="Manrope"/>
          <w:color w:val="0F1113"/>
          <w:sz w:val="22"/>
          <w:szCs w:val="22"/>
        </w:rPr>
        <w:t xml:space="preserve">The BYOAI model turns a variable cost (API tokens) into zero marginal cost for STZA. Revenue comes from the platform access fee — charging for the Xero integration, client context, and audit infrastructure rather than for AI inference.</w:t>
      </w:r>
    </w:p>
    <w:p>
      <w:pPr>
        <w:pStyle w:val="Heading1"/>
        <w:spacing w:after="120" w:before="360"/>
      </w:pPr>
      <w:r>
        <w:rPr>
          <w:rFonts w:ascii="Manrope" w:cs="Manrope" w:eastAsia="Manrope" w:hAnsi="Manrope"/>
          <w:b/>
          <w:bCs/>
          <w:color w:val="C5A059"/>
          <w:sz w:val="32"/>
          <w:szCs w:val="32"/>
        </w:rPr>
        <w:t xml:space="preserve">9. What stays, what changes, what goes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53"/>
        <w:gridCol w:w="1702"/>
        <w:gridCol w:w="5105"/>
      </w:tblGrid>
      <w:tr>
        <w:tc>
          <w:tcPr>
            <w:tcW w:type="dxa" w:w="2553"/>
            <w:tcBorders>
              <w:top w:val="single" w:color="D4C5A9" w:sz="1"/>
              <w:left w:val="single" w:color="D4C5A9" w:sz="1"/>
              <w:bottom w:val="single" w:color="D4C5A9" w:sz="1"/>
              <w:right w:val="single" w:color="D4C5A9" w:sz="1"/>
            </w:tcBorders>
            <w:shd w:fill="1A1C1E" w:val="clear"/>
          </w:tcPr>
          <w:p>
            <w:pPr>
              <w:spacing w:after="40" w:before="40"/>
            </w:pPr>
            <w:r>
              <w:rPr>
                <w:rFonts w:ascii="Manrope" w:cs="Manrope" w:eastAsia="Manrope" w:hAnsi="Manrope"/>
                <w:b/>
                <w:bCs/>
                <w:color w:val="C5A059"/>
                <w:sz w:val="18"/>
                <w:szCs w:val="18"/>
              </w:rPr>
              <w:t xml:space="preserve">Component</w:t>
            </w:r>
          </w:p>
        </w:tc>
        <w:tc>
          <w:tcPr>
            <w:tcW w:type="dxa" w:w="1702"/>
            <w:tcBorders>
              <w:top w:val="single" w:color="D4C5A9" w:sz="1"/>
              <w:left w:val="single" w:color="D4C5A9" w:sz="1"/>
              <w:bottom w:val="single" w:color="D4C5A9" w:sz="1"/>
              <w:right w:val="single" w:color="D4C5A9" w:sz="1"/>
            </w:tcBorders>
            <w:shd w:fill="1A1C1E" w:val="clear"/>
          </w:tcPr>
          <w:p>
            <w:pPr>
              <w:spacing w:after="40" w:before="40"/>
            </w:pPr>
            <w:r>
              <w:rPr>
                <w:rFonts w:ascii="Manrope" w:cs="Manrope" w:eastAsia="Manrope" w:hAnsi="Manrope"/>
                <w:b/>
                <w:bCs/>
                <w:color w:val="C5A059"/>
                <w:sz w:val="18"/>
                <w:szCs w:val="18"/>
              </w:rPr>
              <w:t xml:space="preserve">Status</w:t>
            </w:r>
          </w:p>
        </w:tc>
        <w:tc>
          <w:tcPr>
            <w:tcW w:type="dxa" w:w="5105"/>
            <w:tcBorders>
              <w:top w:val="single" w:color="D4C5A9" w:sz="1"/>
              <w:left w:val="single" w:color="D4C5A9" w:sz="1"/>
              <w:bottom w:val="single" w:color="D4C5A9" w:sz="1"/>
              <w:right w:val="single" w:color="D4C5A9" w:sz="1"/>
            </w:tcBorders>
            <w:shd w:fill="1A1C1E" w:val="clear"/>
          </w:tcPr>
          <w:p>
            <w:pPr>
              <w:spacing w:after="40" w:before="40"/>
            </w:pPr>
            <w:r>
              <w:rPr>
                <w:rFonts w:ascii="Manrope" w:cs="Manrope" w:eastAsia="Manrope" w:hAnsi="Manrope"/>
                <w:b/>
                <w:bCs/>
                <w:color w:val="C5A059"/>
                <w:sz w:val="18"/>
                <w:szCs w:val="18"/>
              </w:rPr>
              <w:t xml:space="preserve">Notes</w:t>
            </w:r>
          </w:p>
        </w:tc>
      </w:tr>
      <w:tr>
        <w:tc>
          <w:tcPr>
            <w:tcW w:type="dxa" w:w="2553"/>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finance-api (server.js)</w:t>
            </w:r>
          </w:p>
        </w:tc>
        <w:tc>
          <w:tcPr>
            <w:tcW w:type="dxa" w:w="1702"/>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Stays</w:t>
            </w:r>
          </w:p>
        </w:tc>
        <w:tc>
          <w:tcPr>
            <w:tcW w:type="dxa" w:w="5105"/>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Core data layer, no changes needed</w:t>
            </w:r>
          </w:p>
        </w:tc>
      </w:tr>
      <w:tr>
        <w:tc>
          <w:tcPr>
            <w:tcW w:type="dxa" w:w="2553"/>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Xero endpoints</w:t>
            </w:r>
          </w:p>
        </w:tc>
        <w:tc>
          <w:tcPr>
            <w:tcW w:type="dxa" w:w="1702"/>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Stays</w:t>
            </w:r>
          </w:p>
        </w:tc>
        <w:tc>
          <w:tcPr>
            <w:tcW w:type="dxa" w:w="5105"/>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Already built and tested</w:t>
            </w:r>
          </w:p>
        </w:tc>
      </w:tr>
      <w:tr>
        <w:tc>
          <w:tcPr>
            <w:tcW w:type="dxa" w:w="2553"/>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Client/entity model</w:t>
            </w:r>
          </w:p>
        </w:tc>
        <w:tc>
          <w:tcPr>
            <w:tcW w:type="dxa" w:w="1702"/>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Stays</w:t>
            </w:r>
          </w:p>
        </w:tc>
        <w:tc>
          <w:tcPr>
            <w:tcW w:type="dxa" w:w="5105"/>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Multi-client, multi-entity support</w:t>
            </w:r>
          </w:p>
        </w:tc>
      </w:tr>
      <w:tr>
        <w:tc>
          <w:tcPr>
            <w:tcW w:type="dxa" w:w="2553"/>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OAuth token rotation</w:t>
            </w:r>
          </w:p>
        </w:tc>
        <w:tc>
          <w:tcPr>
            <w:tcW w:type="dxa" w:w="1702"/>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Stays</w:t>
            </w:r>
          </w:p>
        </w:tc>
        <w:tc>
          <w:tcPr>
            <w:tcW w:type="dxa" w:w="5105"/>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GCP Secret Manager integration</w:t>
            </w:r>
          </w:p>
        </w:tc>
      </w:tr>
      <w:tr>
        <w:tc>
          <w:tcPr>
            <w:tcW w:type="dxa" w:w="2553"/>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Runner (runner.js)</w:t>
            </w:r>
          </w:p>
        </w:tc>
        <w:tc>
          <w:tcPr>
            <w:tcW w:type="dxa" w:w="1702"/>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Demoted</w:t>
            </w:r>
          </w:p>
        </w:tc>
        <w:tc>
          <w:tcPr>
            <w:tcW w:type="dxa" w:w="5105"/>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Kept for demos and fallback, not primary interface</w:t>
            </w:r>
          </w:p>
        </w:tc>
      </w:tr>
      <w:tr>
        <w:tc>
          <w:tcPr>
            <w:tcW w:type="dxa" w:w="2553"/>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Portal Agents tab</w:t>
            </w:r>
          </w:p>
        </w:tc>
        <w:tc>
          <w:tcPr>
            <w:tcW w:type="dxa" w:w="1702"/>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Evolves</w:t>
            </w:r>
          </w:p>
        </w:tc>
        <w:tc>
          <w:tcPr>
            <w:tcW w:type="dxa" w:w="5105"/>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Becomes audit log viewer, not execution interface</w:t>
            </w:r>
          </w:p>
        </w:tc>
      </w:tr>
      <w:tr>
        <w:tc>
          <w:tcPr>
            <w:tcW w:type="dxa" w:w="2553"/>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Single API key auth</w:t>
            </w:r>
          </w:p>
        </w:tc>
        <w:tc>
          <w:tcPr>
            <w:tcW w:type="dxa" w:w="1702"/>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Replaced</w:t>
            </w:r>
          </w:p>
        </w:tc>
        <w:tc>
          <w:tcPr>
            <w:tcW w:type="dxa" w:w="5105"/>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Per-user API keys with client scoping</w:t>
            </w:r>
          </w:p>
        </w:tc>
      </w:tr>
      <w:tr>
        <w:tc>
          <w:tcPr>
            <w:tcW w:type="dxa" w:w="2553"/>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MCP server</w:t>
            </w:r>
          </w:p>
        </w:tc>
        <w:tc>
          <w:tcPr>
            <w:tcW w:type="dxa" w:w="1702"/>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New</w:t>
            </w:r>
          </w:p>
        </w:tc>
        <w:tc>
          <w:tcPr>
            <w:tcW w:type="dxa" w:w="5105"/>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Thin wrapper for Claude users</w:t>
            </w:r>
          </w:p>
        </w:tc>
      </w:tr>
      <w:tr>
        <w:tc>
          <w:tcPr>
            <w:tcW w:type="dxa" w:w="2553"/>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OpenAPI spec</w:t>
            </w:r>
          </w:p>
        </w:tc>
        <w:tc>
          <w:tcPr>
            <w:tcW w:type="dxa" w:w="1702"/>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New</w:t>
            </w:r>
          </w:p>
        </w:tc>
        <w:tc>
          <w:tcPr>
            <w:tcW w:type="dxa" w:w="5105"/>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Serves ChatGPT and Gemini users</w:t>
            </w:r>
          </w:p>
        </w:tc>
      </w:tr>
      <w:tr>
        <w:tc>
          <w:tcPr>
            <w:tcW w:type="dxa" w:w="2553"/>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Audit logging middleware</w:t>
            </w:r>
          </w:p>
        </w:tc>
        <w:tc>
          <w:tcPr>
            <w:tcW w:type="dxa" w:w="1702"/>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New</w:t>
            </w:r>
          </w:p>
        </w:tc>
        <w:tc>
          <w:tcPr>
            <w:tcW w:type="dxa" w:w="5105"/>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Logs all tool calls by user and source</w:t>
            </w:r>
          </w:p>
        </w:tc>
      </w:tr>
    </w:tbl>
    <w:p>
      <w:pPr>
        <w:spacing w:after="80" w:before="0"/>
        <w:jc w:val="left"/>
      </w:pPr>
      <w:r>
        <w:rPr>
          <w:rFonts w:ascii="Manrope" w:cs="Manrope" w:eastAsia="Manrope" w:hAnsi="Manrope"/>
          <w:color w:val="0F1113"/>
          <w:sz w:val="22"/>
          <w:szCs w:val="22"/>
        </w:rPr>
        <w:t xml:space="preserve"/>
      </w:r>
    </w:p>
    <w:p>
      <w:pPr>
        <w:pStyle w:val="Heading1"/>
        <w:spacing w:after="120" w:before="360"/>
      </w:pPr>
      <w:r>
        <w:rPr>
          <w:rFonts w:ascii="Manrope" w:cs="Manrope" w:eastAsia="Manrope" w:hAnsi="Manrope"/>
          <w:b/>
          <w:bCs/>
          <w:color w:val="C5A059"/>
          <w:sz w:val="32"/>
          <w:szCs w:val="32"/>
        </w:rPr>
        <w:t xml:space="preserve">10. Implementation roadmap</w:t>
      </w:r>
    </w:p>
    <w:p>
      <w:pPr>
        <w:pStyle w:val="Heading2"/>
        <w:spacing w:after="120" w:before="240"/>
      </w:pPr>
      <w:r>
        <w:rPr>
          <w:rFonts w:ascii="Manrope" w:cs="Manrope" w:eastAsia="Manrope" w:hAnsi="Manrope"/>
          <w:b/>
          <w:bCs/>
          <w:color w:val="0F1113"/>
          <w:sz w:val="26"/>
          <w:szCs w:val="26"/>
        </w:rPr>
        <w:t xml:space="preserve">Phase 1: Foundation (1–2 weeks)</w:t>
      </w:r>
    </w:p>
    <w:p>
      <w:pPr>
        <w:pStyle w:val="ListParagraph"/>
        <w:numPr>
          <w:ilvl w:val="0"/>
          <w:numId w:val="2"/>
        </w:numPr>
        <w:spacing w:after="80"/>
        <w:ind w:left="720"/>
      </w:pPr>
      <w:r>
        <w:rPr>
          <w:rFonts w:ascii="Manrope" w:cs="Manrope" w:eastAsia="Manrope" w:hAnsi="Manrope"/>
          <w:color w:val="0F1113"/>
          <w:sz w:val="22"/>
          <w:szCs w:val="22"/>
        </w:rPr>
        <w:t xml:space="preserve">Per-user API key table and middleware in finance-api</w:t>
      </w:r>
    </w:p>
    <w:p>
      <w:pPr>
        <w:pStyle w:val="ListParagraph"/>
        <w:numPr>
          <w:ilvl w:val="0"/>
          <w:numId w:val="2"/>
        </w:numPr>
        <w:spacing w:after="80"/>
        <w:ind w:left="720"/>
      </w:pPr>
      <w:r>
        <w:rPr>
          <w:rFonts w:ascii="Manrope" w:cs="Manrope" w:eastAsia="Manrope" w:hAnsi="Manrope"/>
          <w:color w:val="0F1113"/>
          <w:sz w:val="22"/>
          <w:szCs w:val="22"/>
        </w:rPr>
        <w:t xml:space="preserve">Client-scoped access control</w:t>
      </w:r>
    </w:p>
    <w:p>
      <w:pPr>
        <w:pStyle w:val="ListParagraph"/>
        <w:numPr>
          <w:ilvl w:val="0"/>
          <w:numId w:val="2"/>
        </w:numPr>
        <w:spacing w:after="80"/>
        <w:ind w:left="720"/>
      </w:pPr>
      <w:r>
        <w:rPr>
          <w:rFonts w:ascii="Manrope" w:cs="Manrope" w:eastAsia="Manrope" w:hAnsi="Manrope"/>
          <w:color w:val="0F1113"/>
          <w:sz w:val="22"/>
          <w:szCs w:val="22"/>
        </w:rPr>
        <w:t xml:space="preserve">Audit logging middleware on all data endpoints</w:t>
      </w:r>
    </w:p>
    <w:p>
      <w:pPr>
        <w:pStyle w:val="ListParagraph"/>
        <w:numPr>
          <w:ilvl w:val="0"/>
          <w:numId w:val="2"/>
        </w:numPr>
        <w:spacing w:after="80"/>
        <w:ind w:left="720"/>
      </w:pPr>
      <w:r>
        <w:rPr>
          <w:rFonts w:ascii="Manrope" w:cs="Manrope" w:eastAsia="Manrope" w:hAnsi="Manrope"/>
          <w:color w:val="0F1113"/>
          <w:sz w:val="22"/>
          <w:szCs w:val="22"/>
        </w:rPr>
        <w:t xml:space="preserve">OpenAPI 3.1 spec document for existing endpoints</w:t>
      </w:r>
    </w:p>
    <w:p>
      <w:pPr>
        <w:pStyle w:val="Heading2"/>
        <w:spacing w:after="120" w:before="240"/>
      </w:pPr>
      <w:r>
        <w:rPr>
          <w:rFonts w:ascii="Manrope" w:cs="Manrope" w:eastAsia="Manrope" w:hAnsi="Manrope"/>
          <w:b/>
          <w:bCs/>
          <w:color w:val="0F1113"/>
          <w:sz w:val="26"/>
          <w:szCs w:val="26"/>
        </w:rPr>
        <w:t xml:space="preserve">Phase 2: MCP Server (1 week)</w:t>
      </w:r>
    </w:p>
    <w:p>
      <w:pPr>
        <w:pStyle w:val="ListParagraph"/>
        <w:numPr>
          <w:ilvl w:val="0"/>
          <w:numId w:val="2"/>
        </w:numPr>
        <w:spacing w:after="80"/>
        <w:ind w:left="720"/>
      </w:pPr>
      <w:r>
        <w:rPr>
          <w:rFonts w:ascii="Manrope" w:cs="Manrope" w:eastAsia="Manrope" w:hAnsi="Manrope"/>
          <w:color w:val="0F1113"/>
          <w:sz w:val="22"/>
          <w:szCs w:val="22"/>
        </w:rPr>
        <w:t xml:space="preserve">MCP server package wrapping the finance-api endpoints</w:t>
      </w:r>
    </w:p>
    <w:p>
      <w:pPr>
        <w:pStyle w:val="ListParagraph"/>
        <w:numPr>
          <w:ilvl w:val="0"/>
          <w:numId w:val="2"/>
        </w:numPr>
        <w:spacing w:after="80"/>
        <w:ind w:left="720"/>
      </w:pPr>
      <w:r>
        <w:rPr>
          <w:rFonts w:ascii="Manrope" w:cs="Manrope" w:eastAsia="Manrope" w:hAnsi="Manrope"/>
          <w:color w:val="0F1113"/>
          <w:sz w:val="22"/>
          <w:szCs w:val="22"/>
        </w:rPr>
        <w:t xml:space="preserve">Local stdio transport for Claude Desktop</w:t>
      </w:r>
    </w:p>
    <w:p>
      <w:pPr>
        <w:pStyle w:val="ListParagraph"/>
        <w:numPr>
          <w:ilvl w:val="0"/>
          <w:numId w:val="2"/>
        </w:numPr>
        <w:spacing w:after="80"/>
        <w:ind w:left="720"/>
      </w:pPr>
      <w:r>
        <w:rPr>
          <w:rFonts w:ascii="Manrope" w:cs="Manrope" w:eastAsia="Manrope" w:hAnsi="Manrope"/>
          <w:color w:val="0F1113"/>
          <w:sz w:val="22"/>
          <w:szCs w:val="22"/>
        </w:rPr>
        <w:t xml:space="preserve">Test with Cowork and Claude Code</w:t>
      </w:r>
    </w:p>
    <w:p>
      <w:pPr>
        <w:pStyle w:val="Heading2"/>
        <w:spacing w:after="120" w:before="240"/>
      </w:pPr>
      <w:r>
        <w:rPr>
          <w:rFonts w:ascii="Manrope" w:cs="Manrope" w:eastAsia="Manrope" w:hAnsi="Manrope"/>
          <w:b/>
          <w:bCs/>
          <w:color w:val="0F1113"/>
          <w:sz w:val="26"/>
          <w:szCs w:val="26"/>
        </w:rPr>
        <w:t xml:space="preserve">Phase 3: GPT Actions (1 week)</w:t>
      </w:r>
    </w:p>
    <w:p>
      <w:pPr>
        <w:pStyle w:val="ListParagraph"/>
        <w:numPr>
          <w:ilvl w:val="0"/>
          <w:numId w:val="2"/>
        </w:numPr>
        <w:spacing w:after="80"/>
        <w:ind w:left="720"/>
      </w:pPr>
      <w:r>
        <w:rPr>
          <w:rFonts w:ascii="Manrope" w:cs="Manrope" w:eastAsia="Manrope" w:hAnsi="Manrope"/>
          <w:color w:val="0F1113"/>
          <w:sz w:val="22"/>
          <w:szCs w:val="22"/>
        </w:rPr>
        <w:t xml:space="preserve">Register OpenAPI spec as a ChatGPT custom GPT Action</w:t>
      </w:r>
    </w:p>
    <w:p>
      <w:pPr>
        <w:pStyle w:val="ListParagraph"/>
        <w:numPr>
          <w:ilvl w:val="0"/>
          <w:numId w:val="2"/>
        </w:numPr>
        <w:spacing w:after="80"/>
        <w:ind w:left="720"/>
      </w:pPr>
      <w:r>
        <w:rPr>
          <w:rFonts w:ascii="Manrope" w:cs="Manrope" w:eastAsia="Manrope" w:hAnsi="Manrope"/>
          <w:color w:val="0F1113"/>
          <w:sz w:val="22"/>
          <w:szCs w:val="22"/>
        </w:rPr>
        <w:t xml:space="preserve">Test end-to-end with ChatGPT Plus</w:t>
      </w:r>
    </w:p>
    <w:p>
      <w:pPr>
        <w:pStyle w:val="ListParagraph"/>
        <w:numPr>
          <w:ilvl w:val="0"/>
          <w:numId w:val="2"/>
        </w:numPr>
        <w:spacing w:after="80"/>
        <w:ind w:left="720"/>
      </w:pPr>
      <w:r>
        <w:rPr>
          <w:rFonts w:ascii="Manrope" w:cs="Manrope" w:eastAsia="Manrope" w:hAnsi="Manrope"/>
          <w:color w:val="0F1113"/>
          <w:sz w:val="22"/>
          <w:szCs w:val="22"/>
        </w:rPr>
        <w:t xml:space="preserve">Register same spec as Gemini Extension</w:t>
      </w:r>
    </w:p>
    <w:p>
      <w:pPr>
        <w:pStyle w:val="Heading2"/>
        <w:spacing w:after="120" w:before="240"/>
      </w:pPr>
      <w:r>
        <w:rPr>
          <w:rFonts w:ascii="Manrope" w:cs="Manrope" w:eastAsia="Manrope" w:hAnsi="Manrope"/>
          <w:b/>
          <w:bCs/>
          <w:color w:val="0F1113"/>
          <w:sz w:val="26"/>
          <w:szCs w:val="26"/>
        </w:rPr>
        <w:t xml:space="preserve">Phase 4: Production and onboarding (1 week)</w:t>
      </w:r>
    </w:p>
    <w:p>
      <w:pPr>
        <w:pStyle w:val="ListParagraph"/>
        <w:numPr>
          <w:ilvl w:val="0"/>
          <w:numId w:val="2"/>
        </w:numPr>
        <w:spacing w:after="80"/>
        <w:ind w:left="720"/>
      </w:pPr>
      <w:r>
        <w:rPr>
          <w:rFonts w:ascii="Manrope" w:cs="Manrope" w:eastAsia="Manrope" w:hAnsi="Manrope"/>
          <w:color w:val="0F1113"/>
          <w:sz w:val="22"/>
          <w:szCs w:val="22"/>
        </w:rPr>
        <w:t xml:space="preserve">Deploy MCP server as Cloud Run SSE endpoint (remote access)</w:t>
      </w:r>
    </w:p>
    <w:p>
      <w:pPr>
        <w:pStyle w:val="ListParagraph"/>
        <w:numPr>
          <w:ilvl w:val="0"/>
          <w:numId w:val="2"/>
        </w:numPr>
        <w:spacing w:after="80"/>
        <w:ind w:left="720"/>
      </w:pPr>
      <w:r>
        <w:rPr>
          <w:rFonts w:ascii="Manrope" w:cs="Manrope" w:eastAsia="Manrope" w:hAnsi="Manrope"/>
          <w:color w:val="0F1113"/>
          <w:sz w:val="22"/>
          <w:szCs w:val="22"/>
        </w:rPr>
        <w:t xml:space="preserve">User onboarding flow — key generation, MCP config, GPT Action setup</w:t>
      </w:r>
    </w:p>
    <w:p>
      <w:pPr>
        <w:pStyle w:val="ListParagraph"/>
        <w:numPr>
          <w:ilvl w:val="0"/>
          <w:numId w:val="2"/>
        </w:numPr>
        <w:spacing w:after="80"/>
        <w:ind w:left="720"/>
      </w:pPr>
      <w:r>
        <w:rPr>
          <w:rFonts w:ascii="Manrope" w:cs="Manrope" w:eastAsia="Manrope" w:hAnsi="Manrope"/>
          <w:color w:val="0F1113"/>
          <w:sz w:val="22"/>
          <w:szCs w:val="22"/>
        </w:rPr>
        <w:t xml:space="preserve">Portal audit trail viewer</w:t>
      </w:r>
    </w:p>
    <w:p>
      <w:pPr>
        <w:pStyle w:val="ListParagraph"/>
        <w:numPr>
          <w:ilvl w:val="0"/>
          <w:numId w:val="2"/>
        </w:numPr>
        <w:spacing w:after="80"/>
        <w:ind w:left="720"/>
      </w:pPr>
      <w:r>
        <w:rPr>
          <w:rFonts w:ascii="Manrope" w:cs="Manrope" w:eastAsia="Manrope" w:hAnsi="Manrope"/>
          <w:color w:val="0F1113"/>
          <w:sz w:val="22"/>
          <w:szCs w:val="22"/>
        </w:rPr>
        <w:t xml:space="preserve">Pricing page and terms</w:t>
      </w:r>
    </w:p>
    <w:p>
      <w:pPr>
        <w:pStyle w:val="Heading1"/>
        <w:spacing w:after="120" w:before="360"/>
      </w:pPr>
      <w:r>
        <w:rPr>
          <w:rFonts w:ascii="Manrope" w:cs="Manrope" w:eastAsia="Manrope" w:hAnsi="Manrope"/>
          <w:b/>
          <w:bCs/>
          <w:color w:val="C5A059"/>
          <w:sz w:val="32"/>
          <w:szCs w:val="32"/>
        </w:rPr>
        <w:t xml:space="preserve">11. Risks and considerations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c>
          <w:tcPr>
            <w:tcW w:type="dxa" w:w="3744"/>
            <w:tcBorders>
              <w:top w:val="single" w:color="D4C5A9" w:sz="1"/>
              <w:left w:val="single" w:color="D4C5A9" w:sz="1"/>
              <w:bottom w:val="single" w:color="D4C5A9" w:sz="1"/>
              <w:right w:val="single" w:color="D4C5A9" w:sz="1"/>
            </w:tcBorders>
            <w:shd w:fill="1A1C1E" w:val="clear"/>
          </w:tcPr>
          <w:p>
            <w:pPr>
              <w:spacing w:after="40" w:before="40"/>
            </w:pPr>
            <w:r>
              <w:rPr>
                <w:rFonts w:ascii="Manrope" w:cs="Manrope" w:eastAsia="Manrope" w:hAnsi="Manrope"/>
                <w:b/>
                <w:bCs/>
                <w:color w:val="C5A059"/>
                <w:sz w:val="18"/>
                <w:szCs w:val="18"/>
              </w:rPr>
              <w:t xml:space="preserve">Risk</w:t>
            </w:r>
          </w:p>
        </w:tc>
        <w:tc>
          <w:tcPr>
            <w:tcW w:type="dxa" w:w="5616"/>
            <w:tcBorders>
              <w:top w:val="single" w:color="D4C5A9" w:sz="1"/>
              <w:left w:val="single" w:color="D4C5A9" w:sz="1"/>
              <w:bottom w:val="single" w:color="D4C5A9" w:sz="1"/>
              <w:right w:val="single" w:color="D4C5A9" w:sz="1"/>
            </w:tcBorders>
            <w:shd w:fill="1A1C1E" w:val="clear"/>
          </w:tcPr>
          <w:p>
            <w:pPr>
              <w:spacing w:after="40" w:before="40"/>
            </w:pPr>
            <w:r>
              <w:rPr>
                <w:rFonts w:ascii="Manrope" w:cs="Manrope" w:eastAsia="Manrope" w:hAnsi="Manrope"/>
                <w:b/>
                <w:bCs/>
                <w:color w:val="C5A059"/>
                <w:sz w:val="18"/>
                <w:szCs w:val="18"/>
              </w:rPr>
              <w:t xml:space="preserve">Mitigation</w:t>
            </w:r>
          </w:p>
        </w:tc>
      </w:tr>
      <w:tr>
        <w:tc>
          <w:tcPr>
            <w:tcW w:type="dxa" w:w="3744"/>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Users may not know how to configure MCP/GPT Actions</w:t>
            </w:r>
          </w:p>
        </w:tc>
        <w:tc>
          <w:tcPr>
            <w:tcW w:type="dxa" w:w="5616"/>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Provide step-by-step setup guides per platform; offer onboarding call</w:t>
            </w:r>
          </w:p>
        </w:tc>
      </w:tr>
      <w:tr>
        <w:tc>
          <w:tcPr>
            <w:tcW w:type="dxa" w:w="3744"/>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Rate limiting — a runaway AI could hammer the Xero API</w:t>
            </w:r>
          </w:p>
        </w:tc>
        <w:tc>
          <w:tcPr>
            <w:tcW w:type="dxa" w:w="5616"/>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Per-user rate limits in the API middleware; Xero's own rate limits provide a backstop</w:t>
            </w:r>
          </w:p>
        </w:tc>
      </w:tr>
      <w:tr>
        <w:tc>
          <w:tcPr>
            <w:tcW w:type="dxa" w:w="3744"/>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Data leakage — AI providers may log tool responses</w:t>
            </w:r>
          </w:p>
        </w:tc>
        <w:tc>
          <w:tcPr>
            <w:tcW w:type="dxa" w:w="5616"/>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Document this in terms of service; enterprise customers use private AI deployments</w:t>
            </w:r>
          </w:p>
        </w:tc>
      </w:tr>
      <w:tr>
        <w:tc>
          <w:tcPr>
            <w:tcW w:type="dxa" w:w="3744"/>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Xero token rotation under concurrent access</w:t>
            </w:r>
          </w:p>
        </w:tc>
        <w:tc>
          <w:tcPr>
            <w:tcW w:type="dxa" w:w="5616"/>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Already handled — token refresh is atomic via Secret Manager; add mutex if needed</w:t>
            </w:r>
          </w:p>
        </w:tc>
      </w:tr>
      <w:tr>
        <w:tc>
          <w:tcPr>
            <w:tcW w:type="dxa" w:w="3744"/>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ChatGPT/Gemini may sunset their extension protocols</w:t>
            </w:r>
          </w:p>
        </w:tc>
        <w:tc>
          <w:tcPr>
            <w:tcW w:type="dxa" w:w="5616"/>
            <w:tcBorders>
              <w:top w:val="single" w:color="D4C5A9" w:sz="1"/>
              <w:left w:val="single" w:color="D4C5A9" w:sz="1"/>
              <w:bottom w:val="single" w:color="D4C5A9" w:sz="1"/>
              <w:right w:val="single" w:color="D4C5A9" w:sz="1"/>
            </w:tcBorders>
            <w:shd w:fill="FFFFFF" w:val="clear"/>
          </w:tcPr>
          <w:p>
            <w:pPr>
              <w:spacing w:after="40" w:before="40"/>
            </w:pPr>
            <w:r>
              <w:rPr>
                <w:rFonts w:ascii="Manrope" w:cs="Manrope" w:eastAsia="Manrope" w:hAnsi="Manrope"/>
                <w:b w:val="false"/>
                <w:bCs w:val="false"/>
                <w:color w:val="0F1113"/>
                <w:sz w:val="20"/>
                <w:szCs w:val="20"/>
              </w:rPr>
              <w:t xml:space="preserve">OpenAPI is the standard, unlikely to break; MCP is Anthropic-controlled</w:t>
            </w:r>
          </w:p>
        </w:tc>
      </w:tr>
    </w:tbl>
    <w:p>
      <w:pPr>
        <w:spacing w:after="80" w:before="0"/>
        <w:jc w:val="left"/>
      </w:pPr>
      <w:r>
        <w:rPr>
          <w:rFonts w:ascii="Manrope" w:cs="Manrope" w:eastAsia="Manrope" w:hAnsi="Manrope"/>
          <w:color w:val="0F1113"/>
          <w:sz w:val="22"/>
          <w:szCs w:val="22"/>
        </w:rPr>
        <w:t xml:space="preserve"/>
      </w:r>
    </w:p>
    <w:p>
      <w:pPr>
        <w:pBdr>
          <w:bottom w:val="single" w:color="D4C5A9" w:sz="1"/>
        </w:pBdr>
        <w:spacing w:after="200" w:before="200"/>
      </w:pPr>
    </w:p>
    <w:p>
      <w:pPr>
        <w:spacing w:after="160" w:before="0"/>
        <w:jc w:val="left"/>
      </w:pPr>
      <w:r>
        <w:rPr>
          <w:rFonts w:ascii="Manrope" w:cs="Manrope" w:eastAsia="Manrope" w:hAnsi="Manrope"/>
          <w:i/>
          <w:iCs/>
          <w:color w:val="8E9196"/>
          <w:sz w:val="18"/>
          <w:szCs w:val="18"/>
        </w:rPr>
        <w:t xml:space="preserve">This scoping memo is a working document. It does not constitute legal or financial advice. Implementation decisions should be validated against current API documentation for each platform before build.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2026-08-07T13:22:29.770Z</dcterms:created>
  <dcterms:modified xsi:type="dcterms:W3CDTF">2026-08-07T13:22:29.770Z</dcterms:modified>
</cp:coreProperties>
</file>

<file path=docProps/custom.xml><?xml version="1.0" encoding="utf-8"?>
<Properties xmlns="http://schemas.openxmlformats.org/officeDocument/2006/custom-properties" xmlns:vt="http://schemas.openxmlformats.org/officeDocument/2006/docPropsVTypes"/>
</file>