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Manrope" w:cs="Manrope" w:eastAsia="Manrope" w:hAnsi="Manrope"/>
          <w:b/>
          <w:bCs/>
          <w:color w:val="1A1C1E"/>
          <w:sz w:val="48"/>
          <w:szCs w:val="48"/>
        </w:rPr>
        <w:t xml:space="preserve">STZA Finance Platform</w:t>
      </w:r>
    </w:p>
    <w:p>
      <w:pPr>
        <w:spacing w:after="200"/>
        <w:jc w:val="center"/>
      </w:pPr>
      <w:r>
        <w:rPr>
          <w:rFonts w:ascii="Manrope" w:cs="Manrope" w:eastAsia="Manrope" w:hAnsi="Manrope"/>
          <w:b/>
          <w:bCs/>
          <w:color w:val="C5A059"/>
          <w:sz w:val="32"/>
          <w:szCs w:val="32"/>
        </w:rPr>
        <w:t xml:space="preserve">BYOAI Architecture Scoping Memo</w:t>
      </w:r>
    </w:p>
    <w:p>
      <w:pPr>
        <w:pBdr>
          <w:bottom w:val="single" w:color="C5A059" w:sz="2" w:space="4"/>
        </w:pBdr>
        <w:spacing w:after="200" w:before="200"/>
      </w:pPr>
    </w:p>
    <w:p>
      <w:pPr>
        <w:spacing w:after="60"/>
        <w:jc w:val="center"/>
      </w:pPr>
      <w:r>
        <w:rPr>
          <w:rFonts w:ascii="Manrope" w:cs="Manrope" w:eastAsia="Manrope" w:hAnsi="Manrope"/>
          <w:color w:val="8E9196"/>
          <w:sz w:val="22"/>
          <w:szCs w:val="22"/>
        </w:rPr>
        <w:t xml:space="preserve">Version 2.0  —  13 August 2026</w:t>
      </w:r>
    </w:p>
    <w:p>
      <w:pPr>
        <w:spacing w:after="60"/>
        <w:jc w:val="center"/>
      </w:pPr>
      <w:r>
        <w:rPr>
          <w:rFonts w:ascii="Manrope" w:cs="Manrope" w:eastAsia="Manrope" w:hAnsi="Manrope"/>
          <w:color w:val="8E9196"/>
          <w:sz w:val="22"/>
          <w:szCs w:val="22"/>
        </w:rPr>
        <w:t xml:space="preserve">Author: Nik Mladenovic, CA(SA)  |  Sports Tech Africa Ltd</w:t>
      </w:r>
    </w:p>
    <w:p>
      <w:pPr>
        <w:spacing w:after="200"/>
        <w:jc w:val="center"/>
      </w:pPr>
      <w:r>
        <w:rPr>
          <w:rFonts w:ascii="Manrope" w:cs="Manrope" w:eastAsia="Manrope" w:hAnsi="Manrope"/>
          <w:color w:val="8E9196"/>
          <w:sz w:val="20"/>
          <w:szCs w:val="20"/>
        </w:rPr>
        <w:t xml:space="preserve">Classification: Internal — Advisors and Partners</w:t>
      </w:r>
    </w:p>
    <w:p>
      <w:pPr>
        <w:pBdr>
          <w:bottom w:val="single" w:color="C5A059" w:sz="2" w:space="4"/>
        </w:pBdr>
        <w:spacing w:after="200" w:before="200"/>
      </w:pPr>
    </w:p>
    <w:p>
      <w:pPr>
        <w:spacing w:after="60" w:before="400"/>
        <w:jc w:val="center"/>
      </w:pPr>
      <w:r>
        <w:rPr>
          <w:rFonts w:ascii="Manrope" w:cs="Manrope" w:eastAsia="Manrope" w:hAnsi="Manrope"/>
          <w:i/>
          <w:iCs/>
          <w:color w:val="8E9196"/>
          <w:sz w:val="18"/>
          <w:szCs w:val="18"/>
        </w:rPr>
        <w:t xml:space="preserve">Supersedes: v1.0 (7 August 2026)</w:t>
      </w:r>
    </w:p>
    <w:p>
      <w:pPr>
        <w:spacing w:after="60"/>
        <w:jc w:val="center"/>
      </w:pPr>
      <w:r>
        <w:rPr>
          <w:rFonts w:ascii="Manrope" w:cs="Manrope" w:eastAsia="Manrope" w:hAnsi="Manrope"/>
          <w:i/>
          <w:iCs/>
          <w:color w:val="8E9196"/>
          <w:sz w:val="18"/>
          <w:szCs w:val="18"/>
        </w:rPr>
        <w:t xml:space="preserve">Additions in v2.0: Xero AI policy confirmation, pricing model,</w:t>
      </w:r>
    </w:p>
    <w:p>
      <w:pPr>
        <w:jc w:val="center"/>
      </w:pPr>
      <w:r>
        <w:rPr>
          <w:rFonts w:ascii="Manrope" w:cs="Manrope" w:eastAsia="Manrope" w:hAnsi="Manrope"/>
          <w:i/>
          <w:iCs/>
          <w:color w:val="8E9196"/>
          <w:sz w:val="18"/>
          <w:szCs w:val="18"/>
        </w:rPr>
        <w:t xml:space="preserve">security architecture, regulatory requirements, competitive positioning</w:t>
      </w:r>
    </w:p>
    <w:p>
      <w:r>
        <w:br w:type="page"/>
      </w:r>
    </w:p>
    <w:p>
      <w:pPr>
        <w:pStyle w:val="Heading1"/>
        <w:spacing w:after="120" w:before="400"/>
      </w:pPr>
      <w:r>
        <w:rPr>
          <w:rFonts w:ascii="Manrope" w:cs="Manrope" w:eastAsia="Manrope" w:hAnsi="Manrope"/>
          <w:b/>
          <w:bCs/>
          <w:color w:val="1A1C1E"/>
          <w:sz w:val="32"/>
          <w:szCs w:val="32"/>
        </w:rPr>
        <w:t xml:space="preserve">1. Executive summary</w:t>
      </w:r>
    </w:p>
    <w:p>
      <w:pPr>
        <w:spacing w:after="120"/>
      </w:pPr>
      <w:r>
        <w:rPr>
          <w:rFonts w:ascii="Manrope" w:cs="Manrope" w:eastAsia="Manrope" w:hAnsi="Manrope"/>
          <w:color w:val="0F1113"/>
          <w:sz w:val="22"/>
          <w:szCs w:val="22"/>
        </w:rPr>
        <w:t xml:space="preserve">The STZA Finance Platform provides AI-powered finance tools backed by live accounting data from Xero. Rather than hosting an AI chatbot (and absorbing per-token inference costs), the platform follows a </w:t>
      </w:r>
    </w:p>
    <w:p>
      <w:pPr>
        <w:spacing w:after="120"/>
      </w:pPr>
      <w:r>
        <w:rPr>
          <w:rFonts w:ascii="Manrope" w:cs="Manrope" w:eastAsia="Manrope" w:hAnsi="Manrope"/>
          <w:b/>
          <w:bCs/>
          <w:color w:val="0F1113"/>
          <w:sz w:val="22"/>
          <w:szCs w:val="22"/>
        </w:rPr>
        <w:t xml:space="preserve">Bring Your Own AI (BYOAI)</w:t>
      </w:r>
      <w:r>
        <w:rPr>
          <w:rFonts w:ascii="Manrope" w:cs="Manrope" w:eastAsia="Manrope" w:hAnsi="Manrope"/>
          <w:color w:val="0F1113"/>
          <w:sz w:val="22"/>
          <w:szCs w:val="22"/>
        </w:rPr>
        <w:t xml:space="preserve"> model: users connect from their existing Claude, ChatGPT, or Gemini subscription. STZA provides the tools, data connections, client context, and audit trail. Users provide the AI.</w:t>
      </w:r>
    </w:p>
    <w:p>
      <w:pPr>
        <w:spacing w:after="120"/>
      </w:pPr>
      <w:r>
        <w:rPr>
          <w:rFonts w:ascii="Manrope" w:cs="Manrope" w:eastAsia="Manrope" w:hAnsi="Manrope"/>
          <w:color w:val="0F1113"/>
          <w:sz w:val="22"/>
          <w:szCs w:val="22"/>
        </w:rPr>
        <w:t xml:space="preserve">This architecture eliminates AI compute cost for STZA, avoids the liability and abuse risks of hosting a conversational agent, and positions the platform as infrastructure rather than a point solution.</w:t>
      </w:r>
    </w:p>
    <w:p>
      <w:pPr>
        <w:spacing w:after="120"/>
      </w:pPr>
      <w:r>
        <w:rPr>
          <w:rFonts w:ascii="Manrope" w:cs="Manrope" w:eastAsia="Manrope" w:hAnsi="Manrope"/>
          <w:color w:val="0F1113"/>
          <w:sz w:val="22"/>
          <w:szCs w:val="22"/>
        </w:rPr>
        <w:t xml:space="preserve">The platform serves fractional CFOs, finance directors, and accounting teams managing multiple Xero entities. It is operated by Sports Tech Africa Ltd (STZA), a UK entity, with initial focus on UK and South African SMEs.</w:t>
      </w:r>
    </w:p>
    <w:p>
      <w:pPr>
        <w:pStyle w:val="Heading1"/>
        <w:spacing w:after="120" w:before="400"/>
      </w:pPr>
      <w:r>
        <w:rPr>
          <w:rFonts w:ascii="Manrope" w:cs="Manrope" w:eastAsia="Manrope" w:hAnsi="Manrope"/>
          <w:b/>
          <w:bCs/>
          <w:color w:val="1A1C1E"/>
          <w:sz w:val="32"/>
          <w:szCs w:val="32"/>
        </w:rPr>
        <w:t xml:space="preserve">2. Current state</w:t>
      </w:r>
    </w:p>
    <w:p>
      <w:pPr>
        <w:spacing w:after="120"/>
      </w:pPr>
      <w:r>
        <w:rPr>
          <w:rFonts w:ascii="Manrope" w:cs="Manrope" w:eastAsia="Manrope" w:hAnsi="Manrope"/>
          <w:color w:val="0F1113"/>
          <w:sz w:val="22"/>
          <w:szCs w:val="22"/>
        </w:rPr>
        <w:t xml:space="preserve">The finance-api (Express on Cloud Run) is live and provides:</w:t>
      </w:r>
    </w:p>
    <w:p>
      <w:pPr>
        <w:pStyle w:val="ListParagraph"/>
        <w:numPr>
          <w:ilvl w:val="0"/>
          <w:numId w:val="2"/>
        </w:numPr>
        <w:spacing w:after="60"/>
      </w:pPr>
      <w:r>
        <w:rPr>
          <w:rFonts w:ascii="Manrope" w:cs="Manrope" w:eastAsia="Manrope" w:hAnsi="Manrope"/>
          <w:color w:val="0F1113"/>
          <w:sz w:val="22"/>
          <w:szCs w:val="22"/>
        </w:rPr>
        <w:t xml:space="preserve">8 Xero data endpoints: trial balance, P&amp;L, balance sheet, bank summary, aged receivables, aged payables, chart of accounts, entity listing</w:t>
      </w:r>
    </w:p>
    <w:p>
      <w:pPr>
        <w:pStyle w:val="ListParagraph"/>
        <w:numPr>
          <w:ilvl w:val="0"/>
          <w:numId w:val="2"/>
        </w:numPr>
        <w:spacing w:after="60"/>
      </w:pPr>
      <w:r>
        <w:rPr>
          <w:rFonts w:ascii="Manrope" w:cs="Manrope" w:eastAsia="Manrope" w:hAnsi="Manrope"/>
          <w:color w:val="0F1113"/>
          <w:sz w:val="22"/>
          <w:szCs w:val="22"/>
        </w:rPr>
        <w:t xml:space="preserve">Client and entity management: multi-client, multi-entity, with Xero OAuth token rotation via GCP Secret Manager</w:t>
      </w:r>
    </w:p>
    <w:p>
      <w:pPr>
        <w:pStyle w:val="ListParagraph"/>
        <w:numPr>
          <w:ilvl w:val="0"/>
          <w:numId w:val="2"/>
        </w:numPr>
        <w:spacing w:after="60"/>
      </w:pPr>
      <w:r>
        <w:rPr>
          <w:rFonts w:ascii="Manrope" w:cs="Manrope" w:eastAsia="Manrope" w:hAnsi="Manrope"/>
          <w:color w:val="0F1113"/>
          <w:sz w:val="22"/>
          <w:szCs w:val="22"/>
        </w:rPr>
        <w:t xml:space="preserve">Agent job queue: queue, claim, execute, complete pattern with PostgreSQL row locking</w:t>
      </w:r>
    </w:p>
    <w:p>
      <w:pPr>
        <w:pStyle w:val="ListParagraph"/>
        <w:numPr>
          <w:ilvl w:val="0"/>
          <w:numId w:val="2"/>
        </w:numPr>
        <w:spacing w:after="60"/>
      </w:pPr>
      <w:r>
        <w:rPr>
          <w:rFonts w:ascii="Manrope" w:cs="Manrope" w:eastAsia="Manrope" w:hAnsi="Manrope"/>
          <w:color w:val="0F1113"/>
          <w:sz w:val="22"/>
          <w:szCs w:val="22"/>
        </w:rPr>
        <w:t xml:space="preserve">Agent runner (runner.js): standalone process that polls for jobs, calls the Anthropic Messages API with Xero-backed tools, reports results</w:t>
      </w:r>
    </w:p>
    <w:p>
      <w:pPr>
        <w:pStyle w:val="ListParagraph"/>
        <w:numPr>
          <w:ilvl w:val="0"/>
          <w:numId w:val="2"/>
        </w:numPr>
        <w:spacing w:after="60"/>
      </w:pPr>
      <w:r>
        <w:rPr>
          <w:rFonts w:ascii="Manrope" w:cs="Manrope" w:eastAsia="Manrope" w:hAnsi="Manrope"/>
          <w:color w:val="0F1113"/>
          <w:sz w:val="22"/>
          <w:szCs w:val="22"/>
        </w:rPr>
        <w:t xml:space="preserve">Portal UI at os.stza.io with agent identity badges, markdown output rendering, and job history</w:t>
      </w:r>
    </w:p>
    <w:p>
      <w:pPr>
        <w:spacing w:after="120"/>
      </w:pPr>
      <w:r>
        <w:rPr>
          <w:rFonts w:ascii="Manrope" w:cs="Manrope" w:eastAsia="Manrope" w:hAnsi="Manrope"/>
          <w:color w:val="0F1113"/>
          <w:sz w:val="22"/>
          <w:szCs w:val="22"/>
        </w:rPr>
        <w:t xml:space="preserve">The runner works end-to-end. However, every job costs STZA $0.02–$0.25 in Anthropic API fees, users who already pay for Claude Max or ChatGPT Plus are paying twice, and the portal's agent output is non-interactive (queue and wait, no conversation).</w:t>
      </w:r>
    </w:p>
    <w:p>
      <w:pPr>
        <w:pStyle w:val="Heading1"/>
        <w:spacing w:after="120" w:before="400"/>
      </w:pPr>
      <w:r>
        <w:rPr>
          <w:rFonts w:ascii="Manrope" w:cs="Manrope" w:eastAsia="Manrope" w:hAnsi="Manrope"/>
          <w:b/>
          <w:bCs/>
          <w:color w:val="1A1C1E"/>
          <w:sz w:val="32"/>
          <w:szCs w:val="32"/>
        </w:rPr>
        <w:t xml:space="preserve">3. Proposed architecture: BYOAI</w:t>
      </w:r>
    </w:p>
    <w:p>
      <w:pPr>
        <w:spacing w:after="120"/>
      </w:pPr>
      <w:r>
        <w:rPr>
          <w:rFonts w:ascii="Manrope" w:cs="Manrope" w:eastAsia="Manrope" w:hAnsi="Manrope"/>
          <w:color w:val="0F1113"/>
          <w:sz w:val="22"/>
          <w:szCs w:val="22"/>
        </w:rPr>
        <w:t xml:space="preserve">The finance-api stays as the authoritative data and tools layer. Instead of wrapping it in a runner that calls an LLM, we expose it directly to AI clients through three integration surfaces.</w:t>
      </w:r>
    </w:p>
    <w:p>
      <w:pPr>
        <w:pStyle w:val="Heading2"/>
        <w:spacing w:after="120" w:before="240"/>
      </w:pPr>
      <w:r>
        <w:rPr>
          <w:rFonts w:ascii="Manrope" w:cs="Manrope" w:eastAsia="Manrope" w:hAnsi="Manrope"/>
          <w:b/>
          <w:bCs/>
          <w:color w:val="1A1C1E"/>
          <w:sz w:val="26"/>
          <w:szCs w:val="26"/>
        </w:rPr>
        <w:t xml:space="preserve">3.1 Integration surfaces</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2000"/>
        <w:gridCol w:w="2800"/>
        <w:gridCol w:w="2600"/>
        <w:gridCol w:w="1672"/>
      </w:tblGrid>
      <w:tr>
        <w:trPr>
          <w:tblHeader/>
        </w:trPr>
        <w:tc>
          <w:tcPr>
            <w:tcW w:type="dxa" w:w="2000"/>
            <w:shd w:fill="1A1C1E" w:val="clear"/>
          </w:tcPr>
          <w:p>
            <w:pPr>
              <w:spacing w:after="40" w:before="40"/>
            </w:pPr>
            <w:r>
              <w:rPr>
                <w:rFonts w:ascii="Manrope" w:cs="Manrope" w:eastAsia="Manrope" w:hAnsi="Manrope"/>
                <w:b/>
                <w:bCs/>
                <w:color w:val="FFFFFF"/>
                <w:sz w:val="20"/>
                <w:szCs w:val="20"/>
              </w:rPr>
              <w:t xml:space="preserve">Surface</w:t>
            </w:r>
          </w:p>
        </w:tc>
        <w:tc>
          <w:tcPr>
            <w:tcW w:type="dxa" w:w="2800"/>
            <w:shd w:fill="1A1C1E" w:val="clear"/>
          </w:tcPr>
          <w:p>
            <w:pPr>
              <w:spacing w:after="40" w:before="40"/>
            </w:pPr>
            <w:r>
              <w:rPr>
                <w:rFonts w:ascii="Manrope" w:cs="Manrope" w:eastAsia="Manrope" w:hAnsi="Manrope"/>
                <w:b/>
                <w:bCs/>
                <w:color w:val="FFFFFF"/>
                <w:sz w:val="20"/>
                <w:szCs w:val="20"/>
              </w:rPr>
              <w:t xml:space="preserve">AI client</w:t>
            </w:r>
          </w:p>
        </w:tc>
        <w:tc>
          <w:tcPr>
            <w:tcW w:type="dxa" w:w="2600"/>
            <w:shd w:fill="1A1C1E" w:val="clear"/>
          </w:tcPr>
          <w:p>
            <w:pPr>
              <w:spacing w:after="40" w:before="40"/>
            </w:pPr>
            <w:r>
              <w:rPr>
                <w:rFonts w:ascii="Manrope" w:cs="Manrope" w:eastAsia="Manrope" w:hAnsi="Manrope"/>
                <w:b/>
                <w:bCs/>
                <w:color w:val="FFFFFF"/>
                <w:sz w:val="20"/>
                <w:szCs w:val="20"/>
              </w:rPr>
              <w:t xml:space="preserve">Protocol</w:t>
            </w:r>
          </w:p>
        </w:tc>
        <w:tc>
          <w:tcPr>
            <w:tcW w:type="dxa" w:w="1672"/>
            <w:shd w:fill="1A1C1E" w:val="clear"/>
          </w:tcPr>
          <w:p>
            <w:pPr>
              <w:spacing w:after="40" w:before="40"/>
            </w:pPr>
            <w:r>
              <w:rPr>
                <w:rFonts w:ascii="Manrope" w:cs="Manrope" w:eastAsia="Manrope" w:hAnsi="Manrope"/>
                <w:b/>
                <w:bCs/>
                <w:color w:val="FFFFFF"/>
                <w:sz w:val="20"/>
                <w:szCs w:val="20"/>
              </w:rPr>
              <w:t xml:space="preserve">Effort</w:t>
            </w:r>
          </w:p>
        </w:tc>
      </w:tr>
      <w:tr>
        <w:tc>
          <w:tcPr>
            <w:tcW w:type="dxa" w:w="2000"/>
            <w:shd w:fill="FFFFFF" w:val="clear"/>
          </w:tcPr>
          <w:p>
            <w:pPr>
              <w:spacing w:after="40" w:before="40"/>
            </w:pPr>
            <w:r>
              <w:rPr>
                <w:rFonts w:ascii="Manrope" w:cs="Manrope" w:eastAsia="Manrope" w:hAnsi="Manrope"/>
                <w:color w:val="0F1113"/>
                <w:sz w:val="22"/>
                <w:szCs w:val="22"/>
              </w:rPr>
              <w:t xml:space="preserve">MCP Server</w:t>
            </w:r>
          </w:p>
        </w:tc>
        <w:tc>
          <w:tcPr>
            <w:tcW w:type="dxa" w:w="2800"/>
            <w:shd w:fill="FFFFFF" w:val="clear"/>
          </w:tcPr>
          <w:p>
            <w:pPr>
              <w:spacing w:after="40" w:before="40"/>
            </w:pPr>
            <w:r>
              <w:rPr>
                <w:rFonts w:ascii="Manrope" w:cs="Manrope" w:eastAsia="Manrope" w:hAnsi="Manrope"/>
                <w:color w:val="0F1113"/>
                <w:sz w:val="22"/>
                <w:szCs w:val="22"/>
              </w:rPr>
              <w:t xml:space="preserve">Claude Desktop, Cowork, Claude Code</w:t>
            </w:r>
          </w:p>
        </w:tc>
        <w:tc>
          <w:tcPr>
            <w:tcW w:type="dxa" w:w="2600"/>
            <w:shd w:fill="FFFFFF" w:val="clear"/>
          </w:tcPr>
          <w:p>
            <w:pPr>
              <w:spacing w:after="40" w:before="40"/>
            </w:pPr>
            <w:r>
              <w:rPr>
                <w:rFonts w:ascii="Manrope" w:cs="Manrope" w:eastAsia="Manrope" w:hAnsi="Manrope"/>
                <w:color w:val="0F1113"/>
                <w:sz w:val="22"/>
                <w:szCs w:val="22"/>
              </w:rPr>
              <w:t xml:space="preserve">Model Context Protocol (JSON-RPC over stdio/SSE)</w:t>
            </w:r>
          </w:p>
        </w:tc>
        <w:tc>
          <w:tcPr>
            <w:tcW w:type="dxa" w:w="1672"/>
            <w:shd w:fill="FFFFFF" w:val="clear"/>
          </w:tcPr>
          <w:p>
            <w:pPr>
              <w:spacing w:after="40" w:before="40"/>
            </w:pPr>
            <w:r>
              <w:rPr>
                <w:rFonts w:ascii="Manrope" w:cs="Manrope" w:eastAsia="Manrope" w:hAnsi="Manrope"/>
                <w:color w:val="0F1113"/>
                <w:sz w:val="22"/>
                <w:szCs w:val="22"/>
              </w:rPr>
              <w:t xml:space="preserve">Medium — new transport layer</w:t>
            </w:r>
          </w:p>
        </w:tc>
      </w:tr>
      <w:tr>
        <w:tc>
          <w:tcPr>
            <w:tcW w:type="dxa" w:w="2000"/>
            <w:shd w:fill="F5F0E8" w:val="clear"/>
          </w:tcPr>
          <w:p>
            <w:pPr>
              <w:spacing w:after="40" w:before="40"/>
            </w:pPr>
            <w:r>
              <w:rPr>
                <w:rFonts w:ascii="Manrope" w:cs="Manrope" w:eastAsia="Manrope" w:hAnsi="Manrope"/>
                <w:color w:val="0F1113"/>
                <w:sz w:val="22"/>
                <w:szCs w:val="22"/>
              </w:rPr>
              <w:t xml:space="preserve">GPT Actions</w:t>
            </w:r>
          </w:p>
        </w:tc>
        <w:tc>
          <w:tcPr>
            <w:tcW w:type="dxa" w:w="2800"/>
            <w:shd w:fill="F5F0E8" w:val="clear"/>
          </w:tcPr>
          <w:p>
            <w:pPr>
              <w:spacing w:after="40" w:before="40"/>
            </w:pPr>
            <w:r>
              <w:rPr>
                <w:rFonts w:ascii="Manrope" w:cs="Manrope" w:eastAsia="Manrope" w:hAnsi="Manrope"/>
                <w:color w:val="0F1113"/>
                <w:sz w:val="22"/>
                <w:szCs w:val="22"/>
              </w:rPr>
              <w:t xml:space="preserve">ChatGPT Plus/Teams/Enterprise</w:t>
            </w:r>
          </w:p>
        </w:tc>
        <w:tc>
          <w:tcPr>
            <w:tcW w:type="dxa" w:w="2600"/>
            <w:shd w:fill="F5F0E8" w:val="clear"/>
          </w:tcPr>
          <w:p>
            <w:pPr>
              <w:spacing w:after="40" w:before="40"/>
            </w:pPr>
            <w:r>
              <w:rPr>
                <w:rFonts w:ascii="Manrope" w:cs="Manrope" w:eastAsia="Manrope" w:hAnsi="Manrope"/>
                <w:color w:val="0F1113"/>
                <w:sz w:val="22"/>
                <w:szCs w:val="22"/>
              </w:rPr>
              <w:t xml:space="preserve">OpenAPI 3.1 spec + OAuth</w:t>
            </w:r>
          </w:p>
        </w:tc>
        <w:tc>
          <w:tcPr>
            <w:tcW w:type="dxa" w:w="1672"/>
            <w:shd w:fill="F5F0E8" w:val="clear"/>
          </w:tcPr>
          <w:p>
            <w:pPr>
              <w:spacing w:after="40" w:before="40"/>
            </w:pPr>
            <w:r>
              <w:rPr>
                <w:rFonts w:ascii="Manrope" w:cs="Manrope" w:eastAsia="Manrope" w:hAnsi="Manrope"/>
                <w:color w:val="0F1113"/>
                <w:sz w:val="22"/>
                <w:szCs w:val="22"/>
              </w:rPr>
              <w:t xml:space="preserve">Low — spec over existing REST</w:t>
            </w:r>
          </w:p>
        </w:tc>
      </w:tr>
      <w:tr>
        <w:tc>
          <w:tcPr>
            <w:tcW w:type="dxa" w:w="2000"/>
            <w:shd w:fill="FFFFFF" w:val="clear"/>
          </w:tcPr>
          <w:p>
            <w:pPr>
              <w:spacing w:after="40" w:before="40"/>
            </w:pPr>
            <w:r>
              <w:rPr>
                <w:rFonts w:ascii="Manrope" w:cs="Manrope" w:eastAsia="Manrope" w:hAnsi="Manrope"/>
                <w:color w:val="0F1113"/>
                <w:sz w:val="22"/>
                <w:szCs w:val="22"/>
              </w:rPr>
              <w:t xml:space="preserve">Gemini Extensions</w:t>
            </w:r>
          </w:p>
        </w:tc>
        <w:tc>
          <w:tcPr>
            <w:tcW w:type="dxa" w:w="2800"/>
            <w:shd w:fill="FFFFFF" w:val="clear"/>
          </w:tcPr>
          <w:p>
            <w:pPr>
              <w:spacing w:after="40" w:before="40"/>
            </w:pPr>
            <w:r>
              <w:rPr>
                <w:rFonts w:ascii="Manrope" w:cs="Manrope" w:eastAsia="Manrope" w:hAnsi="Manrope"/>
                <w:color w:val="0F1113"/>
                <w:sz w:val="22"/>
                <w:szCs w:val="22"/>
              </w:rPr>
              <w:t xml:space="preserve">Google Gemini Advanced</w:t>
            </w:r>
          </w:p>
        </w:tc>
        <w:tc>
          <w:tcPr>
            <w:tcW w:type="dxa" w:w="2600"/>
            <w:shd w:fill="FFFFFF" w:val="clear"/>
          </w:tcPr>
          <w:p>
            <w:pPr>
              <w:spacing w:after="40" w:before="40"/>
            </w:pPr>
            <w:r>
              <w:rPr>
                <w:rFonts w:ascii="Manrope" w:cs="Manrope" w:eastAsia="Manrope" w:hAnsi="Manrope"/>
                <w:color w:val="0F1113"/>
                <w:sz w:val="22"/>
                <w:szCs w:val="22"/>
              </w:rPr>
              <w:t xml:space="preserve">OpenAPI spec (same as GPT Actions)</w:t>
            </w:r>
          </w:p>
        </w:tc>
        <w:tc>
          <w:tcPr>
            <w:tcW w:type="dxa" w:w="1672"/>
            <w:shd w:fill="FFFFFF" w:val="clear"/>
          </w:tcPr>
          <w:p>
            <w:pPr>
              <w:spacing w:after="40" w:before="40"/>
            </w:pPr>
            <w:r>
              <w:rPr>
                <w:rFonts w:ascii="Manrope" w:cs="Manrope" w:eastAsia="Manrope" w:hAnsi="Manrope"/>
                <w:color w:val="0F1113"/>
                <w:sz w:val="22"/>
                <w:szCs w:val="22"/>
              </w:rPr>
              <w:t xml:space="preserve">Low — same spec, different registration</w:t>
            </w:r>
          </w:p>
        </w:tc>
      </w:tr>
    </w:tbl>
    <w:p>
      <w:pPr>
        <w:spacing w:after="120"/>
      </w:pPr>
      <w:r>
        <w:rPr>
          <w:rFonts w:ascii="Manrope" w:cs="Manrope" w:eastAsia="Manrope" w:hAnsi="Manrope"/>
          <w:color w:val="0F1113"/>
          <w:sz w:val="22"/>
          <w:szCs w:val="22"/>
        </w:rPr>
        <w:t xml:space="preserve">All three surfaces call the same underlying API endpoints. The finance-api does not change — it gains a thin translation layer for MCP and an OpenAPI spec document for the REST consumers.</w:t>
      </w:r>
    </w:p>
    <w:p>
      <w:pPr>
        <w:pStyle w:val="Heading2"/>
        <w:spacing w:after="120" w:before="240"/>
      </w:pPr>
      <w:r>
        <w:rPr>
          <w:rFonts w:ascii="Manrope" w:cs="Manrope" w:eastAsia="Manrope" w:hAnsi="Manrope"/>
          <w:b/>
          <w:bCs/>
          <w:color w:val="1A1C1E"/>
          <w:sz w:val="26"/>
          <w:szCs w:val="26"/>
        </w:rPr>
        <w:t xml:space="preserve">3.2 What the user experiences</w:t>
      </w:r>
    </w:p>
    <w:p>
      <w:pPr>
        <w:spacing w:after="120"/>
      </w:pPr>
      <w:r>
        <w:rPr>
          <w:rFonts w:ascii="Manrope" w:cs="Manrope" w:eastAsia="Manrope" w:hAnsi="Manrope"/>
          <w:color w:val="0F1113"/>
          <w:sz w:val="22"/>
          <w:szCs w:val="22"/>
        </w:rPr>
        <w:t xml:space="preserve">A user opens their AI of choice, connects to the STZA Finance tools, and has a natural conversation. For example: "Show me the aged debtors for STZA as at today" — the AI calls get_aged_receivables, formats the response, and discusses it interactively. No queue, no wait, no portal needed.</w:t>
      </w:r>
    </w:p>
    <w:p>
      <w:pPr>
        <w:spacing w:after="120"/>
      </w:pPr>
      <w:r>
        <w:rPr>
          <w:rFonts w:ascii="Manrope" w:cs="Manrope" w:eastAsia="Manrope" w:hAnsi="Manrope"/>
          <w:color w:val="0F1113"/>
          <w:sz w:val="22"/>
          <w:szCs w:val="22"/>
        </w:rPr>
        <w:t xml:space="preserve">The conversational interface is for the CFO. The portal becomes the operational layer for teams — structured work, audit trail, and agent run history.</w:t>
      </w:r>
    </w:p>
    <w:p>
      <w:pPr>
        <w:pStyle w:val="Heading2"/>
        <w:spacing w:after="120" w:before="240"/>
      </w:pPr>
      <w:r>
        <w:rPr>
          <w:rFonts w:ascii="Manrope" w:cs="Manrope" w:eastAsia="Manrope" w:hAnsi="Manrope"/>
          <w:b/>
          <w:bCs/>
          <w:color w:val="1A1C1E"/>
          <w:sz w:val="26"/>
          <w:szCs w:val="26"/>
        </w:rPr>
        <w:t xml:space="preserve">3.3 Why not host a chatbot?</w:t>
      </w:r>
    </w:p>
    <w:p>
      <w:pPr>
        <w:spacing w:after="120"/>
      </w:pPr>
      <w:r>
        <w:rPr>
          <w:rFonts w:ascii="Manrope" w:cs="Manrope" w:eastAsia="Manrope" w:hAnsi="Manrope"/>
          <w:color w:val="0F1113"/>
          <w:sz w:val="22"/>
          <w:szCs w:val="22"/>
        </w:rPr>
        <w:t xml:space="preserve">Hosting a conversational AI creates three problems that BYOAI eliminates:</w:t>
      </w:r>
    </w:p>
    <w:p>
      <w:pPr>
        <w:pStyle w:val="ListParagraph"/>
        <w:numPr>
          <w:ilvl w:val="0"/>
          <w:numId w:val="2"/>
        </w:numPr>
        <w:spacing w:after="60"/>
      </w:pPr>
      <w:r>
        <w:rPr>
          <w:rFonts w:ascii="Manrope" w:cs="Manrope" w:eastAsia="Manrope" w:hAnsi="Manrope"/>
          <w:color w:val="0F1113"/>
          <w:sz w:val="22"/>
          <w:szCs w:val="22"/>
        </w:rPr>
        <w:t xml:space="preserve">Cost exposure: per-token API fees that scale with usage and are difficult to predict or cap</w:t>
      </w:r>
    </w:p>
    <w:p>
      <w:pPr>
        <w:pStyle w:val="ListParagraph"/>
        <w:numPr>
          <w:ilvl w:val="0"/>
          <w:numId w:val="2"/>
        </w:numPr>
        <w:spacing w:after="60"/>
      </w:pPr>
      <w:r>
        <w:rPr>
          <w:rFonts w:ascii="Manrope" w:cs="Manrope" w:eastAsia="Manrope" w:hAnsi="Manrope"/>
          <w:color w:val="0F1113"/>
          <w:sz w:val="22"/>
          <w:szCs w:val="22"/>
        </w:rPr>
        <w:t xml:space="preserve">Abuse surface: users can ask the chatbot arbitrary questions unrelated to finance, consuming tokens (the "Domino's problem" — users exploited Domino's chatbot for free general-purpose AI)</w:t>
      </w:r>
    </w:p>
    <w:p>
      <w:pPr>
        <w:pStyle w:val="ListParagraph"/>
        <w:numPr>
          <w:ilvl w:val="0"/>
          <w:numId w:val="2"/>
        </w:numPr>
        <w:spacing w:after="60"/>
      </w:pPr>
      <w:r>
        <w:rPr>
          <w:rFonts w:ascii="Manrope" w:cs="Manrope" w:eastAsia="Manrope" w:hAnsi="Manrope"/>
          <w:color w:val="0F1113"/>
          <w:sz w:val="22"/>
          <w:szCs w:val="22"/>
        </w:rPr>
        <w:t xml:space="preserve">Liability: the platform would be generating and delivering financial commentary, creating professional liability risk</w:t>
      </w:r>
    </w:p>
    <w:p>
      <w:pPr>
        <w:spacing w:after="120"/>
      </w:pPr>
      <w:r>
        <w:rPr>
          <w:rFonts w:ascii="Manrope" w:cs="Manrope" w:eastAsia="Manrope" w:hAnsi="Manrope"/>
          <w:color w:val="0F1113"/>
          <w:sz w:val="22"/>
          <w:szCs w:val="22"/>
        </w:rPr>
        <w:t xml:space="preserve">Under BYOAI, the platform exposes structured tools (get_aged_receivables, get_profit_and_loss, etc.) that return data. The user's own AI interprets and discusses that data. STZA never generates financial commentary — it provides the plumbing.</w:t>
      </w:r>
    </w:p>
    <w:p>
      <w:pPr>
        <w:pStyle w:val="Heading1"/>
        <w:spacing w:after="120" w:before="400"/>
      </w:pPr>
      <w:r>
        <w:rPr>
          <w:rFonts w:ascii="Manrope" w:cs="Manrope" w:eastAsia="Manrope" w:hAnsi="Manrope"/>
          <w:b/>
          <w:bCs/>
          <w:color w:val="1A1C1E"/>
          <w:sz w:val="32"/>
          <w:szCs w:val="32"/>
        </w:rPr>
        <w:t xml:space="preserve">4. Xero integration and AI policy</w:t>
      </w:r>
    </w:p>
    <w:p>
      <w:pPr>
        <w:pStyle w:val="Heading2"/>
        <w:spacing w:after="120" w:before="240"/>
      </w:pPr>
      <w:r>
        <w:rPr>
          <w:rFonts w:ascii="Manrope" w:cs="Manrope" w:eastAsia="Manrope" w:hAnsi="Manrope"/>
          <w:b/>
          <w:bCs/>
          <w:color w:val="1A1C1E"/>
          <w:sz w:val="26"/>
          <w:szCs w:val="26"/>
        </w:rPr>
        <w:t xml:space="preserve">4.1 Xero AI data policy — confirmed permitted</w:t>
      </w:r>
    </w:p>
    <w:p>
      <w:pPr>
        <w:spacing w:after="120"/>
      </w:pPr>
      <w:r>
        <w:rPr>
          <w:rFonts w:ascii="Manrope" w:cs="Manrope" w:eastAsia="Manrope" w:hAnsi="Manrope"/>
          <w:color w:val="0F1113"/>
          <w:sz w:val="22"/>
          <w:szCs w:val="22"/>
        </w:rPr>
        <w:t xml:space="preserve">Xero's API Terms of Use prohibit using API data to train or fine-tune AI models. However, Xero explicitly supports real-time AI access through two mechanisms:</w:t>
      </w:r>
    </w:p>
    <w:p>
      <w:pPr>
        <w:pStyle w:val="ListParagraph"/>
        <w:numPr>
          <w:ilvl w:val="0"/>
          <w:numId w:val="2"/>
        </w:numPr>
        <w:spacing w:after="60"/>
      </w:pPr>
      <w:r>
        <w:rPr>
          <w:rFonts w:ascii="Manrope" w:cs="Manrope" w:eastAsia="Manrope" w:hAnsi="Manrope"/>
          <w:color w:val="0F1113"/>
          <w:sz w:val="22"/>
          <w:szCs w:val="22"/>
        </w:rPr>
        <w:t xml:space="preserve">Xero MCP Server: Xero has published an official MCP Server for AI agents to query Xero data in real-time</w:t>
      </w:r>
    </w:p>
    <w:p>
      <w:pPr>
        <w:pStyle w:val="ListParagraph"/>
        <w:numPr>
          <w:ilvl w:val="0"/>
          <w:numId w:val="2"/>
        </w:numPr>
        <w:spacing w:after="60"/>
      </w:pPr>
      <w:r>
        <w:rPr>
          <w:rFonts w:ascii="Manrope" w:cs="Manrope" w:eastAsia="Manrope" w:hAnsi="Manrope"/>
          <w:color w:val="0F1113"/>
          <w:sz w:val="22"/>
          <w:szCs w:val="22"/>
        </w:rPr>
        <w:t xml:space="preserve">Xero Agentic SDK: a developer toolkit for building AI agents that interact with Xero</w:t>
      </w:r>
    </w:p>
    <w:p>
      <w:pPr>
        <w:spacing w:after="120"/>
      </w:pPr>
      <w:r>
        <w:rPr>
          <w:rFonts w:ascii="Manrope" w:cs="Manrope" w:eastAsia="Manrope" w:hAnsi="Manrope"/>
          <w:color w:val="0F1113"/>
          <w:sz w:val="22"/>
          <w:szCs w:val="22"/>
        </w:rPr>
        <w:t xml:space="preserve">The STZA platform's architecture — live query, return results, no data persistence — is the pattern Xero encourages. This was confirmed via Xero's developer documentation (accessed 7 August 2026). The platform does not store, cache, or use Xero API responses for training. Agent run outputs persist only the AI's commentary (analysis, recommendations), never raw Xero data.</w:t>
      </w:r>
    </w:p>
    <w:p>
      <w:pPr>
        <w:pStyle w:val="Heading2"/>
        <w:spacing w:after="120" w:before="240"/>
      </w:pPr>
      <w:r>
        <w:rPr>
          <w:rFonts w:ascii="Manrope" w:cs="Manrope" w:eastAsia="Manrope" w:hAnsi="Manrope"/>
          <w:b/>
          <w:bCs/>
          <w:color w:val="1A1C1E"/>
          <w:sz w:val="26"/>
          <w:szCs w:val="26"/>
        </w:rPr>
        <w:t xml:space="preserve">4.2 Xero OAuth and scopes</w:t>
      </w:r>
    </w:p>
    <w:p>
      <w:pPr>
        <w:spacing w:after="120"/>
      </w:pPr>
      <w:r>
        <w:rPr>
          <w:rFonts w:ascii="Manrope" w:cs="Manrope" w:eastAsia="Manrope" w:hAnsi="Manrope"/>
          <w:color w:val="0F1113"/>
          <w:sz w:val="22"/>
          <w:szCs w:val="22"/>
        </w:rPr>
        <w:t xml:space="preserve">As of March 2026, Xero requires granular OAuth scopes. The platform needs:</w:t>
      </w:r>
    </w:p>
    <w:p>
      <w:pPr>
        <w:pStyle w:val="ListParagraph"/>
        <w:numPr>
          <w:ilvl w:val="0"/>
          <w:numId w:val="2"/>
        </w:numPr>
        <w:spacing w:after="60"/>
      </w:pPr>
      <w:r>
        <w:rPr>
          <w:rFonts w:ascii="Manrope" w:cs="Manrope" w:eastAsia="Manrope" w:hAnsi="Manrope"/>
          <w:color w:val="0F1113"/>
          <w:sz w:val="22"/>
          <w:szCs w:val="22"/>
        </w:rPr>
        <w:t xml:space="preserve">accounting.transactions.read — invoices, bills, payments, bank transactions</w:t>
      </w:r>
    </w:p>
    <w:p>
      <w:pPr>
        <w:pStyle w:val="ListParagraph"/>
        <w:numPr>
          <w:ilvl w:val="0"/>
          <w:numId w:val="2"/>
        </w:numPr>
        <w:spacing w:after="60"/>
      </w:pPr>
      <w:r>
        <w:rPr>
          <w:rFonts w:ascii="Manrope" w:cs="Manrope" w:eastAsia="Manrope" w:hAnsi="Manrope"/>
          <w:color w:val="0F1113"/>
          <w:sz w:val="22"/>
          <w:szCs w:val="22"/>
        </w:rPr>
        <w:t xml:space="preserve">accounting.reports.read — trial balance, P&amp;L, balance sheet, aged reports</w:t>
      </w:r>
    </w:p>
    <w:p>
      <w:pPr>
        <w:pStyle w:val="ListParagraph"/>
        <w:numPr>
          <w:ilvl w:val="0"/>
          <w:numId w:val="2"/>
        </w:numPr>
        <w:spacing w:after="60"/>
      </w:pPr>
      <w:r>
        <w:rPr>
          <w:rFonts w:ascii="Manrope" w:cs="Manrope" w:eastAsia="Manrope" w:hAnsi="Manrope"/>
          <w:color w:val="0F1113"/>
          <w:sz w:val="22"/>
          <w:szCs w:val="22"/>
        </w:rPr>
        <w:t xml:space="preserve">accounting.contacts.read — customer and supplier records</w:t>
      </w:r>
    </w:p>
    <w:p>
      <w:pPr>
        <w:pStyle w:val="ListParagraph"/>
        <w:numPr>
          <w:ilvl w:val="0"/>
          <w:numId w:val="2"/>
        </w:numPr>
        <w:spacing w:after="60"/>
      </w:pPr>
      <w:r>
        <w:rPr>
          <w:rFonts w:ascii="Manrope" w:cs="Manrope" w:eastAsia="Manrope" w:hAnsi="Manrope"/>
          <w:color w:val="0F1113"/>
          <w:sz w:val="22"/>
          <w:szCs w:val="22"/>
        </w:rPr>
        <w:t xml:space="preserve">accounting.settings.read — chart of accounts, tax rates, organisation info</w:t>
      </w:r>
    </w:p>
    <w:p>
      <w:pPr>
        <w:pStyle w:val="ListParagraph"/>
        <w:numPr>
          <w:ilvl w:val="0"/>
          <w:numId w:val="2"/>
        </w:numPr>
        <w:spacing w:after="60"/>
      </w:pPr>
      <w:r>
        <w:rPr>
          <w:rFonts w:ascii="Manrope" w:cs="Manrope" w:eastAsia="Manrope" w:hAnsi="Manrope"/>
          <w:color w:val="0F1113"/>
          <w:sz w:val="22"/>
          <w:szCs w:val="22"/>
        </w:rPr>
        <w:t xml:space="preserve">accounting.journals — for journal posting (write scope, requires explicit user elevation)</w:t>
      </w:r>
    </w:p>
    <w:p>
      <w:pPr>
        <w:spacing w:after="120"/>
      </w:pPr>
      <w:r>
        <w:rPr>
          <w:rFonts w:ascii="Manrope" w:cs="Manrope" w:eastAsia="Manrope" w:hAnsi="Manrope"/>
          <w:color w:val="0F1113"/>
          <w:sz w:val="22"/>
          <w:szCs w:val="22"/>
        </w:rPr>
        <w:t xml:space="preserve">Token storage uses GCP Secret Manager with atomic refresh. Each client's Xero connection is stored under a structured secret path, and the system supports multiple Xero tenants per client.</w:t>
      </w:r>
    </w:p>
    <w:p>
      <w:pPr>
        <w:pStyle w:val="Heading2"/>
        <w:spacing w:after="120" w:before="240"/>
      </w:pPr>
      <w:r>
        <w:rPr>
          <w:rFonts w:ascii="Manrope" w:cs="Manrope" w:eastAsia="Manrope" w:hAnsi="Manrope"/>
          <w:b/>
          <w:bCs/>
          <w:color w:val="1A1C1E"/>
          <w:sz w:val="26"/>
          <w:szCs w:val="26"/>
        </w:rPr>
        <w:t xml:space="preserve">4.3 Xero App Partner programme</w:t>
      </w:r>
    </w:p>
    <w:p>
      <w:pPr>
        <w:spacing w:after="120"/>
      </w:pPr>
      <w:r>
        <w:rPr>
          <w:rFonts w:ascii="Manrope" w:cs="Manrope" w:eastAsia="Manrope" w:hAnsi="Manrope"/>
          <w:color w:val="0F1113"/>
          <w:sz w:val="22"/>
          <w:szCs w:val="22"/>
        </w:rPr>
        <w:t xml:space="preserve">Xero API connections are free up to 5 connected organisations. Beyond that, tiered pricing applies. Xero App Partner certification is required at 25+ connections and unlocks:</w:t>
      </w:r>
    </w:p>
    <w:p>
      <w:pPr>
        <w:pStyle w:val="ListParagraph"/>
        <w:numPr>
          <w:ilvl w:val="0"/>
          <w:numId w:val="2"/>
        </w:numPr>
        <w:spacing w:after="60"/>
      </w:pPr>
      <w:r>
        <w:rPr>
          <w:rFonts w:ascii="Manrope" w:cs="Manrope" w:eastAsia="Manrope" w:hAnsi="Manrope"/>
          <w:color w:val="0F1113"/>
          <w:sz w:val="22"/>
          <w:szCs w:val="22"/>
        </w:rPr>
        <w:t xml:space="preserve">Higher rate limits</w:t>
      </w:r>
    </w:p>
    <w:p>
      <w:pPr>
        <w:pStyle w:val="ListParagraph"/>
        <w:numPr>
          <w:ilvl w:val="0"/>
          <w:numId w:val="2"/>
        </w:numPr>
        <w:spacing w:after="60"/>
      </w:pPr>
      <w:r>
        <w:rPr>
          <w:rFonts w:ascii="Manrope" w:cs="Manrope" w:eastAsia="Manrope" w:hAnsi="Manrope"/>
          <w:color w:val="0F1113"/>
          <w:sz w:val="22"/>
          <w:szCs w:val="22"/>
        </w:rPr>
        <w:t xml:space="preserve">Xero App Store listing</w:t>
      </w:r>
    </w:p>
    <w:p>
      <w:pPr>
        <w:pStyle w:val="ListParagraph"/>
        <w:numPr>
          <w:ilvl w:val="0"/>
          <w:numId w:val="2"/>
        </w:numPr>
        <w:spacing w:after="60"/>
      </w:pPr>
      <w:r>
        <w:rPr>
          <w:rFonts w:ascii="Manrope" w:cs="Manrope" w:eastAsia="Manrope" w:hAnsi="Manrope"/>
          <w:color w:val="0F1113"/>
          <w:sz w:val="22"/>
          <w:szCs w:val="22"/>
        </w:rPr>
        <w:t xml:space="preserve">Partner support channel</w:t>
      </w:r>
    </w:p>
    <w:p>
      <w:pPr>
        <w:spacing w:after="120"/>
      </w:pPr>
      <w:r>
        <w:rPr>
          <w:rFonts w:ascii="Manrope" w:cs="Manrope" w:eastAsia="Manrope" w:hAnsi="Manrope"/>
          <w:color w:val="0F1113"/>
          <w:sz w:val="22"/>
          <w:szCs w:val="22"/>
        </w:rPr>
        <w:t xml:space="preserve">The platform should apply for App Partner certification once it reaches 10–15 connections, before hitting the 25-connection threshold.</w:t>
      </w:r>
    </w:p>
    <w:p>
      <w:r>
        <w:br w:type="page"/>
      </w:r>
    </w:p>
    <w:p>
      <w:pPr>
        <w:pStyle w:val="Heading1"/>
        <w:spacing w:after="120" w:before="400"/>
      </w:pPr>
      <w:r>
        <w:rPr>
          <w:rFonts w:ascii="Manrope" w:cs="Manrope" w:eastAsia="Manrope" w:hAnsi="Manrope"/>
          <w:b/>
          <w:bCs/>
          <w:color w:val="1A1C1E"/>
          <w:sz w:val="32"/>
          <w:szCs w:val="32"/>
        </w:rPr>
        <w:t xml:space="preserve">5. Security architecture</w:t>
      </w:r>
    </w:p>
    <w:p>
      <w:pPr>
        <w:pStyle w:val="Heading2"/>
        <w:spacing w:after="120" w:before="240"/>
      </w:pPr>
      <w:r>
        <w:rPr>
          <w:rFonts w:ascii="Manrope" w:cs="Manrope" w:eastAsia="Manrope" w:hAnsi="Manrope"/>
          <w:b/>
          <w:bCs/>
          <w:color w:val="1A1C1E"/>
          <w:sz w:val="26"/>
          <w:szCs w:val="26"/>
        </w:rPr>
        <w:t xml:space="preserve">5.1 Per-user API key authentication</w:t>
      </w:r>
    </w:p>
    <w:p>
      <w:pPr>
        <w:spacing w:after="120"/>
      </w:pPr>
      <w:r>
        <w:rPr>
          <w:rFonts w:ascii="Manrope" w:cs="Manrope" w:eastAsia="Manrope" w:hAnsi="Manrope"/>
          <w:color w:val="0F1113"/>
          <w:sz w:val="22"/>
          <w:szCs w:val="22"/>
        </w:rPr>
        <w:t xml:space="preserve">The current single API key must be replaced with per-user authentication. The lifecycle:</w:t>
      </w:r>
    </w:p>
    <w:p>
      <w:pPr>
        <w:pStyle w:val="ListParagraph"/>
        <w:numPr>
          <w:ilvl w:val="0"/>
          <w:numId w:val="2"/>
        </w:numPr>
        <w:spacing w:after="60"/>
      </w:pPr>
      <w:r>
        <w:rPr>
          <w:rFonts w:ascii="Manrope" w:cs="Manrope" w:eastAsia="Manrope" w:hAnsi="Manrope"/>
          <w:color w:val="0F1113"/>
          <w:sz w:val="22"/>
          <w:szCs w:val="22"/>
        </w:rPr>
        <w:t xml:space="preserve">User signs up via the portal (email, name, entity selection)</w:t>
      </w:r>
    </w:p>
    <w:p>
      <w:pPr>
        <w:pStyle w:val="ListParagraph"/>
        <w:numPr>
          <w:ilvl w:val="0"/>
          <w:numId w:val="2"/>
        </w:numPr>
        <w:spacing w:after="60"/>
      </w:pPr>
      <w:r>
        <w:rPr>
          <w:rFonts w:ascii="Manrope" w:cs="Manrope" w:eastAsia="Manrope" w:hAnsi="Manrope"/>
          <w:color w:val="0F1113"/>
          <w:sz w:val="22"/>
          <w:szCs w:val="22"/>
        </w:rPr>
        <w:t xml:space="preserve">User connects their Xero organisation via OAuth consent flow</w:t>
      </w:r>
    </w:p>
    <w:p>
      <w:pPr>
        <w:pStyle w:val="ListParagraph"/>
        <w:numPr>
          <w:ilvl w:val="0"/>
          <w:numId w:val="2"/>
        </w:numPr>
        <w:spacing w:after="60"/>
      </w:pPr>
      <w:r>
        <w:rPr>
          <w:rFonts w:ascii="Manrope" w:cs="Manrope" w:eastAsia="Manrope" w:hAnsi="Manrope"/>
          <w:color w:val="0F1113"/>
          <w:sz w:val="22"/>
          <w:szCs w:val="22"/>
        </w:rPr>
        <w:t xml:space="preserve">STZA issues a unique API key, mapped to the user's account, permitted entities, and tier</w:t>
      </w:r>
    </w:p>
    <w:p>
      <w:pPr>
        <w:pStyle w:val="ListParagraph"/>
        <w:numPr>
          <w:ilvl w:val="0"/>
          <w:numId w:val="2"/>
        </w:numPr>
        <w:spacing w:after="60"/>
      </w:pPr>
      <w:r>
        <w:rPr>
          <w:rFonts w:ascii="Manrope" w:cs="Manrope" w:eastAsia="Manrope" w:hAnsi="Manrope"/>
          <w:color w:val="0F1113"/>
          <w:sz w:val="22"/>
          <w:szCs w:val="22"/>
        </w:rPr>
        <w:t xml:space="preserve">User pastes the API key into their AI client's MCP configuration or GPT Action setup</w:t>
      </w:r>
    </w:p>
    <w:p>
      <w:pPr>
        <w:spacing w:after="120"/>
      </w:pPr>
      <w:r>
        <w:rPr>
          <w:rFonts w:ascii="Manrope" w:cs="Manrope" w:eastAsia="Manrope" w:hAnsi="Manrope"/>
          <w:color w:val="0F1113"/>
          <w:sz w:val="22"/>
          <w:szCs w:val="22"/>
        </w:rPr>
        <w:t xml:space="preserve">API keys are stored as bcrypt hashes. The plaintext is shown once at issuance and never retrievable again. Users can rotate their key at any time from the portal.</w:t>
      </w:r>
    </w:p>
    <w:p>
      <w:pPr>
        <w:pStyle w:val="Heading2"/>
        <w:spacing w:after="120" w:before="240"/>
      </w:pPr>
      <w:r>
        <w:rPr>
          <w:rFonts w:ascii="Manrope" w:cs="Manrope" w:eastAsia="Manrope" w:hAnsi="Manrope"/>
          <w:b/>
          <w:bCs/>
          <w:color w:val="1A1C1E"/>
          <w:sz w:val="26"/>
          <w:szCs w:val="26"/>
        </w:rPr>
        <w:t xml:space="preserve">5.2 Security boundary</w:t>
      </w:r>
    </w:p>
    <w:p>
      <w:pPr>
        <w:spacing w:after="120"/>
      </w:pPr>
      <w:r>
        <w:rPr>
          <w:rFonts w:ascii="Manrope" w:cs="Manrope" w:eastAsia="Manrope" w:hAnsi="Manrope"/>
          <w:color w:val="0F1113"/>
          <w:sz w:val="22"/>
          <w:szCs w:val="22"/>
        </w:rPr>
        <w:t xml:space="preserve">The platform enforces strict separation of concerns:</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2200"/>
        <w:gridCol w:w="3400"/>
        <w:gridCol w:w="3472"/>
      </w:tblGrid>
      <w:tr>
        <w:trPr>
          <w:tblHeader/>
        </w:trPr>
        <w:tc>
          <w:tcPr>
            <w:tcW w:type="dxa" w:w="2200"/>
            <w:shd w:fill="1A1C1E" w:val="clear"/>
          </w:tcPr>
          <w:p>
            <w:pPr>
              <w:spacing w:after="40" w:before="40"/>
            </w:pPr>
            <w:r>
              <w:rPr>
                <w:rFonts w:ascii="Manrope" w:cs="Manrope" w:eastAsia="Manrope" w:hAnsi="Manrope"/>
                <w:b/>
                <w:bCs/>
                <w:color w:val="FFFFFF"/>
                <w:sz w:val="20"/>
                <w:szCs w:val="20"/>
              </w:rPr>
              <w:t xml:space="preserve">Party</w:t>
            </w:r>
          </w:p>
        </w:tc>
        <w:tc>
          <w:tcPr>
            <w:tcW w:type="dxa" w:w="3400"/>
            <w:shd w:fill="1A1C1E" w:val="clear"/>
          </w:tcPr>
          <w:p>
            <w:pPr>
              <w:spacing w:after="40" w:before="40"/>
            </w:pPr>
            <w:r>
              <w:rPr>
                <w:rFonts w:ascii="Manrope" w:cs="Manrope" w:eastAsia="Manrope" w:hAnsi="Manrope"/>
                <w:b/>
                <w:bCs/>
                <w:color w:val="FFFFFF"/>
                <w:sz w:val="20"/>
                <w:szCs w:val="20"/>
              </w:rPr>
              <w:t xml:space="preserve">Can see</w:t>
            </w:r>
          </w:p>
        </w:tc>
        <w:tc>
          <w:tcPr>
            <w:tcW w:type="dxa" w:w="3472"/>
            <w:shd w:fill="1A1C1E" w:val="clear"/>
          </w:tcPr>
          <w:p>
            <w:pPr>
              <w:spacing w:after="40" w:before="40"/>
            </w:pPr>
            <w:r>
              <w:rPr>
                <w:rFonts w:ascii="Manrope" w:cs="Manrope" w:eastAsia="Manrope" w:hAnsi="Manrope"/>
                <w:b/>
                <w:bCs/>
                <w:color w:val="FFFFFF"/>
                <w:sz w:val="20"/>
                <w:szCs w:val="20"/>
              </w:rPr>
              <w:t xml:space="preserve">Cannot see</w:t>
            </w:r>
          </w:p>
        </w:tc>
      </w:tr>
      <w:tr>
        <w:tc>
          <w:tcPr>
            <w:tcW w:type="dxa" w:w="2200"/>
            <w:shd w:fill="FFFFFF" w:val="clear"/>
          </w:tcPr>
          <w:p>
            <w:pPr>
              <w:spacing w:after="40" w:before="40"/>
            </w:pPr>
            <w:r>
              <w:rPr>
                <w:rFonts w:ascii="Manrope" w:cs="Manrope" w:eastAsia="Manrope" w:hAnsi="Manrope"/>
                <w:color w:val="0F1113"/>
                <w:sz w:val="22"/>
                <w:szCs w:val="22"/>
              </w:rPr>
              <w:t xml:space="preserve">User's AI (Claude/ChatGPT/Gemini)</w:t>
            </w:r>
          </w:p>
        </w:tc>
        <w:tc>
          <w:tcPr>
            <w:tcW w:type="dxa" w:w="3400"/>
            <w:shd w:fill="FFFFFF" w:val="clear"/>
          </w:tcPr>
          <w:p>
            <w:pPr>
              <w:spacing w:after="40" w:before="40"/>
            </w:pPr>
            <w:r>
              <w:rPr>
                <w:rFonts w:ascii="Manrope" w:cs="Manrope" w:eastAsia="Manrope" w:hAnsi="Manrope"/>
                <w:color w:val="0F1113"/>
                <w:sz w:val="22"/>
                <w:szCs w:val="22"/>
              </w:rPr>
              <w:t xml:space="preserve">Tool responses (financial data), tool definitions</w:t>
            </w:r>
          </w:p>
        </w:tc>
        <w:tc>
          <w:tcPr>
            <w:tcW w:type="dxa" w:w="3472"/>
            <w:shd w:fill="FFFFFF" w:val="clear"/>
          </w:tcPr>
          <w:p>
            <w:pPr>
              <w:spacing w:after="40" w:before="40"/>
            </w:pPr>
            <w:r>
              <w:rPr>
                <w:rFonts w:ascii="Manrope" w:cs="Manrope" w:eastAsia="Manrope" w:hAnsi="Manrope"/>
                <w:color w:val="0F1113"/>
                <w:sz w:val="22"/>
                <w:szCs w:val="22"/>
              </w:rPr>
              <w:t xml:space="preserve">Xero OAuth tokens, other users' data, API key of other users</w:t>
            </w:r>
          </w:p>
        </w:tc>
      </w:tr>
      <w:tr>
        <w:tc>
          <w:tcPr>
            <w:tcW w:type="dxa" w:w="2200"/>
            <w:shd w:fill="F5F0E8" w:val="clear"/>
          </w:tcPr>
          <w:p>
            <w:pPr>
              <w:spacing w:after="40" w:before="40"/>
            </w:pPr>
            <w:r>
              <w:rPr>
                <w:rFonts w:ascii="Manrope" w:cs="Manrope" w:eastAsia="Manrope" w:hAnsi="Manrope"/>
                <w:color w:val="0F1113"/>
                <w:sz w:val="22"/>
                <w:szCs w:val="22"/>
              </w:rPr>
              <w:t xml:space="preserve">STZA platform</w:t>
            </w:r>
          </w:p>
        </w:tc>
        <w:tc>
          <w:tcPr>
            <w:tcW w:type="dxa" w:w="3400"/>
            <w:shd w:fill="F5F0E8" w:val="clear"/>
          </w:tcPr>
          <w:p>
            <w:pPr>
              <w:spacing w:after="40" w:before="40"/>
            </w:pPr>
            <w:r>
              <w:rPr>
                <w:rFonts w:ascii="Manrope" w:cs="Manrope" w:eastAsia="Manrope" w:hAnsi="Manrope"/>
                <w:color w:val="0F1113"/>
                <w:sz w:val="22"/>
                <w:szCs w:val="22"/>
              </w:rPr>
              <w:t xml:space="preserve">API key hash, Xero tokens (encrypted), audit trail</w:t>
            </w:r>
          </w:p>
        </w:tc>
        <w:tc>
          <w:tcPr>
            <w:tcW w:type="dxa" w:w="3472"/>
            <w:shd w:fill="F5F0E8" w:val="clear"/>
          </w:tcPr>
          <w:p>
            <w:pPr>
              <w:spacing w:after="40" w:before="40"/>
            </w:pPr>
            <w:r>
              <w:rPr>
                <w:rFonts w:ascii="Manrope" w:cs="Manrope" w:eastAsia="Manrope" w:hAnsi="Manrope"/>
                <w:color w:val="0F1113"/>
                <w:sz w:val="22"/>
                <w:szCs w:val="22"/>
              </w:rPr>
              <w:t xml:space="preserve">User's AI conversation history, prompts</w:t>
            </w:r>
          </w:p>
        </w:tc>
      </w:tr>
      <w:tr>
        <w:tc>
          <w:tcPr>
            <w:tcW w:type="dxa" w:w="2200"/>
            <w:shd w:fill="FFFFFF" w:val="clear"/>
          </w:tcPr>
          <w:p>
            <w:pPr>
              <w:spacing w:after="40" w:before="40"/>
            </w:pPr>
            <w:r>
              <w:rPr>
                <w:rFonts w:ascii="Manrope" w:cs="Manrope" w:eastAsia="Manrope" w:hAnsi="Manrope"/>
                <w:color w:val="0F1113"/>
                <w:sz w:val="22"/>
                <w:szCs w:val="22"/>
              </w:rPr>
              <w:t xml:space="preserve">Xero</w:t>
            </w:r>
          </w:p>
        </w:tc>
        <w:tc>
          <w:tcPr>
            <w:tcW w:type="dxa" w:w="3400"/>
            <w:shd w:fill="FFFFFF" w:val="clear"/>
          </w:tcPr>
          <w:p>
            <w:pPr>
              <w:spacing w:after="40" w:before="40"/>
            </w:pPr>
            <w:r>
              <w:rPr>
                <w:rFonts w:ascii="Manrope" w:cs="Manrope" w:eastAsia="Manrope" w:hAnsi="Manrope"/>
                <w:color w:val="0F1113"/>
                <w:sz w:val="22"/>
                <w:szCs w:val="22"/>
              </w:rPr>
              <w:t xml:space="preserve">OAuth tokens, API calls</w:t>
            </w:r>
          </w:p>
        </w:tc>
        <w:tc>
          <w:tcPr>
            <w:tcW w:type="dxa" w:w="3472"/>
            <w:shd w:fill="FFFFFF" w:val="clear"/>
          </w:tcPr>
          <w:p>
            <w:pPr>
              <w:spacing w:after="40" w:before="40"/>
            </w:pPr>
            <w:r>
              <w:rPr>
                <w:rFonts w:ascii="Manrope" w:cs="Manrope" w:eastAsia="Manrope" w:hAnsi="Manrope"/>
                <w:color w:val="0F1113"/>
                <w:sz w:val="22"/>
                <w:szCs w:val="22"/>
              </w:rPr>
              <w:t xml:space="preserve">Which AI client is calling, user's analysis</w:t>
            </w:r>
          </w:p>
        </w:tc>
      </w:tr>
      <w:tr>
        <w:tc>
          <w:tcPr>
            <w:tcW w:type="dxa" w:w="2200"/>
            <w:shd w:fill="F5F0E8" w:val="clear"/>
          </w:tcPr>
          <w:p>
            <w:pPr>
              <w:spacing w:after="40" w:before="40"/>
            </w:pPr>
            <w:r>
              <w:rPr>
                <w:rFonts w:ascii="Manrope" w:cs="Manrope" w:eastAsia="Manrope" w:hAnsi="Manrope"/>
                <w:color w:val="0F1113"/>
                <w:sz w:val="22"/>
                <w:szCs w:val="22"/>
              </w:rPr>
              <w:t xml:space="preserve">Other users</w:t>
            </w:r>
          </w:p>
        </w:tc>
        <w:tc>
          <w:tcPr>
            <w:tcW w:type="dxa" w:w="3400"/>
            <w:shd w:fill="F5F0E8" w:val="clear"/>
          </w:tcPr>
          <w:p>
            <w:pPr>
              <w:spacing w:after="40" w:before="40"/>
            </w:pPr>
            <w:r>
              <w:rPr>
                <w:rFonts w:ascii="Manrope" w:cs="Manrope" w:eastAsia="Manrope" w:hAnsi="Manrope"/>
                <w:color w:val="0F1113"/>
                <w:sz w:val="22"/>
                <w:szCs w:val="22"/>
              </w:rPr>
              <w:t xml:space="preserve">Their own data only</w:t>
            </w:r>
          </w:p>
        </w:tc>
        <w:tc>
          <w:tcPr>
            <w:tcW w:type="dxa" w:w="3472"/>
            <w:shd w:fill="F5F0E8" w:val="clear"/>
          </w:tcPr>
          <w:p>
            <w:pPr>
              <w:spacing w:after="40" w:before="40"/>
            </w:pPr>
            <w:r>
              <w:rPr>
                <w:rFonts w:ascii="Manrope" w:cs="Manrope" w:eastAsia="Manrope" w:hAnsi="Manrope"/>
                <w:color w:val="0F1113"/>
                <w:sz w:val="22"/>
                <w:szCs w:val="22"/>
              </w:rPr>
              <w:t xml:space="preserve">Any other user's data, keys, or connections</w:t>
            </w:r>
          </w:p>
        </w:tc>
      </w:tr>
    </w:tbl>
    <w:p>
      <w:pPr>
        <w:pStyle w:val="Heading2"/>
        <w:spacing w:after="120" w:before="240"/>
      </w:pPr>
      <w:r>
        <w:rPr>
          <w:rFonts w:ascii="Manrope" w:cs="Manrope" w:eastAsia="Manrope" w:hAnsi="Manrope"/>
          <w:b/>
          <w:bCs/>
          <w:color w:val="1A1C1E"/>
          <w:sz w:val="26"/>
          <w:szCs w:val="26"/>
        </w:rPr>
        <w:t xml:space="preserve">5.3 Entity isolation</w:t>
      </w:r>
    </w:p>
    <w:p>
      <w:pPr>
        <w:spacing w:after="120"/>
      </w:pPr>
      <w:r>
        <w:rPr>
          <w:rFonts w:ascii="Manrope" w:cs="Manrope" w:eastAsia="Manrope" w:hAnsi="Manrope"/>
          <w:color w:val="0F1113"/>
          <w:sz w:val="22"/>
          <w:szCs w:val="22"/>
        </w:rPr>
        <w:t xml:space="preserve">API keys are scoped to specific Xero entities. A user querying an entity they don't have access to receives a 403 Forbidden. The mapping is: user → permitted client slugs → permitted entity slugs. A fractional CFO serving three clients gets one API key with access to those three clients' entities only.</w:t>
      </w:r>
    </w:p>
    <w:p>
      <w:pPr>
        <w:pStyle w:val="Heading2"/>
        <w:spacing w:after="120" w:before="240"/>
      </w:pPr>
      <w:r>
        <w:rPr>
          <w:rFonts w:ascii="Manrope" w:cs="Manrope" w:eastAsia="Manrope" w:hAnsi="Manrope"/>
          <w:b/>
          <w:bCs/>
          <w:color w:val="1A1C1E"/>
          <w:sz w:val="26"/>
          <w:szCs w:val="26"/>
        </w:rPr>
        <w:t xml:space="preserve">5.4 Read-only by default</w:t>
      </w:r>
    </w:p>
    <w:p>
      <w:pPr>
        <w:spacing w:after="120"/>
      </w:pPr>
      <w:r>
        <w:rPr>
          <w:rFonts w:ascii="Manrope" w:cs="Manrope" w:eastAsia="Manrope" w:hAnsi="Manrope"/>
          <w:color w:val="0F1113"/>
          <w:sz w:val="22"/>
          <w:szCs w:val="22"/>
        </w:rPr>
        <w:t xml:space="preserve">All tools are read-only by default. Journal posting (the only write operation) requires explicit scope elevation — the user must request write access, and it is granted per-entity, not globally. This mirrors the principle of least privilege and prevents accidental data modification.</w:t>
      </w:r>
    </w:p>
    <w:p>
      <w:pPr>
        <w:pStyle w:val="Heading2"/>
        <w:spacing w:after="120" w:before="240"/>
      </w:pPr>
      <w:r>
        <w:rPr>
          <w:rFonts w:ascii="Manrope" w:cs="Manrope" w:eastAsia="Manrope" w:hAnsi="Manrope"/>
          <w:b/>
          <w:bCs/>
          <w:color w:val="1A1C1E"/>
          <w:sz w:val="26"/>
          <w:szCs w:val="26"/>
        </w:rPr>
        <w:t xml:space="preserve">5.5 Data persistence policy</w:t>
      </w:r>
    </w:p>
    <w:p>
      <w:pPr>
        <w:spacing w:after="120"/>
      </w:pPr>
      <w:r>
        <w:rPr>
          <w:rFonts w:ascii="Manrope" w:cs="Manrope" w:eastAsia="Manrope" w:hAnsi="Manrope"/>
          <w:color w:val="0F1113"/>
          <w:sz w:val="22"/>
          <w:szCs w:val="22"/>
        </w:rPr>
        <w:t xml:space="preserve">The platform does not persist raw Xero API responses. What is persisted:</w:t>
      </w:r>
    </w:p>
    <w:p>
      <w:pPr>
        <w:pStyle w:val="ListParagraph"/>
        <w:numPr>
          <w:ilvl w:val="0"/>
          <w:numId w:val="2"/>
        </w:numPr>
        <w:spacing w:after="60"/>
      </w:pPr>
      <w:r>
        <w:rPr>
          <w:rFonts w:ascii="Manrope" w:cs="Manrope" w:eastAsia="Manrope" w:hAnsi="Manrope"/>
          <w:color w:val="0F1113"/>
          <w:sz w:val="22"/>
          <w:szCs w:val="22"/>
        </w:rPr>
        <w:t xml:space="preserve">Audit trail: which user called which tool, with what parameters, at what time, from which AI client</w:t>
      </w:r>
    </w:p>
    <w:p>
      <w:pPr>
        <w:pStyle w:val="ListParagraph"/>
        <w:numPr>
          <w:ilvl w:val="0"/>
          <w:numId w:val="2"/>
        </w:numPr>
        <w:spacing w:after="60"/>
      </w:pPr>
      <w:r>
        <w:rPr>
          <w:rFonts w:ascii="Manrope" w:cs="Manrope" w:eastAsia="Manrope" w:hAnsi="Manrope"/>
          <w:color w:val="0F1113"/>
          <w:sz w:val="22"/>
          <w:szCs w:val="22"/>
        </w:rPr>
        <w:t xml:space="preserve">Agent run outputs (portal only): the AI's commentary and analysis, not the underlying data</w:t>
      </w:r>
    </w:p>
    <w:p>
      <w:pPr>
        <w:spacing w:after="120"/>
      </w:pPr>
      <w:r>
        <w:rPr>
          <w:rFonts w:ascii="Manrope" w:cs="Manrope" w:eastAsia="Manrope" w:hAnsi="Manrope"/>
          <w:color w:val="0F1113"/>
          <w:sz w:val="22"/>
          <w:szCs w:val="22"/>
        </w:rPr>
        <w:t xml:space="preserve">This distinction is critical for Xero's AI data policy compliance. The analogy: a restaurant review describes the experience of the meal, but it is not the recipe. The review can be stored; the recipe cannot.</w:t>
      </w:r>
    </w:p>
    <w:p>
      <w:r>
        <w:br w:type="page"/>
      </w:r>
    </w:p>
    <w:p>
      <w:pPr>
        <w:pStyle w:val="Heading1"/>
        <w:spacing w:after="120" w:before="400"/>
      </w:pPr>
      <w:r>
        <w:rPr>
          <w:rFonts w:ascii="Manrope" w:cs="Manrope" w:eastAsia="Manrope" w:hAnsi="Manrope"/>
          <w:b/>
          <w:bCs/>
          <w:color w:val="1A1C1E"/>
          <w:sz w:val="32"/>
          <w:szCs w:val="32"/>
        </w:rPr>
        <w:t xml:space="preserve">6. Tool definitions</w:t>
      </w:r>
    </w:p>
    <w:p>
      <w:pPr>
        <w:spacing w:after="120"/>
      </w:pPr>
      <w:r>
        <w:rPr>
          <w:rFonts w:ascii="Manrope" w:cs="Manrope" w:eastAsia="Manrope" w:hAnsi="Manrope"/>
          <w:color w:val="0F1113"/>
          <w:sz w:val="22"/>
          <w:szCs w:val="22"/>
        </w:rPr>
        <w:t xml:space="preserve">The MCP server exposes the following tools, mirroring the existing finance-api endpoints:</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2400"/>
        <w:gridCol w:w="4800"/>
        <w:gridCol w:w="1872"/>
      </w:tblGrid>
      <w:tr>
        <w:trPr>
          <w:tblHeader/>
        </w:trPr>
        <w:tc>
          <w:tcPr>
            <w:tcW w:type="dxa" w:w="2400"/>
            <w:shd w:fill="1A1C1E" w:val="clear"/>
          </w:tcPr>
          <w:p>
            <w:pPr>
              <w:spacing w:after="40" w:before="40"/>
            </w:pPr>
            <w:r>
              <w:rPr>
                <w:rFonts w:ascii="Manrope" w:cs="Manrope" w:eastAsia="Manrope" w:hAnsi="Manrope"/>
                <w:b/>
                <w:bCs/>
                <w:color w:val="FFFFFF"/>
                <w:sz w:val="20"/>
                <w:szCs w:val="20"/>
              </w:rPr>
              <w:t xml:space="preserve">Tool</w:t>
            </w:r>
          </w:p>
        </w:tc>
        <w:tc>
          <w:tcPr>
            <w:tcW w:type="dxa" w:w="4800"/>
            <w:shd w:fill="1A1C1E" w:val="clear"/>
          </w:tcPr>
          <w:p>
            <w:pPr>
              <w:spacing w:after="40" w:before="40"/>
            </w:pPr>
            <w:r>
              <w:rPr>
                <w:rFonts w:ascii="Manrope" w:cs="Manrope" w:eastAsia="Manrope" w:hAnsi="Manrope"/>
                <w:b/>
                <w:bCs/>
                <w:color w:val="FFFFFF"/>
                <w:sz w:val="20"/>
                <w:szCs w:val="20"/>
              </w:rPr>
              <w:t xml:space="preserve">Description</w:t>
            </w:r>
          </w:p>
        </w:tc>
        <w:tc>
          <w:tcPr>
            <w:tcW w:type="dxa" w:w="1872"/>
            <w:shd w:fill="1A1C1E" w:val="clear"/>
          </w:tcPr>
          <w:p>
            <w:pPr>
              <w:spacing w:after="40" w:before="40"/>
            </w:pPr>
            <w:r>
              <w:rPr>
                <w:rFonts w:ascii="Manrope" w:cs="Manrope" w:eastAsia="Manrope" w:hAnsi="Manrope"/>
                <w:b/>
                <w:bCs/>
                <w:color w:val="FFFFFF"/>
                <w:sz w:val="20"/>
                <w:szCs w:val="20"/>
              </w:rPr>
              <w:t xml:space="preserve">Scope</w:t>
            </w:r>
          </w:p>
        </w:tc>
      </w:tr>
      <w:tr>
        <w:tc>
          <w:tcPr>
            <w:tcW w:type="dxa" w:w="2400"/>
            <w:shd w:fill="FFFFFF" w:val="clear"/>
          </w:tcPr>
          <w:p>
            <w:pPr>
              <w:spacing w:after="40" w:before="40"/>
            </w:pPr>
            <w:r>
              <w:rPr>
                <w:rFonts w:ascii="Manrope" w:cs="Manrope" w:eastAsia="Manrope" w:hAnsi="Manrope"/>
                <w:color w:val="0F1113"/>
                <w:sz w:val="22"/>
                <w:szCs w:val="22"/>
              </w:rPr>
              <w:t xml:space="preserve">list_clients</w:t>
            </w:r>
          </w:p>
        </w:tc>
        <w:tc>
          <w:tcPr>
            <w:tcW w:type="dxa" w:w="4800"/>
            <w:shd w:fill="FFFFFF" w:val="clear"/>
          </w:tcPr>
          <w:p>
            <w:pPr>
              <w:spacing w:after="40" w:before="40"/>
            </w:pPr>
            <w:r>
              <w:rPr>
                <w:rFonts w:ascii="Manrope" w:cs="Manrope" w:eastAsia="Manrope" w:hAnsi="Manrope"/>
                <w:color w:val="0F1113"/>
                <w:sz w:val="22"/>
                <w:szCs w:val="22"/>
              </w:rPr>
              <w:t xml:space="preserve">List clients the user has access to</w:t>
            </w:r>
          </w:p>
        </w:tc>
        <w:tc>
          <w:tcPr>
            <w:tcW w:type="dxa" w:w="1872"/>
            <w:shd w:fill="FFFFFF" w:val="clear"/>
          </w:tcPr>
          <w:p>
            <w:pPr>
              <w:spacing w:after="40" w:before="40"/>
            </w:pPr>
            <w:r>
              <w:rPr>
                <w:rFonts w:ascii="Manrope" w:cs="Manrope" w:eastAsia="Manrope" w:hAnsi="Manrope"/>
                <w:color w:val="0F1113"/>
                <w:sz w:val="22"/>
                <w:szCs w:val="22"/>
              </w:rPr>
              <w:t xml:space="preserve">Read</w:t>
            </w:r>
          </w:p>
        </w:tc>
      </w:tr>
      <w:tr>
        <w:tc>
          <w:tcPr>
            <w:tcW w:type="dxa" w:w="2400"/>
            <w:shd w:fill="F5F0E8" w:val="clear"/>
          </w:tcPr>
          <w:p>
            <w:pPr>
              <w:spacing w:after="40" w:before="40"/>
            </w:pPr>
            <w:r>
              <w:rPr>
                <w:rFonts w:ascii="Manrope" w:cs="Manrope" w:eastAsia="Manrope" w:hAnsi="Manrope"/>
                <w:color w:val="0F1113"/>
                <w:sz w:val="22"/>
                <w:szCs w:val="22"/>
              </w:rPr>
              <w:t xml:space="preserve">list_entities</w:t>
            </w:r>
          </w:p>
        </w:tc>
        <w:tc>
          <w:tcPr>
            <w:tcW w:type="dxa" w:w="4800"/>
            <w:shd w:fill="F5F0E8" w:val="clear"/>
          </w:tcPr>
          <w:p>
            <w:pPr>
              <w:spacing w:after="40" w:before="40"/>
            </w:pPr>
            <w:r>
              <w:rPr>
                <w:rFonts w:ascii="Manrope" w:cs="Manrope" w:eastAsia="Manrope" w:hAnsi="Manrope"/>
                <w:color w:val="0F1113"/>
                <w:sz w:val="22"/>
                <w:szCs w:val="22"/>
              </w:rPr>
              <w:t xml:space="preserve">List Xero entities for a client</w:t>
            </w:r>
          </w:p>
        </w:tc>
        <w:tc>
          <w:tcPr>
            <w:tcW w:type="dxa" w:w="1872"/>
            <w:shd w:fill="F5F0E8" w:val="clear"/>
          </w:tcPr>
          <w:p>
            <w:pPr>
              <w:spacing w:after="40" w:before="40"/>
            </w:pPr>
            <w:r>
              <w:rPr>
                <w:rFonts w:ascii="Manrope" w:cs="Manrope" w:eastAsia="Manrope" w:hAnsi="Manrope"/>
                <w:color w:val="0F1113"/>
                <w:sz w:val="22"/>
                <w:szCs w:val="22"/>
              </w:rPr>
              <w:t xml:space="preserve">Read</w:t>
            </w:r>
          </w:p>
        </w:tc>
      </w:tr>
      <w:tr>
        <w:tc>
          <w:tcPr>
            <w:tcW w:type="dxa" w:w="2400"/>
            <w:shd w:fill="FFFFFF" w:val="clear"/>
          </w:tcPr>
          <w:p>
            <w:pPr>
              <w:spacing w:after="40" w:before="40"/>
            </w:pPr>
            <w:r>
              <w:rPr>
                <w:rFonts w:ascii="Manrope" w:cs="Manrope" w:eastAsia="Manrope" w:hAnsi="Manrope"/>
                <w:color w:val="0F1113"/>
                <w:sz w:val="22"/>
                <w:szCs w:val="22"/>
              </w:rPr>
              <w:t xml:space="preserve">get_trial_balance</w:t>
            </w:r>
          </w:p>
        </w:tc>
        <w:tc>
          <w:tcPr>
            <w:tcW w:type="dxa" w:w="4800"/>
            <w:shd w:fill="FFFFFF" w:val="clear"/>
          </w:tcPr>
          <w:p>
            <w:pPr>
              <w:spacing w:after="40" w:before="40"/>
            </w:pPr>
            <w:r>
              <w:rPr>
                <w:rFonts w:ascii="Manrope" w:cs="Manrope" w:eastAsia="Manrope" w:hAnsi="Manrope"/>
                <w:color w:val="0F1113"/>
                <w:sz w:val="22"/>
                <w:szCs w:val="22"/>
              </w:rPr>
              <w:t xml:space="preserve">Trial balance as at a date</w:t>
            </w:r>
          </w:p>
        </w:tc>
        <w:tc>
          <w:tcPr>
            <w:tcW w:type="dxa" w:w="1872"/>
            <w:shd w:fill="FFFFFF" w:val="clear"/>
          </w:tcPr>
          <w:p>
            <w:pPr>
              <w:spacing w:after="40" w:before="40"/>
            </w:pPr>
            <w:r>
              <w:rPr>
                <w:rFonts w:ascii="Manrope" w:cs="Manrope" w:eastAsia="Manrope" w:hAnsi="Manrope"/>
                <w:color w:val="0F1113"/>
                <w:sz w:val="22"/>
                <w:szCs w:val="22"/>
              </w:rPr>
              <w:t xml:space="preserve">Read</w:t>
            </w:r>
          </w:p>
        </w:tc>
      </w:tr>
      <w:tr>
        <w:tc>
          <w:tcPr>
            <w:tcW w:type="dxa" w:w="2400"/>
            <w:shd w:fill="F5F0E8" w:val="clear"/>
          </w:tcPr>
          <w:p>
            <w:pPr>
              <w:spacing w:after="40" w:before="40"/>
            </w:pPr>
            <w:r>
              <w:rPr>
                <w:rFonts w:ascii="Manrope" w:cs="Manrope" w:eastAsia="Manrope" w:hAnsi="Manrope"/>
                <w:color w:val="0F1113"/>
                <w:sz w:val="22"/>
                <w:szCs w:val="22"/>
              </w:rPr>
              <w:t xml:space="preserve">get_profit_and_loss</w:t>
            </w:r>
          </w:p>
        </w:tc>
        <w:tc>
          <w:tcPr>
            <w:tcW w:type="dxa" w:w="4800"/>
            <w:shd w:fill="F5F0E8" w:val="clear"/>
          </w:tcPr>
          <w:p>
            <w:pPr>
              <w:spacing w:after="40" w:before="40"/>
            </w:pPr>
            <w:r>
              <w:rPr>
                <w:rFonts w:ascii="Manrope" w:cs="Manrope" w:eastAsia="Manrope" w:hAnsi="Manrope"/>
                <w:color w:val="0F1113"/>
                <w:sz w:val="22"/>
                <w:szCs w:val="22"/>
              </w:rPr>
              <w:t xml:space="preserve">P&amp;L with optional date range and comparatives</w:t>
            </w:r>
          </w:p>
        </w:tc>
        <w:tc>
          <w:tcPr>
            <w:tcW w:type="dxa" w:w="1872"/>
            <w:shd w:fill="F5F0E8" w:val="clear"/>
          </w:tcPr>
          <w:p>
            <w:pPr>
              <w:spacing w:after="40" w:before="40"/>
            </w:pPr>
            <w:r>
              <w:rPr>
                <w:rFonts w:ascii="Manrope" w:cs="Manrope" w:eastAsia="Manrope" w:hAnsi="Manrope"/>
                <w:color w:val="0F1113"/>
                <w:sz w:val="22"/>
                <w:szCs w:val="22"/>
              </w:rPr>
              <w:t xml:space="preserve">Read</w:t>
            </w:r>
          </w:p>
        </w:tc>
      </w:tr>
      <w:tr>
        <w:tc>
          <w:tcPr>
            <w:tcW w:type="dxa" w:w="2400"/>
            <w:shd w:fill="FFFFFF" w:val="clear"/>
          </w:tcPr>
          <w:p>
            <w:pPr>
              <w:spacing w:after="40" w:before="40"/>
            </w:pPr>
            <w:r>
              <w:rPr>
                <w:rFonts w:ascii="Manrope" w:cs="Manrope" w:eastAsia="Manrope" w:hAnsi="Manrope"/>
                <w:color w:val="0F1113"/>
                <w:sz w:val="22"/>
                <w:szCs w:val="22"/>
              </w:rPr>
              <w:t xml:space="preserve">get_balance_sheet</w:t>
            </w:r>
          </w:p>
        </w:tc>
        <w:tc>
          <w:tcPr>
            <w:tcW w:type="dxa" w:w="4800"/>
            <w:shd w:fill="FFFFFF" w:val="clear"/>
          </w:tcPr>
          <w:p>
            <w:pPr>
              <w:spacing w:after="40" w:before="40"/>
            </w:pPr>
            <w:r>
              <w:rPr>
                <w:rFonts w:ascii="Manrope" w:cs="Manrope" w:eastAsia="Manrope" w:hAnsi="Manrope"/>
                <w:color w:val="0F1113"/>
                <w:sz w:val="22"/>
                <w:szCs w:val="22"/>
              </w:rPr>
              <w:t xml:space="preserve">Balance sheet as at a date</w:t>
            </w:r>
          </w:p>
        </w:tc>
        <w:tc>
          <w:tcPr>
            <w:tcW w:type="dxa" w:w="1872"/>
            <w:shd w:fill="FFFFFF" w:val="clear"/>
          </w:tcPr>
          <w:p>
            <w:pPr>
              <w:spacing w:after="40" w:before="40"/>
            </w:pPr>
            <w:r>
              <w:rPr>
                <w:rFonts w:ascii="Manrope" w:cs="Manrope" w:eastAsia="Manrope" w:hAnsi="Manrope"/>
                <w:color w:val="0F1113"/>
                <w:sz w:val="22"/>
                <w:szCs w:val="22"/>
              </w:rPr>
              <w:t xml:space="preserve">Read</w:t>
            </w:r>
          </w:p>
        </w:tc>
      </w:tr>
      <w:tr>
        <w:tc>
          <w:tcPr>
            <w:tcW w:type="dxa" w:w="2400"/>
            <w:shd w:fill="F5F0E8" w:val="clear"/>
          </w:tcPr>
          <w:p>
            <w:pPr>
              <w:spacing w:after="40" w:before="40"/>
            </w:pPr>
            <w:r>
              <w:rPr>
                <w:rFonts w:ascii="Manrope" w:cs="Manrope" w:eastAsia="Manrope" w:hAnsi="Manrope"/>
                <w:color w:val="0F1113"/>
                <w:sz w:val="22"/>
                <w:szCs w:val="22"/>
              </w:rPr>
              <w:t xml:space="preserve">get_bank_summary</w:t>
            </w:r>
          </w:p>
        </w:tc>
        <w:tc>
          <w:tcPr>
            <w:tcW w:type="dxa" w:w="4800"/>
            <w:shd w:fill="F5F0E8" w:val="clear"/>
          </w:tcPr>
          <w:p>
            <w:pPr>
              <w:spacing w:after="40" w:before="40"/>
            </w:pPr>
            <w:r>
              <w:rPr>
                <w:rFonts w:ascii="Manrope" w:cs="Manrope" w:eastAsia="Manrope" w:hAnsi="Manrope"/>
                <w:color w:val="0F1113"/>
                <w:sz w:val="22"/>
                <w:szCs w:val="22"/>
              </w:rPr>
              <w:t xml:space="preserve">Cash positions across all bank accounts</w:t>
            </w:r>
          </w:p>
        </w:tc>
        <w:tc>
          <w:tcPr>
            <w:tcW w:type="dxa" w:w="1872"/>
            <w:shd w:fill="F5F0E8" w:val="clear"/>
          </w:tcPr>
          <w:p>
            <w:pPr>
              <w:spacing w:after="40" w:before="40"/>
            </w:pPr>
            <w:r>
              <w:rPr>
                <w:rFonts w:ascii="Manrope" w:cs="Manrope" w:eastAsia="Manrope" w:hAnsi="Manrope"/>
                <w:color w:val="0F1113"/>
                <w:sz w:val="22"/>
                <w:szCs w:val="22"/>
              </w:rPr>
              <w:t xml:space="preserve">Read</w:t>
            </w:r>
          </w:p>
        </w:tc>
      </w:tr>
      <w:tr>
        <w:tc>
          <w:tcPr>
            <w:tcW w:type="dxa" w:w="2400"/>
            <w:shd w:fill="FFFFFF" w:val="clear"/>
          </w:tcPr>
          <w:p>
            <w:pPr>
              <w:spacing w:after="40" w:before="40"/>
            </w:pPr>
            <w:r>
              <w:rPr>
                <w:rFonts w:ascii="Manrope" w:cs="Manrope" w:eastAsia="Manrope" w:hAnsi="Manrope"/>
                <w:color w:val="0F1113"/>
                <w:sz w:val="22"/>
                <w:szCs w:val="22"/>
              </w:rPr>
              <w:t xml:space="preserve">get_aged_receivables</w:t>
            </w:r>
          </w:p>
        </w:tc>
        <w:tc>
          <w:tcPr>
            <w:tcW w:type="dxa" w:w="4800"/>
            <w:shd w:fill="FFFFFF" w:val="clear"/>
          </w:tcPr>
          <w:p>
            <w:pPr>
              <w:spacing w:after="40" w:before="40"/>
            </w:pPr>
            <w:r>
              <w:rPr>
                <w:rFonts w:ascii="Manrope" w:cs="Manrope" w:eastAsia="Manrope" w:hAnsi="Manrope"/>
                <w:color w:val="0F1113"/>
                <w:sz w:val="22"/>
                <w:szCs w:val="22"/>
              </w:rPr>
              <w:t xml:space="preserve">Outstanding sales invoices with ageing buckets</w:t>
            </w:r>
          </w:p>
        </w:tc>
        <w:tc>
          <w:tcPr>
            <w:tcW w:type="dxa" w:w="1872"/>
            <w:shd w:fill="FFFFFF" w:val="clear"/>
          </w:tcPr>
          <w:p>
            <w:pPr>
              <w:spacing w:after="40" w:before="40"/>
            </w:pPr>
            <w:r>
              <w:rPr>
                <w:rFonts w:ascii="Manrope" w:cs="Manrope" w:eastAsia="Manrope" w:hAnsi="Manrope"/>
                <w:color w:val="0F1113"/>
                <w:sz w:val="22"/>
                <w:szCs w:val="22"/>
              </w:rPr>
              <w:t xml:space="preserve">Read</w:t>
            </w:r>
          </w:p>
        </w:tc>
      </w:tr>
      <w:tr>
        <w:tc>
          <w:tcPr>
            <w:tcW w:type="dxa" w:w="2400"/>
            <w:shd w:fill="F5F0E8" w:val="clear"/>
          </w:tcPr>
          <w:p>
            <w:pPr>
              <w:spacing w:after="40" w:before="40"/>
            </w:pPr>
            <w:r>
              <w:rPr>
                <w:rFonts w:ascii="Manrope" w:cs="Manrope" w:eastAsia="Manrope" w:hAnsi="Manrope"/>
                <w:color w:val="0F1113"/>
                <w:sz w:val="22"/>
                <w:szCs w:val="22"/>
              </w:rPr>
              <w:t xml:space="preserve">get_aged_payables</w:t>
            </w:r>
          </w:p>
        </w:tc>
        <w:tc>
          <w:tcPr>
            <w:tcW w:type="dxa" w:w="4800"/>
            <w:shd w:fill="F5F0E8" w:val="clear"/>
          </w:tcPr>
          <w:p>
            <w:pPr>
              <w:spacing w:after="40" w:before="40"/>
            </w:pPr>
            <w:r>
              <w:rPr>
                <w:rFonts w:ascii="Manrope" w:cs="Manrope" w:eastAsia="Manrope" w:hAnsi="Manrope"/>
                <w:color w:val="0F1113"/>
                <w:sz w:val="22"/>
                <w:szCs w:val="22"/>
              </w:rPr>
              <w:t xml:space="preserve">Outstanding purchase invoices with ageing buckets</w:t>
            </w:r>
          </w:p>
        </w:tc>
        <w:tc>
          <w:tcPr>
            <w:tcW w:type="dxa" w:w="1872"/>
            <w:shd w:fill="F5F0E8" w:val="clear"/>
          </w:tcPr>
          <w:p>
            <w:pPr>
              <w:spacing w:after="40" w:before="40"/>
            </w:pPr>
            <w:r>
              <w:rPr>
                <w:rFonts w:ascii="Manrope" w:cs="Manrope" w:eastAsia="Manrope" w:hAnsi="Manrope"/>
                <w:color w:val="0F1113"/>
                <w:sz w:val="22"/>
                <w:szCs w:val="22"/>
              </w:rPr>
              <w:t xml:space="preserve">Read</w:t>
            </w:r>
          </w:p>
        </w:tc>
      </w:tr>
      <w:tr>
        <w:tc>
          <w:tcPr>
            <w:tcW w:type="dxa" w:w="2400"/>
            <w:shd w:fill="FFFFFF" w:val="clear"/>
          </w:tcPr>
          <w:p>
            <w:pPr>
              <w:spacing w:after="40" w:before="40"/>
            </w:pPr>
            <w:r>
              <w:rPr>
                <w:rFonts w:ascii="Manrope" w:cs="Manrope" w:eastAsia="Manrope" w:hAnsi="Manrope"/>
                <w:color w:val="0F1113"/>
                <w:sz w:val="22"/>
                <w:szCs w:val="22"/>
              </w:rPr>
              <w:t xml:space="preserve">get_chart_of_accounts</w:t>
            </w:r>
          </w:p>
        </w:tc>
        <w:tc>
          <w:tcPr>
            <w:tcW w:type="dxa" w:w="4800"/>
            <w:shd w:fill="FFFFFF" w:val="clear"/>
          </w:tcPr>
          <w:p>
            <w:pPr>
              <w:spacing w:after="40" w:before="40"/>
            </w:pPr>
            <w:r>
              <w:rPr>
                <w:rFonts w:ascii="Manrope" w:cs="Manrope" w:eastAsia="Manrope" w:hAnsi="Manrope"/>
                <w:color w:val="0F1113"/>
                <w:sz w:val="22"/>
                <w:szCs w:val="22"/>
              </w:rPr>
              <w:t xml:space="preserve">Full chart of accounts with types and tax codes</w:t>
            </w:r>
          </w:p>
        </w:tc>
        <w:tc>
          <w:tcPr>
            <w:tcW w:type="dxa" w:w="1872"/>
            <w:shd w:fill="FFFFFF" w:val="clear"/>
          </w:tcPr>
          <w:p>
            <w:pPr>
              <w:spacing w:after="40" w:before="40"/>
            </w:pPr>
            <w:r>
              <w:rPr>
                <w:rFonts w:ascii="Manrope" w:cs="Manrope" w:eastAsia="Manrope" w:hAnsi="Manrope"/>
                <w:color w:val="0F1113"/>
                <w:sz w:val="22"/>
                <w:szCs w:val="22"/>
              </w:rPr>
              <w:t xml:space="preserve">Read</w:t>
            </w:r>
          </w:p>
        </w:tc>
      </w:tr>
      <w:tr>
        <w:tc>
          <w:tcPr>
            <w:tcW w:type="dxa" w:w="2400"/>
            <w:shd w:fill="F5F0E8" w:val="clear"/>
          </w:tcPr>
          <w:p>
            <w:pPr>
              <w:spacing w:after="40" w:before="40"/>
            </w:pPr>
            <w:r>
              <w:rPr>
                <w:rFonts w:ascii="Manrope" w:cs="Manrope" w:eastAsia="Manrope" w:hAnsi="Manrope"/>
                <w:color w:val="0F1113"/>
                <w:sz w:val="22"/>
                <w:szCs w:val="22"/>
              </w:rPr>
              <w:t xml:space="preserve">post_journal</w:t>
            </w:r>
          </w:p>
        </w:tc>
        <w:tc>
          <w:tcPr>
            <w:tcW w:type="dxa" w:w="4800"/>
            <w:shd w:fill="F5F0E8" w:val="clear"/>
          </w:tcPr>
          <w:p>
            <w:pPr>
              <w:spacing w:after="40" w:before="40"/>
            </w:pPr>
            <w:r>
              <w:rPr>
                <w:rFonts w:ascii="Manrope" w:cs="Manrope" w:eastAsia="Manrope" w:hAnsi="Manrope"/>
                <w:color w:val="0F1113"/>
                <w:sz w:val="22"/>
                <w:szCs w:val="22"/>
              </w:rPr>
              <w:t xml:space="preserve">Post a manual journal entry to Xero</w:t>
            </w:r>
          </w:p>
        </w:tc>
        <w:tc>
          <w:tcPr>
            <w:tcW w:type="dxa" w:w="1872"/>
            <w:shd w:fill="F5F0E8" w:val="clear"/>
          </w:tcPr>
          <w:p>
            <w:pPr>
              <w:spacing w:after="40" w:before="40"/>
            </w:pPr>
            <w:r>
              <w:rPr>
                <w:rFonts w:ascii="Manrope" w:cs="Manrope" w:eastAsia="Manrope" w:hAnsi="Manrope"/>
                <w:color w:val="0F1113"/>
                <w:sz w:val="22"/>
                <w:szCs w:val="22"/>
              </w:rPr>
              <w:t xml:space="preserve">Write (elevated)</w:t>
            </w:r>
          </w:p>
        </w:tc>
      </w:tr>
    </w:tbl>
    <w:p>
      <w:pPr>
        <w:spacing w:after="120"/>
      </w:pPr>
      <w:r>
        <w:rPr>
          <w:rFonts w:ascii="Manrope" w:cs="Manrope" w:eastAsia="Manrope" w:hAnsi="Manrope"/>
          <w:color w:val="0F1113"/>
          <w:sz w:val="22"/>
          <w:szCs w:val="22"/>
        </w:rPr>
        <w:t xml:space="preserve">All tools accept a client_slug parameter to identify the target client. Entity selection defaults to the primary entity but can be overridden.</w:t>
      </w:r>
    </w:p>
    <w:p>
      <w:pPr>
        <w:pStyle w:val="Heading1"/>
        <w:spacing w:after="120" w:before="400"/>
      </w:pPr>
      <w:r>
        <w:rPr>
          <w:rFonts w:ascii="Manrope" w:cs="Manrope" w:eastAsia="Manrope" w:hAnsi="Manrope"/>
          <w:b/>
          <w:bCs/>
          <w:color w:val="1A1C1E"/>
          <w:sz w:val="32"/>
          <w:szCs w:val="32"/>
        </w:rPr>
        <w:t xml:space="preserve">7. Pricing model</w:t>
      </w:r>
    </w:p>
    <w:p>
      <w:pPr>
        <w:spacing w:after="120"/>
      </w:pPr>
      <w:r>
        <w:rPr>
          <w:rFonts w:ascii="Manrope" w:cs="Manrope" w:eastAsia="Manrope" w:hAnsi="Manrope"/>
          <w:color w:val="0F1113"/>
          <w:sz w:val="22"/>
          <w:szCs w:val="22"/>
        </w:rPr>
        <w:t xml:space="preserve">Revenue comes from platform access fees — charging for the Xero integration, client context, and audit infrastructure. AI inference is the user's own cost.</w:t>
      </w:r>
    </w:p>
    <w:p>
      <w:pPr>
        <w:pStyle w:val="Heading2"/>
        <w:spacing w:after="120" w:before="240"/>
      </w:pPr>
      <w:r>
        <w:rPr>
          <w:rFonts w:ascii="Manrope" w:cs="Manrope" w:eastAsia="Manrope" w:hAnsi="Manrope"/>
          <w:b/>
          <w:bCs/>
          <w:color w:val="1A1C1E"/>
          <w:sz w:val="26"/>
          <w:szCs w:val="26"/>
        </w:rPr>
        <w:t xml:space="preserve">7.1 Tier structure</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1400"/>
        <w:gridCol w:w="1800"/>
        <w:gridCol w:w="1200"/>
        <w:gridCol w:w="1200"/>
        <w:gridCol w:w="3472"/>
      </w:tblGrid>
      <w:tr>
        <w:trPr>
          <w:tblHeader/>
        </w:trPr>
        <w:tc>
          <w:tcPr>
            <w:tcW w:type="dxa" w:w="1400"/>
            <w:shd w:fill="1A1C1E" w:val="clear"/>
          </w:tcPr>
          <w:p>
            <w:pPr>
              <w:spacing w:after="40" w:before="40"/>
            </w:pPr>
            <w:r>
              <w:rPr>
                <w:rFonts w:ascii="Manrope" w:cs="Manrope" w:eastAsia="Manrope" w:hAnsi="Manrope"/>
                <w:b/>
                <w:bCs/>
                <w:color w:val="FFFFFF"/>
                <w:sz w:val="20"/>
                <w:szCs w:val="20"/>
              </w:rPr>
              <w:t xml:space="preserve">Tier</w:t>
            </w:r>
          </w:p>
        </w:tc>
        <w:tc>
          <w:tcPr>
            <w:tcW w:type="dxa" w:w="1800"/>
            <w:shd w:fill="1A1C1E" w:val="clear"/>
          </w:tcPr>
          <w:p>
            <w:pPr>
              <w:spacing w:after="40" w:before="40"/>
            </w:pPr>
            <w:r>
              <w:rPr>
                <w:rFonts w:ascii="Manrope" w:cs="Manrope" w:eastAsia="Manrope" w:hAnsi="Manrope"/>
                <w:b/>
                <w:bCs/>
                <w:color w:val="FFFFFF"/>
                <w:sz w:val="20"/>
                <w:szCs w:val="20"/>
              </w:rPr>
              <w:t xml:space="preserve">Price</w:t>
            </w:r>
          </w:p>
        </w:tc>
        <w:tc>
          <w:tcPr>
            <w:tcW w:type="dxa" w:w="1200"/>
            <w:shd w:fill="1A1C1E" w:val="clear"/>
          </w:tcPr>
          <w:p>
            <w:pPr>
              <w:spacing w:after="40" w:before="40"/>
            </w:pPr>
            <w:r>
              <w:rPr>
                <w:rFonts w:ascii="Manrope" w:cs="Manrope" w:eastAsia="Manrope" w:hAnsi="Manrope"/>
                <w:b/>
                <w:bCs/>
                <w:color w:val="FFFFFF"/>
                <w:sz w:val="20"/>
                <w:szCs w:val="20"/>
              </w:rPr>
              <w:t xml:space="preserve">Entities</w:t>
            </w:r>
          </w:p>
        </w:tc>
        <w:tc>
          <w:tcPr>
            <w:tcW w:type="dxa" w:w="1200"/>
            <w:shd w:fill="1A1C1E" w:val="clear"/>
          </w:tcPr>
          <w:p>
            <w:pPr>
              <w:spacing w:after="40" w:before="40"/>
            </w:pPr>
            <w:r>
              <w:rPr>
                <w:rFonts w:ascii="Manrope" w:cs="Manrope" w:eastAsia="Manrope" w:hAnsi="Manrope"/>
                <w:b/>
                <w:bCs/>
                <w:color w:val="FFFFFF"/>
                <w:sz w:val="20"/>
                <w:szCs w:val="20"/>
              </w:rPr>
              <w:t xml:space="preserve">Users</w:t>
            </w:r>
          </w:p>
        </w:tc>
        <w:tc>
          <w:tcPr>
            <w:tcW w:type="dxa" w:w="3472"/>
            <w:shd w:fill="1A1C1E" w:val="clear"/>
          </w:tcPr>
          <w:p>
            <w:pPr>
              <w:spacing w:after="40" w:before="40"/>
            </w:pPr>
            <w:r>
              <w:rPr>
                <w:rFonts w:ascii="Manrope" w:cs="Manrope" w:eastAsia="Manrope" w:hAnsi="Manrope"/>
                <w:b/>
                <w:bCs/>
                <w:color w:val="FFFFFF"/>
                <w:sz w:val="20"/>
                <w:szCs w:val="20"/>
              </w:rPr>
              <w:t xml:space="preserve">Features</w:t>
            </w:r>
          </w:p>
        </w:tc>
      </w:tr>
      <w:tr>
        <w:tc>
          <w:tcPr>
            <w:tcW w:type="dxa" w:w="1400"/>
            <w:shd w:fill="FFFFFF" w:val="clear"/>
          </w:tcPr>
          <w:p>
            <w:pPr>
              <w:spacing w:after="40" w:before="40"/>
            </w:pPr>
            <w:r>
              <w:rPr>
                <w:rFonts w:ascii="Manrope" w:cs="Manrope" w:eastAsia="Manrope" w:hAnsi="Manrope"/>
                <w:color w:val="0F1113"/>
                <w:sz w:val="22"/>
                <w:szCs w:val="22"/>
              </w:rPr>
              <w:t xml:space="preserve">Starter</w:t>
            </w:r>
          </w:p>
        </w:tc>
        <w:tc>
          <w:tcPr>
            <w:tcW w:type="dxa" w:w="1800"/>
            <w:shd w:fill="FFFFFF" w:val="clear"/>
          </w:tcPr>
          <w:p>
            <w:pPr>
              <w:spacing w:after="40" w:before="40"/>
            </w:pPr>
            <w:r>
              <w:rPr>
                <w:rFonts w:ascii="Manrope" w:cs="Manrope" w:eastAsia="Manrope" w:hAnsi="Manrope"/>
                <w:color w:val="0F1113"/>
                <w:sz w:val="22"/>
                <w:szCs w:val="22"/>
              </w:rPr>
              <w:t xml:space="preserve">£49/entity/month</w:t>
            </w:r>
          </w:p>
        </w:tc>
        <w:tc>
          <w:tcPr>
            <w:tcW w:type="dxa" w:w="1200"/>
            <w:shd w:fill="FFFFFF" w:val="clear"/>
          </w:tcPr>
          <w:p>
            <w:pPr>
              <w:spacing w:after="40" w:before="40"/>
            </w:pPr>
            <w:r>
              <w:rPr>
                <w:rFonts w:ascii="Manrope" w:cs="Manrope" w:eastAsia="Manrope" w:hAnsi="Manrope"/>
                <w:color w:val="0F1113"/>
                <w:sz w:val="22"/>
                <w:szCs w:val="22"/>
              </w:rPr>
              <w:t xml:space="preserve">1</w:t>
            </w:r>
          </w:p>
        </w:tc>
        <w:tc>
          <w:tcPr>
            <w:tcW w:type="dxa" w:w="1200"/>
            <w:shd w:fill="FFFFFF" w:val="clear"/>
          </w:tcPr>
          <w:p>
            <w:pPr>
              <w:spacing w:after="40" w:before="40"/>
            </w:pPr>
            <w:r>
              <w:rPr>
                <w:rFonts w:ascii="Manrope" w:cs="Manrope" w:eastAsia="Manrope" w:hAnsi="Manrope"/>
                <w:color w:val="0F1113"/>
                <w:sz w:val="22"/>
                <w:szCs w:val="22"/>
              </w:rPr>
              <w:t xml:space="preserve">1</w:t>
            </w:r>
          </w:p>
        </w:tc>
        <w:tc>
          <w:tcPr>
            <w:tcW w:type="dxa" w:w="3472"/>
            <w:shd w:fill="FFFFFF" w:val="clear"/>
          </w:tcPr>
          <w:p>
            <w:pPr>
              <w:spacing w:after="40" w:before="40"/>
            </w:pPr>
            <w:r>
              <w:rPr>
                <w:rFonts w:ascii="Manrope" w:cs="Manrope" w:eastAsia="Manrope" w:hAnsi="Manrope"/>
                <w:color w:val="0F1113"/>
                <w:sz w:val="22"/>
                <w:szCs w:val="22"/>
              </w:rPr>
              <w:t xml:space="preserve">All read tools, audit trail, portal access</w:t>
            </w:r>
          </w:p>
        </w:tc>
      </w:tr>
      <w:tr>
        <w:tc>
          <w:tcPr>
            <w:tcW w:type="dxa" w:w="1400"/>
            <w:shd w:fill="F5F0E8" w:val="clear"/>
          </w:tcPr>
          <w:p>
            <w:pPr>
              <w:spacing w:after="40" w:before="40"/>
            </w:pPr>
            <w:r>
              <w:rPr>
                <w:rFonts w:ascii="Manrope" w:cs="Manrope" w:eastAsia="Manrope" w:hAnsi="Manrope"/>
                <w:color w:val="0F1113"/>
                <w:sz w:val="22"/>
                <w:szCs w:val="22"/>
              </w:rPr>
              <w:t xml:space="preserve">Professional</w:t>
            </w:r>
          </w:p>
        </w:tc>
        <w:tc>
          <w:tcPr>
            <w:tcW w:type="dxa" w:w="1800"/>
            <w:shd w:fill="F5F0E8" w:val="clear"/>
          </w:tcPr>
          <w:p>
            <w:pPr>
              <w:spacing w:after="40" w:before="40"/>
            </w:pPr>
            <w:r>
              <w:rPr>
                <w:rFonts w:ascii="Manrope" w:cs="Manrope" w:eastAsia="Manrope" w:hAnsi="Manrope"/>
                <w:color w:val="0F1113"/>
                <w:sz w:val="22"/>
                <w:szCs w:val="22"/>
              </w:rPr>
              <w:t xml:space="preserve">£99/entity/month</w:t>
            </w:r>
          </w:p>
        </w:tc>
        <w:tc>
          <w:tcPr>
            <w:tcW w:type="dxa" w:w="1200"/>
            <w:shd w:fill="F5F0E8" w:val="clear"/>
          </w:tcPr>
          <w:p>
            <w:pPr>
              <w:spacing w:after="40" w:before="40"/>
            </w:pPr>
            <w:r>
              <w:rPr>
                <w:rFonts w:ascii="Manrope" w:cs="Manrope" w:eastAsia="Manrope" w:hAnsi="Manrope"/>
                <w:color w:val="0F1113"/>
                <w:sz w:val="22"/>
                <w:szCs w:val="22"/>
              </w:rPr>
              <w:t xml:space="preserve">Up to 5</w:t>
            </w:r>
          </w:p>
        </w:tc>
        <w:tc>
          <w:tcPr>
            <w:tcW w:type="dxa" w:w="1200"/>
            <w:shd w:fill="F5F0E8" w:val="clear"/>
          </w:tcPr>
          <w:p>
            <w:pPr>
              <w:spacing w:after="40" w:before="40"/>
            </w:pPr>
            <w:r>
              <w:rPr>
                <w:rFonts w:ascii="Manrope" w:cs="Manrope" w:eastAsia="Manrope" w:hAnsi="Manrope"/>
                <w:color w:val="0F1113"/>
                <w:sz w:val="22"/>
                <w:szCs w:val="22"/>
              </w:rPr>
              <w:t xml:space="preserve">Up to 3</w:t>
            </w:r>
          </w:p>
        </w:tc>
        <w:tc>
          <w:tcPr>
            <w:tcW w:type="dxa" w:w="3472"/>
            <w:shd w:fill="F5F0E8" w:val="clear"/>
          </w:tcPr>
          <w:p>
            <w:pPr>
              <w:spacing w:after="40" w:before="40"/>
            </w:pPr>
            <w:r>
              <w:rPr>
                <w:rFonts w:ascii="Manrope" w:cs="Manrope" w:eastAsia="Manrope" w:hAnsi="Manrope"/>
                <w:color w:val="0F1113"/>
                <w:sz w:val="22"/>
                <w:szCs w:val="22"/>
              </w:rPr>
              <w:t xml:space="preserve">All tools incl. journal posting, agent roles, team portal</w:t>
            </w:r>
          </w:p>
        </w:tc>
      </w:tr>
      <w:tr>
        <w:tc>
          <w:tcPr>
            <w:tcW w:type="dxa" w:w="1400"/>
            <w:shd w:fill="FFFFFF" w:val="clear"/>
          </w:tcPr>
          <w:p>
            <w:pPr>
              <w:spacing w:after="40" w:before="40"/>
            </w:pPr>
            <w:r>
              <w:rPr>
                <w:rFonts w:ascii="Manrope" w:cs="Manrope" w:eastAsia="Manrope" w:hAnsi="Manrope"/>
                <w:color w:val="0F1113"/>
                <w:sz w:val="22"/>
                <w:szCs w:val="22"/>
              </w:rPr>
              <w:t xml:space="preserve">Practice</w:t>
            </w:r>
          </w:p>
        </w:tc>
        <w:tc>
          <w:tcPr>
            <w:tcW w:type="dxa" w:w="1800"/>
            <w:shd w:fill="FFFFFF" w:val="clear"/>
          </w:tcPr>
          <w:p>
            <w:pPr>
              <w:spacing w:after="40" w:before="40"/>
            </w:pPr>
            <w:r>
              <w:rPr>
                <w:rFonts w:ascii="Manrope" w:cs="Manrope" w:eastAsia="Manrope" w:hAnsi="Manrope"/>
                <w:color w:val="0F1113"/>
                <w:sz w:val="22"/>
                <w:szCs w:val="22"/>
              </w:rPr>
              <w:t xml:space="preserve">Custom</w:t>
            </w:r>
          </w:p>
        </w:tc>
        <w:tc>
          <w:tcPr>
            <w:tcW w:type="dxa" w:w="1200"/>
            <w:shd w:fill="FFFFFF" w:val="clear"/>
          </w:tcPr>
          <w:p>
            <w:pPr>
              <w:spacing w:after="40" w:before="40"/>
            </w:pPr>
            <w:r>
              <w:rPr>
                <w:rFonts w:ascii="Manrope" w:cs="Manrope" w:eastAsia="Manrope" w:hAnsi="Manrope"/>
                <w:color w:val="0F1113"/>
                <w:sz w:val="22"/>
                <w:szCs w:val="22"/>
              </w:rPr>
              <w:t xml:space="preserve">Unlimited</w:t>
            </w:r>
          </w:p>
        </w:tc>
        <w:tc>
          <w:tcPr>
            <w:tcW w:type="dxa" w:w="1200"/>
            <w:shd w:fill="FFFFFF" w:val="clear"/>
          </w:tcPr>
          <w:p>
            <w:pPr>
              <w:spacing w:after="40" w:before="40"/>
            </w:pPr>
            <w:r>
              <w:rPr>
                <w:rFonts w:ascii="Manrope" w:cs="Manrope" w:eastAsia="Manrope" w:hAnsi="Manrope"/>
                <w:color w:val="0F1113"/>
                <w:sz w:val="22"/>
                <w:szCs w:val="22"/>
              </w:rPr>
              <w:t xml:space="preserve">Unlimited</w:t>
            </w:r>
          </w:p>
        </w:tc>
        <w:tc>
          <w:tcPr>
            <w:tcW w:type="dxa" w:w="3472"/>
            <w:shd w:fill="FFFFFF" w:val="clear"/>
          </w:tcPr>
          <w:p>
            <w:pPr>
              <w:spacing w:after="40" w:before="40"/>
            </w:pPr>
            <w:r>
              <w:rPr>
                <w:rFonts w:ascii="Manrope" w:cs="Manrope" w:eastAsia="Manrope" w:hAnsi="Manrope"/>
                <w:color w:val="0F1113"/>
                <w:sz w:val="22"/>
                <w:szCs w:val="22"/>
              </w:rPr>
              <w:t xml:space="preserve">White-label option, priority support, custom integrations</w:t>
            </w:r>
          </w:p>
        </w:tc>
      </w:tr>
    </w:tbl>
    <w:p>
      <w:pPr>
        <w:spacing w:after="120"/>
      </w:pPr>
      <w:r>
        <w:rPr>
          <w:rFonts w:ascii="Manrope" w:cs="Manrope" w:eastAsia="Manrope" w:hAnsi="Manrope"/>
          <w:color w:val="0F1113"/>
          <w:sz w:val="22"/>
          <w:szCs w:val="22"/>
        </w:rPr>
        <w:t xml:space="preserve">Pricing benchmarks from comparable markets: GDPR Article 27 representative services charge EUR 1,200–3,600/year per client. Xero add-on apps typically charge £20–£150/month. The Starter tier at £588/year sits within both ranges.</w:t>
      </w:r>
    </w:p>
    <w:p>
      <w:pPr>
        <w:pStyle w:val="Heading2"/>
        <w:spacing w:after="120" w:before="240"/>
      </w:pPr>
      <w:r>
        <w:rPr>
          <w:rFonts w:ascii="Manrope" w:cs="Manrope" w:eastAsia="Manrope" w:hAnsi="Manrope"/>
          <w:b/>
          <w:bCs/>
          <w:color w:val="1A1C1E"/>
          <w:sz w:val="26"/>
          <w:szCs w:val="26"/>
        </w:rPr>
        <w:t xml:space="preserve">7.2 Revenue streams</w:t>
      </w:r>
    </w:p>
    <w:p>
      <w:pPr>
        <w:pStyle w:val="ListParagraph"/>
        <w:numPr>
          <w:ilvl w:val="0"/>
          <w:numId w:val="2"/>
        </w:numPr>
        <w:spacing w:after="60"/>
      </w:pPr>
      <w:r>
        <w:rPr>
          <w:rFonts w:ascii="Manrope" w:cs="Manrope" w:eastAsia="Manrope" w:hAnsi="Manrope"/>
          <w:color w:val="0F1113"/>
          <w:sz w:val="22"/>
          <w:szCs w:val="22"/>
        </w:rPr>
        <w:t xml:space="preserve">Platform subscription: per-entity monthly fee (primary revenue)</w:t>
      </w:r>
    </w:p>
    <w:p>
      <w:pPr>
        <w:pStyle w:val="ListParagraph"/>
        <w:numPr>
          <w:ilvl w:val="0"/>
          <w:numId w:val="2"/>
        </w:numPr>
        <w:spacing w:after="60"/>
      </w:pPr>
      <w:r>
        <w:rPr>
          <w:rFonts w:ascii="Manrope" w:cs="Manrope" w:eastAsia="Manrope" w:hAnsi="Manrope"/>
          <w:color w:val="0F1113"/>
          <w:sz w:val="22"/>
          <w:szCs w:val="22"/>
        </w:rPr>
        <w:t xml:space="preserve">Setup and onboarding: one-time fee for Xero connection, configuration, and training</w:t>
      </w:r>
    </w:p>
    <w:p>
      <w:pPr>
        <w:pStyle w:val="ListParagraph"/>
        <w:numPr>
          <w:ilvl w:val="0"/>
          <w:numId w:val="2"/>
        </w:numPr>
        <w:spacing w:after="60"/>
      </w:pPr>
      <w:r>
        <w:rPr>
          <w:rFonts w:ascii="Manrope" w:cs="Manrope" w:eastAsia="Manrope" w:hAnsi="Manrope"/>
          <w:color w:val="0F1113"/>
          <w:sz w:val="22"/>
          <w:szCs w:val="22"/>
        </w:rPr>
        <w:t xml:space="preserve">Advisory overlay: fractional CFO retainer using the platform as delivery infrastructure (STZA's existing service, now platform-enabled)</w:t>
      </w:r>
    </w:p>
    <w:p>
      <w:pPr>
        <w:pStyle w:val="Heading2"/>
        <w:spacing w:after="120" w:before="240"/>
      </w:pPr>
      <w:r>
        <w:rPr>
          <w:rFonts w:ascii="Manrope" w:cs="Manrope" w:eastAsia="Manrope" w:hAnsi="Manrope"/>
          <w:b/>
          <w:bCs/>
          <w:color w:val="1A1C1E"/>
          <w:sz w:val="26"/>
          <w:szCs w:val="26"/>
        </w:rPr>
        <w:t xml:space="preserve">7.3 Cost structure</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2400"/>
        <w:gridCol w:w="3336"/>
        <w:gridCol w:w="3336"/>
      </w:tblGrid>
      <w:tr>
        <w:trPr>
          <w:tblHeader/>
        </w:trPr>
        <w:tc>
          <w:tcPr>
            <w:tcW w:type="dxa" w:w="2400"/>
            <w:shd w:fill="1A1C1E" w:val="clear"/>
          </w:tcPr>
          <w:p>
            <w:pPr>
              <w:spacing w:after="40" w:before="40"/>
            </w:pPr>
            <w:r>
              <w:rPr>
                <w:rFonts w:ascii="Manrope" w:cs="Manrope" w:eastAsia="Manrope" w:hAnsi="Manrope"/>
                <w:b/>
                <w:bCs/>
                <w:color w:val="FFFFFF"/>
                <w:sz w:val="20"/>
                <w:szCs w:val="20"/>
              </w:rPr>
              <w:t xml:space="preserve">Item</w:t>
            </w:r>
          </w:p>
        </w:tc>
        <w:tc>
          <w:tcPr>
            <w:tcW w:type="dxa" w:w="3336"/>
            <w:shd w:fill="1A1C1E" w:val="clear"/>
          </w:tcPr>
          <w:p>
            <w:pPr>
              <w:spacing w:after="40" w:before="40"/>
            </w:pPr>
            <w:r>
              <w:rPr>
                <w:rFonts w:ascii="Manrope" w:cs="Manrope" w:eastAsia="Manrope" w:hAnsi="Manrope"/>
                <w:b/>
                <w:bCs/>
                <w:color w:val="FFFFFF"/>
                <w:sz w:val="20"/>
                <w:szCs w:val="20"/>
              </w:rPr>
              <w:t xml:space="preserve">Current (runner model)</w:t>
            </w:r>
          </w:p>
        </w:tc>
        <w:tc>
          <w:tcPr>
            <w:tcW w:type="dxa" w:w="3336"/>
            <w:shd w:fill="1A1C1E" w:val="clear"/>
          </w:tcPr>
          <w:p>
            <w:pPr>
              <w:spacing w:after="40" w:before="40"/>
            </w:pPr>
            <w:r>
              <w:rPr>
                <w:rFonts w:ascii="Manrope" w:cs="Manrope" w:eastAsia="Manrope" w:hAnsi="Manrope"/>
                <w:b/>
                <w:bCs/>
                <w:color w:val="FFFFFF"/>
                <w:sz w:val="20"/>
                <w:szCs w:val="20"/>
              </w:rPr>
              <w:t xml:space="preserve">BYOAI model</w:t>
            </w:r>
          </w:p>
        </w:tc>
      </w:tr>
      <w:tr>
        <w:tc>
          <w:tcPr>
            <w:tcW w:type="dxa" w:w="2400"/>
            <w:shd w:fill="FFFFFF" w:val="clear"/>
          </w:tcPr>
          <w:p>
            <w:pPr>
              <w:spacing w:after="40" w:before="40"/>
            </w:pPr>
            <w:r>
              <w:rPr>
                <w:rFonts w:ascii="Manrope" w:cs="Manrope" w:eastAsia="Manrope" w:hAnsi="Manrope"/>
                <w:color w:val="0F1113"/>
                <w:sz w:val="22"/>
                <w:szCs w:val="22"/>
              </w:rPr>
              <w:t xml:space="preserve">AI inference</w:t>
            </w:r>
          </w:p>
        </w:tc>
        <w:tc>
          <w:tcPr>
            <w:tcW w:type="dxa" w:w="3336"/>
            <w:shd w:fill="FFFFFF" w:val="clear"/>
          </w:tcPr>
          <w:p>
            <w:pPr>
              <w:spacing w:after="40" w:before="40"/>
            </w:pPr>
            <w:r>
              <w:rPr>
                <w:rFonts w:ascii="Manrope" w:cs="Manrope" w:eastAsia="Manrope" w:hAnsi="Manrope"/>
                <w:color w:val="0F1113"/>
                <w:sz w:val="22"/>
                <w:szCs w:val="22"/>
              </w:rPr>
              <w:t xml:space="preserve">STZA pays Anthropic API ($0.02–$0.25/job)</w:t>
            </w:r>
          </w:p>
        </w:tc>
        <w:tc>
          <w:tcPr>
            <w:tcW w:type="dxa" w:w="3336"/>
            <w:shd w:fill="FFFFFF" w:val="clear"/>
          </w:tcPr>
          <w:p>
            <w:pPr>
              <w:spacing w:after="40" w:before="40"/>
            </w:pPr>
            <w:r>
              <w:rPr>
                <w:rFonts w:ascii="Manrope" w:cs="Manrope" w:eastAsia="Manrope" w:hAnsi="Manrope"/>
                <w:color w:val="0F1113"/>
                <w:sz w:val="22"/>
                <w:szCs w:val="22"/>
              </w:rPr>
              <w:t xml:space="preserve">User pays via own subscription ($0)</w:t>
            </w:r>
          </w:p>
        </w:tc>
      </w:tr>
      <w:tr>
        <w:tc>
          <w:tcPr>
            <w:tcW w:type="dxa" w:w="2400"/>
            <w:shd w:fill="F5F0E8" w:val="clear"/>
          </w:tcPr>
          <w:p>
            <w:pPr>
              <w:spacing w:after="40" w:before="40"/>
            </w:pPr>
            <w:r>
              <w:rPr>
                <w:rFonts w:ascii="Manrope" w:cs="Manrope" w:eastAsia="Manrope" w:hAnsi="Manrope"/>
                <w:color w:val="0F1113"/>
                <w:sz w:val="22"/>
                <w:szCs w:val="22"/>
              </w:rPr>
              <w:t xml:space="preserve">Infrastructure</w:t>
            </w:r>
          </w:p>
        </w:tc>
        <w:tc>
          <w:tcPr>
            <w:tcW w:type="dxa" w:w="3336"/>
            <w:shd w:fill="F5F0E8" w:val="clear"/>
          </w:tcPr>
          <w:p>
            <w:pPr>
              <w:spacing w:after="40" w:before="40"/>
            </w:pPr>
            <w:r>
              <w:rPr>
                <w:rFonts w:ascii="Manrope" w:cs="Manrope" w:eastAsia="Manrope" w:hAnsi="Manrope"/>
                <w:color w:val="0F1113"/>
                <w:sz w:val="22"/>
                <w:szCs w:val="22"/>
              </w:rPr>
              <w:t xml:space="preserve">Cloud Run + Cloud SQL (~$30/month)</w:t>
            </w:r>
          </w:p>
        </w:tc>
        <w:tc>
          <w:tcPr>
            <w:tcW w:type="dxa" w:w="3336"/>
            <w:shd w:fill="F5F0E8" w:val="clear"/>
          </w:tcPr>
          <w:p>
            <w:pPr>
              <w:spacing w:after="40" w:before="40"/>
            </w:pPr>
            <w:r>
              <w:rPr>
                <w:rFonts w:ascii="Manrope" w:cs="Manrope" w:eastAsia="Manrope" w:hAnsi="Manrope"/>
                <w:color w:val="0F1113"/>
                <w:sz w:val="22"/>
                <w:szCs w:val="22"/>
              </w:rPr>
              <w:t xml:space="preserve">Same (~$30/month)</w:t>
            </w:r>
          </w:p>
        </w:tc>
      </w:tr>
      <w:tr>
        <w:tc>
          <w:tcPr>
            <w:tcW w:type="dxa" w:w="2400"/>
            <w:shd w:fill="FFFFFF" w:val="clear"/>
          </w:tcPr>
          <w:p>
            <w:pPr>
              <w:spacing w:after="40" w:before="40"/>
            </w:pPr>
            <w:r>
              <w:rPr>
                <w:rFonts w:ascii="Manrope" w:cs="Manrope" w:eastAsia="Manrope" w:hAnsi="Manrope"/>
                <w:color w:val="0F1113"/>
                <w:sz w:val="22"/>
                <w:szCs w:val="22"/>
              </w:rPr>
              <w:t xml:space="preserve">Xero API calls</w:t>
            </w:r>
          </w:p>
        </w:tc>
        <w:tc>
          <w:tcPr>
            <w:tcW w:type="dxa" w:w="3336"/>
            <w:shd w:fill="FFFFFF" w:val="clear"/>
          </w:tcPr>
          <w:p>
            <w:pPr>
              <w:spacing w:after="40" w:before="40"/>
            </w:pPr>
            <w:r>
              <w:rPr>
                <w:rFonts w:ascii="Manrope" w:cs="Manrope" w:eastAsia="Manrope" w:hAnsi="Manrope"/>
                <w:color w:val="0F1113"/>
                <w:sz w:val="22"/>
                <w:szCs w:val="22"/>
              </w:rPr>
              <w:t xml:space="preserve">Included in Xero subscription</w:t>
            </w:r>
          </w:p>
        </w:tc>
        <w:tc>
          <w:tcPr>
            <w:tcW w:type="dxa" w:w="3336"/>
            <w:shd w:fill="FFFFFF" w:val="clear"/>
          </w:tcPr>
          <w:p>
            <w:pPr>
              <w:spacing w:after="40" w:before="40"/>
            </w:pPr>
            <w:r>
              <w:rPr>
                <w:rFonts w:ascii="Manrope" w:cs="Manrope" w:eastAsia="Manrope" w:hAnsi="Manrope"/>
                <w:color w:val="0F1113"/>
                <w:sz w:val="22"/>
                <w:szCs w:val="22"/>
              </w:rPr>
              <w:t xml:space="preserve">Same (free up to 5 orgs)</w:t>
            </w:r>
          </w:p>
        </w:tc>
      </w:tr>
    </w:tbl>
    <w:p>
      <w:r>
        <w:br w:type="page"/>
      </w:r>
    </w:p>
    <w:p>
      <w:pPr>
        <w:pStyle w:val="Heading1"/>
        <w:spacing w:after="120" w:before="400"/>
      </w:pPr>
      <w:r>
        <w:rPr>
          <w:rFonts w:ascii="Manrope" w:cs="Manrope" w:eastAsia="Manrope" w:hAnsi="Manrope"/>
          <w:b/>
          <w:bCs/>
          <w:color w:val="1A1C1E"/>
          <w:sz w:val="32"/>
          <w:szCs w:val="32"/>
        </w:rPr>
        <w:t xml:space="preserve">8. Regulatory requirements</w:t>
      </w:r>
    </w:p>
    <w:p>
      <w:pPr>
        <w:pStyle w:val="Heading2"/>
        <w:spacing w:after="120" w:before="240"/>
      </w:pPr>
      <w:r>
        <w:rPr>
          <w:rFonts w:ascii="Manrope" w:cs="Manrope" w:eastAsia="Manrope" w:hAnsi="Manrope"/>
          <w:b/>
          <w:bCs/>
          <w:color w:val="1A1C1E"/>
          <w:sz w:val="26"/>
          <w:szCs w:val="26"/>
        </w:rPr>
        <w:t xml:space="preserve">8.1 FCA — not required</w:t>
      </w:r>
    </w:p>
    <w:p>
      <w:pPr>
        <w:spacing w:after="120"/>
      </w:pPr>
      <w:r>
        <w:rPr>
          <w:rFonts w:ascii="Manrope" w:cs="Manrope" w:eastAsia="Manrope" w:hAnsi="Manrope"/>
          <w:color w:val="0F1113"/>
          <w:sz w:val="22"/>
          <w:szCs w:val="22"/>
        </w:rPr>
        <w:t xml:space="preserve">The platform provides financial information, not financial advice. It surfaces accounting data from Xero and lets the user's AI discuss it. It does not recommend investments, insurance products, or credit arrangements. FCA authorisation is not required.</w:t>
      </w:r>
    </w:p>
    <w:p>
      <w:pPr>
        <w:pStyle w:val="Heading2"/>
        <w:spacing w:after="120" w:before="240"/>
      </w:pPr>
      <w:r>
        <w:rPr>
          <w:rFonts w:ascii="Manrope" w:cs="Manrope" w:eastAsia="Manrope" w:hAnsi="Manrope"/>
          <w:b/>
          <w:bCs/>
          <w:color w:val="1A1C1E"/>
          <w:sz w:val="26"/>
          <w:szCs w:val="26"/>
        </w:rPr>
        <w:t xml:space="preserve">8.2 ICO registration</w:t>
      </w:r>
    </w:p>
    <w:p>
      <w:pPr>
        <w:spacing w:after="120"/>
      </w:pPr>
      <w:r>
        <w:rPr>
          <w:rFonts w:ascii="Manrope" w:cs="Manrope" w:eastAsia="Manrope" w:hAnsi="Manrope"/>
          <w:color w:val="0F1113"/>
          <w:sz w:val="22"/>
          <w:szCs w:val="22"/>
        </w:rPr>
        <w:t xml:space="preserve">STZA processes personal data (user emails, Xero contact records containing names and addresses). ICO registration under the UK GDPR is mandatory. Registration is straightforward (online, ~£40/year for micro-organisations). A privacy policy and, for enterprise customers, a Data Processing Agreement (DPA) are required.</w:t>
      </w:r>
    </w:p>
    <w:p>
      <w:pPr>
        <w:pStyle w:val="Heading2"/>
        <w:spacing w:after="120" w:before="240"/>
      </w:pPr>
      <w:r>
        <w:rPr>
          <w:rFonts w:ascii="Manrope" w:cs="Manrope" w:eastAsia="Manrope" w:hAnsi="Manrope"/>
          <w:b/>
          <w:bCs/>
          <w:color w:val="1A1C1E"/>
          <w:sz w:val="26"/>
          <w:szCs w:val="26"/>
        </w:rPr>
        <w:t xml:space="preserve">8.3 AML supervision</w:t>
      </w:r>
    </w:p>
    <w:p>
      <w:pPr>
        <w:spacing w:after="120"/>
      </w:pPr>
      <w:r>
        <w:rPr>
          <w:rFonts w:ascii="Manrope" w:cs="Manrope" w:eastAsia="Manrope" w:hAnsi="Manrope"/>
          <w:color w:val="0F1113"/>
          <w:sz w:val="22"/>
          <w:szCs w:val="22"/>
        </w:rPr>
        <w:t xml:space="preserve">STZA provides fractional FD/CFO services, which may constitute accountancy services under the Money Laundering Regulations 2017 depending on the scope of work. Where the role is strategic (CFO-level advisory, board packs, FP&amp;A), AML registration is not required. Where the role includes bookkeeping, VAT returns, or tax filing, AML supervision is needed.</w:t>
      </w:r>
    </w:p>
    <w:p>
      <w:pPr>
        <w:spacing w:after="120"/>
      </w:pPr>
      <w:r>
        <w:rPr>
          <w:rFonts w:ascii="Manrope" w:cs="Manrope" w:eastAsia="Manrope" w:hAnsi="Manrope"/>
          <w:color w:val="0F1113"/>
          <w:sz w:val="22"/>
          <w:szCs w:val="22"/>
        </w:rPr>
        <w:t xml:space="preserve">The BYOAI platform itself — a software tool — does not trigger AML registration independently. However, if STZA's advisory services include in-scope work, ICAEW offers AML supervision to SAICA members via the Global Accounting Alliance (GAA) route without requiring ICAEW membership (~£484/year). This is noted for completeness; the current assessment is that registration is not needed for the platform.</w:t>
      </w:r>
    </w:p>
    <w:p>
      <w:pPr>
        <w:pStyle w:val="Heading2"/>
        <w:spacing w:after="120" w:before="240"/>
      </w:pPr>
      <w:r>
        <w:rPr>
          <w:rFonts w:ascii="Manrope" w:cs="Manrope" w:eastAsia="Manrope" w:hAnsi="Manrope"/>
          <w:b/>
          <w:bCs/>
          <w:color w:val="1A1C1E"/>
          <w:sz w:val="26"/>
          <w:szCs w:val="26"/>
        </w:rPr>
        <w:t xml:space="preserve">8.4 Xero App Partner</w:t>
      </w:r>
    </w:p>
    <w:p>
      <w:pPr>
        <w:spacing w:after="120"/>
      </w:pPr>
      <w:r>
        <w:rPr>
          <w:rFonts w:ascii="Manrope" w:cs="Manrope" w:eastAsia="Manrope" w:hAnsi="Manrope"/>
          <w:color w:val="0F1113"/>
          <w:sz w:val="22"/>
          <w:szCs w:val="22"/>
        </w:rPr>
        <w:t xml:space="preserve">Required at 25+ Xero connections. Apply proactively at 10–15 connections. Involves a technical review of the integration and compliance with Xero's App Partner guidelines.</w:t>
      </w:r>
    </w:p>
    <w:p>
      <w:pPr>
        <w:pStyle w:val="Heading1"/>
        <w:spacing w:after="120" w:before="400"/>
      </w:pPr>
      <w:r>
        <w:rPr>
          <w:rFonts w:ascii="Manrope" w:cs="Manrope" w:eastAsia="Manrope" w:hAnsi="Manrope"/>
          <w:b/>
          <w:bCs/>
          <w:color w:val="1A1C1E"/>
          <w:sz w:val="32"/>
          <w:szCs w:val="32"/>
        </w:rPr>
        <w:t xml:space="preserve">9. Competitive positioning</w:t>
      </w:r>
    </w:p>
    <w:p>
      <w:pPr>
        <w:spacing w:after="120"/>
      </w:pPr>
      <w:r>
        <w:rPr>
          <w:rFonts w:ascii="Manrope" w:cs="Manrope" w:eastAsia="Manrope" w:hAnsi="Manrope"/>
          <w:color w:val="0F1113"/>
          <w:sz w:val="22"/>
          <w:szCs w:val="22"/>
        </w:rPr>
        <w:t xml:space="preserve">The BYOAI model is architecturally distinct from competitors in the AI-for-accounting space:</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2400"/>
        <w:gridCol w:w="3000"/>
        <w:gridCol w:w="3672"/>
      </w:tblGrid>
      <w:tr>
        <w:trPr>
          <w:tblHeader/>
        </w:trPr>
        <w:tc>
          <w:tcPr>
            <w:tcW w:type="dxa" w:w="2400"/>
            <w:shd w:fill="1A1C1E" w:val="clear"/>
          </w:tcPr>
          <w:p>
            <w:pPr>
              <w:spacing w:after="40" w:before="40"/>
            </w:pPr>
            <w:r>
              <w:rPr>
                <w:rFonts w:ascii="Manrope" w:cs="Manrope" w:eastAsia="Manrope" w:hAnsi="Manrope"/>
                <w:b/>
                <w:bCs/>
                <w:color w:val="FFFFFF"/>
                <w:sz w:val="20"/>
                <w:szCs w:val="20"/>
              </w:rPr>
              <w:t xml:space="preserve">Competitor type</w:t>
            </w:r>
          </w:p>
        </w:tc>
        <w:tc>
          <w:tcPr>
            <w:tcW w:type="dxa" w:w="3000"/>
            <w:shd w:fill="1A1C1E" w:val="clear"/>
          </w:tcPr>
          <w:p>
            <w:pPr>
              <w:spacing w:after="40" w:before="40"/>
            </w:pPr>
            <w:r>
              <w:rPr>
                <w:rFonts w:ascii="Manrope" w:cs="Manrope" w:eastAsia="Manrope" w:hAnsi="Manrope"/>
                <w:b/>
                <w:bCs/>
                <w:color w:val="FFFFFF"/>
                <w:sz w:val="20"/>
                <w:szCs w:val="20"/>
              </w:rPr>
              <w:t xml:space="preserve">Their model</w:t>
            </w:r>
          </w:p>
        </w:tc>
        <w:tc>
          <w:tcPr>
            <w:tcW w:type="dxa" w:w="3672"/>
            <w:shd w:fill="1A1C1E" w:val="clear"/>
          </w:tcPr>
          <w:p>
            <w:pPr>
              <w:spacing w:after="40" w:before="40"/>
            </w:pPr>
            <w:r>
              <w:rPr>
                <w:rFonts w:ascii="Manrope" w:cs="Manrope" w:eastAsia="Manrope" w:hAnsi="Manrope"/>
                <w:b/>
                <w:bCs/>
                <w:color w:val="FFFFFF"/>
                <w:sz w:val="20"/>
                <w:szCs w:val="20"/>
              </w:rPr>
              <w:t xml:space="preserve">STZA differentiation</w:t>
            </w:r>
          </w:p>
        </w:tc>
      </w:tr>
      <w:tr>
        <w:tc>
          <w:tcPr>
            <w:tcW w:type="dxa" w:w="2400"/>
            <w:shd w:fill="FFFFFF" w:val="clear"/>
          </w:tcPr>
          <w:p>
            <w:pPr>
              <w:spacing w:after="40" w:before="40"/>
            </w:pPr>
            <w:r>
              <w:rPr>
                <w:rFonts w:ascii="Manrope" w:cs="Manrope" w:eastAsia="Manrope" w:hAnsi="Manrope"/>
                <w:color w:val="0F1113"/>
                <w:sz w:val="22"/>
                <w:szCs w:val="22"/>
              </w:rPr>
              <w:t xml:space="preserve">AI accounting chatbots (e.g. Botsify, various startups)</w:t>
            </w:r>
          </w:p>
        </w:tc>
        <w:tc>
          <w:tcPr>
            <w:tcW w:type="dxa" w:w="3000"/>
            <w:shd w:fill="FFFFFF" w:val="clear"/>
          </w:tcPr>
          <w:p>
            <w:pPr>
              <w:spacing w:after="40" w:before="40"/>
            </w:pPr>
            <w:r>
              <w:rPr>
                <w:rFonts w:ascii="Manrope" w:cs="Manrope" w:eastAsia="Manrope" w:hAnsi="Manrope"/>
                <w:color w:val="0F1113"/>
                <w:sz w:val="22"/>
                <w:szCs w:val="22"/>
              </w:rPr>
              <w:t xml:space="preserve">Host an LLM, charge per query or subscription</w:t>
            </w:r>
          </w:p>
        </w:tc>
        <w:tc>
          <w:tcPr>
            <w:tcW w:type="dxa" w:w="3672"/>
            <w:shd w:fill="FFFFFF" w:val="clear"/>
          </w:tcPr>
          <w:p>
            <w:pPr>
              <w:spacing w:after="40" w:before="40"/>
            </w:pPr>
            <w:r>
              <w:rPr>
                <w:rFonts w:ascii="Manrope" w:cs="Manrope" w:eastAsia="Manrope" w:hAnsi="Manrope"/>
                <w:color w:val="0F1113"/>
                <w:sz w:val="22"/>
                <w:szCs w:val="22"/>
              </w:rPr>
              <w:t xml:space="preserve">STZA has zero AI compute cost; no chatbot abuse risk</w:t>
            </w:r>
          </w:p>
        </w:tc>
      </w:tr>
      <w:tr>
        <w:tc>
          <w:tcPr>
            <w:tcW w:type="dxa" w:w="2400"/>
            <w:shd w:fill="F5F0E8" w:val="clear"/>
          </w:tcPr>
          <w:p>
            <w:pPr>
              <w:spacing w:after="40" w:before="40"/>
            </w:pPr>
            <w:r>
              <w:rPr>
                <w:rFonts w:ascii="Manrope" w:cs="Manrope" w:eastAsia="Manrope" w:hAnsi="Manrope"/>
                <w:color w:val="0F1113"/>
                <w:sz w:val="22"/>
                <w:szCs w:val="22"/>
              </w:rPr>
              <w:t xml:space="preserve">Xero add-ons (e.g. Syft, Fathom)</w:t>
            </w:r>
          </w:p>
        </w:tc>
        <w:tc>
          <w:tcPr>
            <w:tcW w:type="dxa" w:w="3000"/>
            <w:shd w:fill="F5F0E8" w:val="clear"/>
          </w:tcPr>
          <w:p>
            <w:pPr>
              <w:spacing w:after="40" w:before="40"/>
            </w:pPr>
            <w:r>
              <w:rPr>
                <w:rFonts w:ascii="Manrope" w:cs="Manrope" w:eastAsia="Manrope" w:hAnsi="Manrope"/>
                <w:color w:val="0F1113"/>
                <w:sz w:val="22"/>
                <w:szCs w:val="22"/>
              </w:rPr>
              <w:t xml:space="preserve">Dashboard/reporting tools with fixed templates</w:t>
            </w:r>
          </w:p>
        </w:tc>
        <w:tc>
          <w:tcPr>
            <w:tcW w:type="dxa" w:w="3672"/>
            <w:shd w:fill="F5F0E8" w:val="clear"/>
          </w:tcPr>
          <w:p>
            <w:pPr>
              <w:spacing w:after="40" w:before="40"/>
            </w:pPr>
            <w:r>
              <w:rPr>
                <w:rFonts w:ascii="Manrope" w:cs="Manrope" w:eastAsia="Manrope" w:hAnsi="Manrope"/>
                <w:color w:val="0F1113"/>
                <w:sz w:val="22"/>
                <w:szCs w:val="22"/>
              </w:rPr>
              <w:t xml:space="preserve">STZA is conversational and open-ended; users ask any question</w:t>
            </w:r>
          </w:p>
        </w:tc>
      </w:tr>
      <w:tr>
        <w:tc>
          <w:tcPr>
            <w:tcW w:type="dxa" w:w="2400"/>
            <w:shd w:fill="FFFFFF" w:val="clear"/>
          </w:tcPr>
          <w:p>
            <w:pPr>
              <w:spacing w:after="40" w:before="40"/>
            </w:pPr>
            <w:r>
              <w:rPr>
                <w:rFonts w:ascii="Manrope" w:cs="Manrope" w:eastAsia="Manrope" w:hAnsi="Manrope"/>
                <w:color w:val="0F1113"/>
                <w:sz w:val="22"/>
                <w:szCs w:val="22"/>
              </w:rPr>
              <w:t xml:space="preserve">Big 4 / mid-tier advisory</w:t>
            </w:r>
          </w:p>
        </w:tc>
        <w:tc>
          <w:tcPr>
            <w:tcW w:type="dxa" w:w="3000"/>
            <w:shd w:fill="FFFFFF" w:val="clear"/>
          </w:tcPr>
          <w:p>
            <w:pPr>
              <w:spacing w:after="40" w:before="40"/>
            </w:pPr>
            <w:r>
              <w:rPr>
                <w:rFonts w:ascii="Manrope" w:cs="Manrope" w:eastAsia="Manrope" w:hAnsi="Manrope"/>
                <w:color w:val="0F1113"/>
                <w:sz w:val="22"/>
                <w:szCs w:val="22"/>
              </w:rPr>
              <w:t xml:space="preserve">Proprietary internal tools, high hourly rates</w:t>
            </w:r>
          </w:p>
        </w:tc>
        <w:tc>
          <w:tcPr>
            <w:tcW w:type="dxa" w:w="3672"/>
            <w:shd w:fill="FFFFFF" w:val="clear"/>
          </w:tcPr>
          <w:p>
            <w:pPr>
              <w:spacing w:after="40" w:before="40"/>
            </w:pPr>
            <w:r>
              <w:rPr>
                <w:rFonts w:ascii="Manrope" w:cs="Manrope" w:eastAsia="Manrope" w:hAnsi="Manrope"/>
                <w:color w:val="0F1113"/>
                <w:sz w:val="22"/>
                <w:szCs w:val="22"/>
              </w:rPr>
              <w:t xml:space="preserve">STZA is self-serve at £49–99/month; democratises the tooling</w:t>
            </w:r>
          </w:p>
        </w:tc>
      </w:tr>
      <w:tr>
        <w:tc>
          <w:tcPr>
            <w:tcW w:type="dxa" w:w="2400"/>
            <w:shd w:fill="F5F0E8" w:val="clear"/>
          </w:tcPr>
          <w:p>
            <w:pPr>
              <w:spacing w:after="40" w:before="40"/>
            </w:pPr>
            <w:r>
              <w:rPr>
                <w:rFonts w:ascii="Manrope" w:cs="Manrope" w:eastAsia="Manrope" w:hAnsi="Manrope"/>
                <w:color w:val="0F1113"/>
                <w:sz w:val="22"/>
                <w:szCs w:val="22"/>
              </w:rPr>
              <w:t xml:space="preserve">DIY (user builds their own MCP server)</w:t>
            </w:r>
          </w:p>
        </w:tc>
        <w:tc>
          <w:tcPr>
            <w:tcW w:type="dxa" w:w="3000"/>
            <w:shd w:fill="F5F0E8" w:val="clear"/>
          </w:tcPr>
          <w:p>
            <w:pPr>
              <w:spacing w:after="40" w:before="40"/>
            </w:pPr>
            <w:r>
              <w:rPr>
                <w:rFonts w:ascii="Manrope" w:cs="Manrope" w:eastAsia="Manrope" w:hAnsi="Manrope"/>
                <w:color w:val="0F1113"/>
                <w:sz w:val="22"/>
                <w:szCs w:val="22"/>
              </w:rPr>
              <w:t xml:space="preserve">Technically possible for a developer</w:t>
            </w:r>
          </w:p>
        </w:tc>
        <w:tc>
          <w:tcPr>
            <w:tcW w:type="dxa" w:w="3672"/>
            <w:shd w:fill="F5F0E8" w:val="clear"/>
          </w:tcPr>
          <w:p>
            <w:pPr>
              <w:spacing w:after="40" w:before="40"/>
            </w:pPr>
            <w:r>
              <w:rPr>
                <w:rFonts w:ascii="Manrope" w:cs="Manrope" w:eastAsia="Manrope" w:hAnsi="Manrope"/>
                <w:color w:val="0F1113"/>
                <w:sz w:val="22"/>
                <w:szCs w:val="22"/>
              </w:rPr>
              <w:t xml:space="preserve">STZA handles multi-client auth, entity isolation, audit trail, Xero token rotation — the plumbing nobody wants to build</w:t>
            </w:r>
          </w:p>
        </w:tc>
      </w:tr>
    </w:tbl>
    <w:p>
      <w:r>
        <w:br w:type="page"/>
      </w:r>
    </w:p>
    <w:p>
      <w:pPr>
        <w:pStyle w:val="Heading1"/>
        <w:spacing w:after="120" w:before="400"/>
      </w:pPr>
      <w:r>
        <w:rPr>
          <w:rFonts w:ascii="Manrope" w:cs="Manrope" w:eastAsia="Manrope" w:hAnsi="Manrope"/>
          <w:b/>
          <w:bCs/>
          <w:color w:val="1A1C1E"/>
          <w:sz w:val="32"/>
          <w:szCs w:val="32"/>
        </w:rPr>
        <w:t xml:space="preserve">10. Implementation roadmap</w:t>
      </w:r>
    </w:p>
    <w:p>
      <w:pPr>
        <w:pStyle w:val="Heading2"/>
        <w:spacing w:after="120" w:before="240"/>
      </w:pPr>
      <w:r>
        <w:rPr>
          <w:rFonts w:ascii="Manrope" w:cs="Manrope" w:eastAsia="Manrope" w:hAnsi="Manrope"/>
          <w:b/>
          <w:bCs/>
          <w:color w:val="1A1C1E"/>
          <w:sz w:val="26"/>
          <w:szCs w:val="26"/>
        </w:rPr>
        <w:t xml:space="preserve">Phase 1: Foundation (weeks 1–2)</w:t>
      </w:r>
    </w:p>
    <w:p>
      <w:pPr>
        <w:pStyle w:val="ListParagraph"/>
        <w:numPr>
          <w:ilvl w:val="0"/>
          <w:numId w:val="2"/>
        </w:numPr>
        <w:spacing w:after="60"/>
      </w:pPr>
      <w:r>
        <w:rPr>
          <w:rFonts w:ascii="Manrope" w:cs="Manrope" w:eastAsia="Manrope" w:hAnsi="Manrope"/>
          <w:color w:val="0F1113"/>
          <w:sz w:val="22"/>
          <w:szCs w:val="22"/>
        </w:rPr>
        <w:t xml:space="preserve">Set up Xero developer account with new granular scopes</w:t>
      </w:r>
    </w:p>
    <w:p>
      <w:pPr>
        <w:pStyle w:val="ListParagraph"/>
        <w:numPr>
          <w:ilvl w:val="0"/>
          <w:numId w:val="2"/>
        </w:numPr>
        <w:spacing w:after="60"/>
      </w:pPr>
      <w:r>
        <w:rPr>
          <w:rFonts w:ascii="Manrope" w:cs="Manrope" w:eastAsia="Manrope" w:hAnsi="Manrope"/>
          <w:color w:val="0F1113"/>
          <w:sz w:val="22"/>
          <w:szCs w:val="22"/>
        </w:rPr>
        <w:t xml:space="preserve">Per-user API key table and middleware in finance-api</w:t>
      </w:r>
    </w:p>
    <w:p>
      <w:pPr>
        <w:pStyle w:val="ListParagraph"/>
        <w:numPr>
          <w:ilvl w:val="0"/>
          <w:numId w:val="2"/>
        </w:numPr>
        <w:spacing w:after="60"/>
      </w:pPr>
      <w:r>
        <w:rPr>
          <w:rFonts w:ascii="Manrope" w:cs="Manrope" w:eastAsia="Manrope" w:hAnsi="Manrope"/>
          <w:color w:val="0F1113"/>
          <w:sz w:val="22"/>
          <w:szCs w:val="22"/>
        </w:rPr>
        <w:t xml:space="preserve">Client-scoped access control</w:t>
      </w:r>
    </w:p>
    <w:p>
      <w:pPr>
        <w:pStyle w:val="ListParagraph"/>
        <w:numPr>
          <w:ilvl w:val="0"/>
          <w:numId w:val="2"/>
        </w:numPr>
        <w:spacing w:after="60"/>
      </w:pPr>
      <w:r>
        <w:rPr>
          <w:rFonts w:ascii="Manrope" w:cs="Manrope" w:eastAsia="Manrope" w:hAnsi="Manrope"/>
          <w:color w:val="0F1113"/>
          <w:sz w:val="22"/>
          <w:szCs w:val="22"/>
        </w:rPr>
        <w:t xml:space="preserve">Audit logging middleware on all data endpoints</w:t>
      </w:r>
    </w:p>
    <w:p>
      <w:pPr>
        <w:pStyle w:val="ListParagraph"/>
        <w:numPr>
          <w:ilvl w:val="0"/>
          <w:numId w:val="2"/>
        </w:numPr>
        <w:spacing w:after="60"/>
      </w:pPr>
      <w:r>
        <w:rPr>
          <w:rFonts w:ascii="Manrope" w:cs="Manrope" w:eastAsia="Manrope" w:hAnsi="Manrope"/>
          <w:color w:val="0F1113"/>
          <w:sz w:val="22"/>
          <w:szCs w:val="22"/>
        </w:rPr>
        <w:t xml:space="preserve">OpenAPI 3.1 spec document for existing endpoints</w:t>
      </w:r>
    </w:p>
    <w:p>
      <w:pPr>
        <w:pStyle w:val="Heading2"/>
        <w:spacing w:after="120" w:before="240"/>
      </w:pPr>
      <w:r>
        <w:rPr>
          <w:rFonts w:ascii="Manrope" w:cs="Manrope" w:eastAsia="Manrope" w:hAnsi="Manrope"/>
          <w:b/>
          <w:bCs/>
          <w:color w:val="1A1C1E"/>
          <w:sz w:val="26"/>
          <w:szCs w:val="26"/>
        </w:rPr>
        <w:t xml:space="preserve">Phase 2: MCP server (week 3)</w:t>
      </w:r>
    </w:p>
    <w:p>
      <w:pPr>
        <w:pStyle w:val="ListParagraph"/>
        <w:numPr>
          <w:ilvl w:val="0"/>
          <w:numId w:val="2"/>
        </w:numPr>
        <w:spacing w:after="60"/>
      </w:pPr>
      <w:r>
        <w:rPr>
          <w:rFonts w:ascii="Manrope" w:cs="Manrope" w:eastAsia="Manrope" w:hAnsi="Manrope"/>
          <w:color w:val="0F1113"/>
          <w:sz w:val="22"/>
          <w:szCs w:val="22"/>
        </w:rPr>
        <w:t xml:space="preserve">MCP server package wrapping the finance-api endpoints</w:t>
      </w:r>
    </w:p>
    <w:p>
      <w:pPr>
        <w:pStyle w:val="ListParagraph"/>
        <w:numPr>
          <w:ilvl w:val="0"/>
          <w:numId w:val="2"/>
        </w:numPr>
        <w:spacing w:after="60"/>
      </w:pPr>
      <w:r>
        <w:rPr>
          <w:rFonts w:ascii="Manrope" w:cs="Manrope" w:eastAsia="Manrope" w:hAnsi="Manrope"/>
          <w:color w:val="0F1113"/>
          <w:sz w:val="22"/>
          <w:szCs w:val="22"/>
        </w:rPr>
        <w:t xml:space="preserve">Local stdio transport for Claude Desktop</w:t>
      </w:r>
    </w:p>
    <w:p>
      <w:pPr>
        <w:pStyle w:val="ListParagraph"/>
        <w:numPr>
          <w:ilvl w:val="0"/>
          <w:numId w:val="2"/>
        </w:numPr>
        <w:spacing w:after="60"/>
      </w:pPr>
      <w:r>
        <w:rPr>
          <w:rFonts w:ascii="Manrope" w:cs="Manrope" w:eastAsia="Manrope" w:hAnsi="Manrope"/>
          <w:color w:val="0F1113"/>
          <w:sz w:val="22"/>
          <w:szCs w:val="22"/>
        </w:rPr>
        <w:t xml:space="preserve">Remote SSE transport for Cloud Run deployment</w:t>
      </w:r>
    </w:p>
    <w:p>
      <w:pPr>
        <w:pStyle w:val="ListParagraph"/>
        <w:numPr>
          <w:ilvl w:val="0"/>
          <w:numId w:val="2"/>
        </w:numPr>
        <w:spacing w:after="60"/>
      </w:pPr>
      <w:r>
        <w:rPr>
          <w:rFonts w:ascii="Manrope" w:cs="Manrope" w:eastAsia="Manrope" w:hAnsi="Manrope"/>
          <w:color w:val="0F1113"/>
          <w:sz w:val="22"/>
          <w:szCs w:val="22"/>
        </w:rPr>
        <w:t xml:space="preserve">Test with Cowork and Claude Code</w:t>
      </w:r>
    </w:p>
    <w:p>
      <w:pPr>
        <w:pStyle w:val="Heading2"/>
        <w:spacing w:after="120" w:before="240"/>
      </w:pPr>
      <w:r>
        <w:rPr>
          <w:rFonts w:ascii="Manrope" w:cs="Manrope" w:eastAsia="Manrope" w:hAnsi="Manrope"/>
          <w:b/>
          <w:bCs/>
          <w:color w:val="1A1C1E"/>
          <w:sz w:val="26"/>
          <w:szCs w:val="26"/>
        </w:rPr>
        <w:t xml:space="preserve">Phase 3: Multi-platform (week 4)</w:t>
      </w:r>
    </w:p>
    <w:p>
      <w:pPr>
        <w:pStyle w:val="ListParagraph"/>
        <w:numPr>
          <w:ilvl w:val="0"/>
          <w:numId w:val="2"/>
        </w:numPr>
        <w:spacing w:after="60"/>
      </w:pPr>
      <w:r>
        <w:rPr>
          <w:rFonts w:ascii="Manrope" w:cs="Manrope" w:eastAsia="Manrope" w:hAnsi="Manrope"/>
          <w:color w:val="0F1113"/>
          <w:sz w:val="22"/>
          <w:szCs w:val="22"/>
        </w:rPr>
        <w:t xml:space="preserve">Register OpenAPI spec as a ChatGPT custom GPT Action</w:t>
      </w:r>
    </w:p>
    <w:p>
      <w:pPr>
        <w:pStyle w:val="ListParagraph"/>
        <w:numPr>
          <w:ilvl w:val="0"/>
          <w:numId w:val="2"/>
        </w:numPr>
        <w:spacing w:after="60"/>
      </w:pPr>
      <w:r>
        <w:rPr>
          <w:rFonts w:ascii="Manrope" w:cs="Manrope" w:eastAsia="Manrope" w:hAnsi="Manrope"/>
          <w:color w:val="0F1113"/>
          <w:sz w:val="22"/>
          <w:szCs w:val="22"/>
        </w:rPr>
        <w:t xml:space="preserve">Register same spec as Gemini Extension</w:t>
      </w:r>
    </w:p>
    <w:p>
      <w:pPr>
        <w:pStyle w:val="ListParagraph"/>
        <w:numPr>
          <w:ilvl w:val="0"/>
          <w:numId w:val="2"/>
        </w:numPr>
        <w:spacing w:after="60"/>
      </w:pPr>
      <w:r>
        <w:rPr>
          <w:rFonts w:ascii="Manrope" w:cs="Manrope" w:eastAsia="Manrope" w:hAnsi="Manrope"/>
          <w:color w:val="0F1113"/>
          <w:sz w:val="22"/>
          <w:szCs w:val="22"/>
        </w:rPr>
        <w:t xml:space="preserve">Test end-to-end on all three platforms</w:t>
      </w:r>
    </w:p>
    <w:p>
      <w:pPr>
        <w:pStyle w:val="Heading2"/>
        <w:spacing w:after="120" w:before="240"/>
      </w:pPr>
      <w:r>
        <w:rPr>
          <w:rFonts w:ascii="Manrope" w:cs="Manrope" w:eastAsia="Manrope" w:hAnsi="Manrope"/>
          <w:b/>
          <w:bCs/>
          <w:color w:val="1A1C1E"/>
          <w:sz w:val="26"/>
          <w:szCs w:val="26"/>
        </w:rPr>
        <w:t xml:space="preserve">Phase 4: Production and onboarding (week 5)</w:t>
      </w:r>
    </w:p>
    <w:p>
      <w:pPr>
        <w:pStyle w:val="ListParagraph"/>
        <w:numPr>
          <w:ilvl w:val="0"/>
          <w:numId w:val="2"/>
        </w:numPr>
        <w:spacing w:after="60"/>
      </w:pPr>
      <w:r>
        <w:rPr>
          <w:rFonts w:ascii="Manrope" w:cs="Manrope" w:eastAsia="Manrope" w:hAnsi="Manrope"/>
          <w:color w:val="0F1113"/>
          <w:sz w:val="22"/>
          <w:szCs w:val="22"/>
        </w:rPr>
        <w:t xml:space="preserve">User onboarding flow — key generation, Xero OAuth, MCP config</w:t>
      </w:r>
    </w:p>
    <w:p>
      <w:pPr>
        <w:pStyle w:val="ListParagraph"/>
        <w:numPr>
          <w:ilvl w:val="0"/>
          <w:numId w:val="2"/>
        </w:numPr>
        <w:spacing w:after="60"/>
      </w:pPr>
      <w:r>
        <w:rPr>
          <w:rFonts w:ascii="Manrope" w:cs="Manrope" w:eastAsia="Manrope" w:hAnsi="Manrope"/>
          <w:color w:val="0F1113"/>
          <w:sz w:val="22"/>
          <w:szCs w:val="22"/>
        </w:rPr>
        <w:t xml:space="preserve">Portal audit trail viewer</w:t>
      </w:r>
    </w:p>
    <w:p>
      <w:pPr>
        <w:pStyle w:val="ListParagraph"/>
        <w:numPr>
          <w:ilvl w:val="0"/>
          <w:numId w:val="2"/>
        </w:numPr>
        <w:spacing w:after="60"/>
      </w:pPr>
      <w:r>
        <w:rPr>
          <w:rFonts w:ascii="Manrope" w:cs="Manrope" w:eastAsia="Manrope" w:hAnsi="Manrope"/>
          <w:color w:val="0F1113"/>
          <w:sz w:val="22"/>
          <w:szCs w:val="22"/>
        </w:rPr>
        <w:t xml:space="preserve">Privacy policy, terms of service, and DPA template</w:t>
      </w:r>
    </w:p>
    <w:p>
      <w:pPr>
        <w:pStyle w:val="ListParagraph"/>
        <w:numPr>
          <w:ilvl w:val="0"/>
          <w:numId w:val="2"/>
        </w:numPr>
        <w:spacing w:after="60"/>
      </w:pPr>
      <w:r>
        <w:rPr>
          <w:rFonts w:ascii="Manrope" w:cs="Manrope" w:eastAsia="Manrope" w:hAnsi="Manrope"/>
          <w:color w:val="0F1113"/>
          <w:sz w:val="22"/>
          <w:szCs w:val="22"/>
        </w:rPr>
        <w:t xml:space="preserve">ICO registration</w:t>
      </w:r>
    </w:p>
    <w:p>
      <w:pPr>
        <w:pStyle w:val="ListParagraph"/>
        <w:numPr>
          <w:ilvl w:val="0"/>
          <w:numId w:val="2"/>
        </w:numPr>
        <w:spacing w:after="60"/>
      </w:pPr>
      <w:r>
        <w:rPr>
          <w:rFonts w:ascii="Manrope" w:cs="Manrope" w:eastAsia="Manrope" w:hAnsi="Manrope"/>
          <w:color w:val="0F1113"/>
          <w:sz w:val="22"/>
          <w:szCs w:val="22"/>
        </w:rPr>
        <w:t xml:space="preserve">Pricing page</w:t>
      </w:r>
    </w:p>
    <w:p>
      <w:pPr>
        <w:pStyle w:val="Heading1"/>
        <w:spacing w:after="120" w:before="400"/>
      </w:pPr>
      <w:r>
        <w:rPr>
          <w:rFonts w:ascii="Manrope" w:cs="Manrope" w:eastAsia="Manrope" w:hAnsi="Manrope"/>
          <w:b/>
          <w:bCs/>
          <w:color w:val="1A1C1E"/>
          <w:sz w:val="32"/>
          <w:szCs w:val="32"/>
        </w:rPr>
        <w:t xml:space="preserve">11. Component status</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2800"/>
        <w:gridCol w:w="1200"/>
        <w:gridCol w:w="5072"/>
      </w:tblGrid>
      <w:tr>
        <w:trPr>
          <w:tblHeader/>
        </w:trPr>
        <w:tc>
          <w:tcPr>
            <w:tcW w:type="dxa" w:w="2800"/>
            <w:shd w:fill="1A1C1E" w:val="clear"/>
          </w:tcPr>
          <w:p>
            <w:pPr>
              <w:spacing w:after="40" w:before="40"/>
            </w:pPr>
            <w:r>
              <w:rPr>
                <w:rFonts w:ascii="Manrope" w:cs="Manrope" w:eastAsia="Manrope" w:hAnsi="Manrope"/>
                <w:b/>
                <w:bCs/>
                <w:color w:val="FFFFFF"/>
                <w:sz w:val="20"/>
                <w:szCs w:val="20"/>
              </w:rPr>
              <w:t xml:space="preserve">Component</w:t>
            </w:r>
          </w:p>
        </w:tc>
        <w:tc>
          <w:tcPr>
            <w:tcW w:type="dxa" w:w="1200"/>
            <w:shd w:fill="1A1C1E" w:val="clear"/>
          </w:tcPr>
          <w:p>
            <w:pPr>
              <w:spacing w:after="40" w:before="40"/>
            </w:pPr>
            <w:r>
              <w:rPr>
                <w:rFonts w:ascii="Manrope" w:cs="Manrope" w:eastAsia="Manrope" w:hAnsi="Manrope"/>
                <w:b/>
                <w:bCs/>
                <w:color w:val="FFFFFF"/>
                <w:sz w:val="20"/>
                <w:szCs w:val="20"/>
              </w:rPr>
              <w:t xml:space="preserve">Status</w:t>
            </w:r>
          </w:p>
        </w:tc>
        <w:tc>
          <w:tcPr>
            <w:tcW w:type="dxa" w:w="5072"/>
            <w:shd w:fill="1A1C1E" w:val="clear"/>
          </w:tcPr>
          <w:p>
            <w:pPr>
              <w:spacing w:after="40" w:before="40"/>
            </w:pPr>
            <w:r>
              <w:rPr>
                <w:rFonts w:ascii="Manrope" w:cs="Manrope" w:eastAsia="Manrope" w:hAnsi="Manrope"/>
                <w:b/>
                <w:bCs/>
                <w:color w:val="FFFFFF"/>
                <w:sz w:val="20"/>
                <w:szCs w:val="20"/>
              </w:rPr>
              <w:t xml:space="preserve">Notes</w:t>
            </w:r>
          </w:p>
        </w:tc>
      </w:tr>
      <w:tr>
        <w:tc>
          <w:tcPr>
            <w:tcW w:type="dxa" w:w="2800"/>
            <w:shd w:fill="FFFFFF" w:val="clear"/>
          </w:tcPr>
          <w:p>
            <w:pPr>
              <w:spacing w:after="40" w:before="40"/>
            </w:pPr>
            <w:r>
              <w:rPr>
                <w:rFonts w:ascii="Manrope" w:cs="Manrope" w:eastAsia="Manrope" w:hAnsi="Manrope"/>
                <w:color w:val="0F1113"/>
                <w:sz w:val="22"/>
                <w:szCs w:val="22"/>
              </w:rPr>
              <w:t xml:space="preserve">finance-api (server.js)</w:t>
            </w:r>
          </w:p>
        </w:tc>
        <w:tc>
          <w:tcPr>
            <w:tcW w:type="dxa" w:w="1200"/>
            <w:shd w:fill="FFFFFF" w:val="clear"/>
          </w:tcPr>
          <w:p>
            <w:pPr>
              <w:spacing w:after="40" w:before="40"/>
            </w:pPr>
            <w:r>
              <w:rPr>
                <w:rFonts w:ascii="Manrope" w:cs="Manrope" w:eastAsia="Manrope" w:hAnsi="Manrope"/>
                <w:color w:val="0F1113"/>
                <w:sz w:val="22"/>
                <w:szCs w:val="22"/>
              </w:rPr>
              <w:t xml:space="preserve">Stays</w:t>
            </w:r>
          </w:p>
        </w:tc>
        <w:tc>
          <w:tcPr>
            <w:tcW w:type="dxa" w:w="5072"/>
            <w:shd w:fill="FFFFFF" w:val="clear"/>
          </w:tcPr>
          <w:p>
            <w:pPr>
              <w:spacing w:after="40" w:before="40"/>
            </w:pPr>
            <w:r>
              <w:rPr>
                <w:rFonts w:ascii="Manrope" w:cs="Manrope" w:eastAsia="Manrope" w:hAnsi="Manrope"/>
                <w:color w:val="0F1113"/>
                <w:sz w:val="22"/>
                <w:szCs w:val="22"/>
              </w:rPr>
              <w:t xml:space="preserve">Core data layer, gains auth middleware</w:t>
            </w:r>
          </w:p>
        </w:tc>
      </w:tr>
      <w:tr>
        <w:tc>
          <w:tcPr>
            <w:tcW w:type="dxa" w:w="2800"/>
            <w:shd w:fill="F5F0E8" w:val="clear"/>
          </w:tcPr>
          <w:p>
            <w:pPr>
              <w:spacing w:after="40" w:before="40"/>
            </w:pPr>
            <w:r>
              <w:rPr>
                <w:rFonts w:ascii="Manrope" w:cs="Manrope" w:eastAsia="Manrope" w:hAnsi="Manrope"/>
                <w:color w:val="0F1113"/>
                <w:sz w:val="22"/>
                <w:szCs w:val="22"/>
              </w:rPr>
              <w:t xml:space="preserve">Xero endpoints</w:t>
            </w:r>
          </w:p>
        </w:tc>
        <w:tc>
          <w:tcPr>
            <w:tcW w:type="dxa" w:w="1200"/>
            <w:shd w:fill="F5F0E8" w:val="clear"/>
          </w:tcPr>
          <w:p>
            <w:pPr>
              <w:spacing w:after="40" w:before="40"/>
            </w:pPr>
            <w:r>
              <w:rPr>
                <w:rFonts w:ascii="Manrope" w:cs="Manrope" w:eastAsia="Manrope" w:hAnsi="Manrope"/>
                <w:color w:val="0F1113"/>
                <w:sz w:val="22"/>
                <w:szCs w:val="22"/>
              </w:rPr>
              <w:t xml:space="preserve">Stays</w:t>
            </w:r>
          </w:p>
        </w:tc>
        <w:tc>
          <w:tcPr>
            <w:tcW w:type="dxa" w:w="5072"/>
            <w:shd w:fill="F5F0E8" w:val="clear"/>
          </w:tcPr>
          <w:p>
            <w:pPr>
              <w:spacing w:after="40" w:before="40"/>
            </w:pPr>
            <w:r>
              <w:rPr>
                <w:rFonts w:ascii="Manrope" w:cs="Manrope" w:eastAsia="Manrope" w:hAnsi="Manrope"/>
                <w:color w:val="0F1113"/>
                <w:sz w:val="22"/>
                <w:szCs w:val="22"/>
              </w:rPr>
              <w:t xml:space="preserve">Already built and tested</w:t>
            </w:r>
          </w:p>
        </w:tc>
      </w:tr>
      <w:tr>
        <w:tc>
          <w:tcPr>
            <w:tcW w:type="dxa" w:w="2800"/>
            <w:shd w:fill="FFFFFF" w:val="clear"/>
          </w:tcPr>
          <w:p>
            <w:pPr>
              <w:spacing w:after="40" w:before="40"/>
            </w:pPr>
            <w:r>
              <w:rPr>
                <w:rFonts w:ascii="Manrope" w:cs="Manrope" w:eastAsia="Manrope" w:hAnsi="Manrope"/>
                <w:color w:val="0F1113"/>
                <w:sz w:val="22"/>
                <w:szCs w:val="22"/>
              </w:rPr>
              <w:t xml:space="preserve">Client/entity model</w:t>
            </w:r>
          </w:p>
        </w:tc>
        <w:tc>
          <w:tcPr>
            <w:tcW w:type="dxa" w:w="1200"/>
            <w:shd w:fill="FFFFFF" w:val="clear"/>
          </w:tcPr>
          <w:p>
            <w:pPr>
              <w:spacing w:after="40" w:before="40"/>
            </w:pPr>
            <w:r>
              <w:rPr>
                <w:rFonts w:ascii="Manrope" w:cs="Manrope" w:eastAsia="Manrope" w:hAnsi="Manrope"/>
                <w:color w:val="0F1113"/>
                <w:sz w:val="22"/>
                <w:szCs w:val="22"/>
              </w:rPr>
              <w:t xml:space="preserve">Stays</w:t>
            </w:r>
          </w:p>
        </w:tc>
        <w:tc>
          <w:tcPr>
            <w:tcW w:type="dxa" w:w="5072"/>
            <w:shd w:fill="FFFFFF" w:val="clear"/>
          </w:tcPr>
          <w:p>
            <w:pPr>
              <w:spacing w:after="40" w:before="40"/>
            </w:pPr>
            <w:r>
              <w:rPr>
                <w:rFonts w:ascii="Manrope" w:cs="Manrope" w:eastAsia="Manrope" w:hAnsi="Manrope"/>
                <w:color w:val="0F1113"/>
                <w:sz w:val="22"/>
                <w:szCs w:val="22"/>
              </w:rPr>
              <w:t xml:space="preserve">Multi-client, multi-entity support</w:t>
            </w:r>
          </w:p>
        </w:tc>
      </w:tr>
      <w:tr>
        <w:tc>
          <w:tcPr>
            <w:tcW w:type="dxa" w:w="2800"/>
            <w:shd w:fill="F5F0E8" w:val="clear"/>
          </w:tcPr>
          <w:p>
            <w:pPr>
              <w:spacing w:after="40" w:before="40"/>
            </w:pPr>
            <w:r>
              <w:rPr>
                <w:rFonts w:ascii="Manrope" w:cs="Manrope" w:eastAsia="Manrope" w:hAnsi="Manrope"/>
                <w:color w:val="0F1113"/>
                <w:sz w:val="22"/>
                <w:szCs w:val="22"/>
              </w:rPr>
              <w:t xml:space="preserve">OAuth token rotation</w:t>
            </w:r>
          </w:p>
        </w:tc>
        <w:tc>
          <w:tcPr>
            <w:tcW w:type="dxa" w:w="1200"/>
            <w:shd w:fill="F5F0E8" w:val="clear"/>
          </w:tcPr>
          <w:p>
            <w:pPr>
              <w:spacing w:after="40" w:before="40"/>
            </w:pPr>
            <w:r>
              <w:rPr>
                <w:rFonts w:ascii="Manrope" w:cs="Manrope" w:eastAsia="Manrope" w:hAnsi="Manrope"/>
                <w:color w:val="0F1113"/>
                <w:sz w:val="22"/>
                <w:szCs w:val="22"/>
              </w:rPr>
              <w:t xml:space="preserve">Stays</w:t>
            </w:r>
          </w:p>
        </w:tc>
        <w:tc>
          <w:tcPr>
            <w:tcW w:type="dxa" w:w="5072"/>
            <w:shd w:fill="F5F0E8" w:val="clear"/>
          </w:tcPr>
          <w:p>
            <w:pPr>
              <w:spacing w:after="40" w:before="40"/>
            </w:pPr>
            <w:r>
              <w:rPr>
                <w:rFonts w:ascii="Manrope" w:cs="Manrope" w:eastAsia="Manrope" w:hAnsi="Manrope"/>
                <w:color w:val="0F1113"/>
                <w:sz w:val="22"/>
                <w:szCs w:val="22"/>
              </w:rPr>
              <w:t xml:space="preserve">GCP Secret Manager integration</w:t>
            </w:r>
          </w:p>
        </w:tc>
      </w:tr>
      <w:tr>
        <w:tc>
          <w:tcPr>
            <w:tcW w:type="dxa" w:w="2800"/>
            <w:shd w:fill="FFFFFF" w:val="clear"/>
          </w:tcPr>
          <w:p>
            <w:pPr>
              <w:spacing w:after="40" w:before="40"/>
            </w:pPr>
            <w:r>
              <w:rPr>
                <w:rFonts w:ascii="Manrope" w:cs="Manrope" w:eastAsia="Manrope" w:hAnsi="Manrope"/>
                <w:color w:val="0F1113"/>
                <w:sz w:val="22"/>
                <w:szCs w:val="22"/>
              </w:rPr>
              <w:t xml:space="preserve">Runner (runner.js)</w:t>
            </w:r>
          </w:p>
        </w:tc>
        <w:tc>
          <w:tcPr>
            <w:tcW w:type="dxa" w:w="1200"/>
            <w:shd w:fill="FFFFFF" w:val="clear"/>
          </w:tcPr>
          <w:p>
            <w:pPr>
              <w:spacing w:after="40" w:before="40"/>
            </w:pPr>
            <w:r>
              <w:rPr>
                <w:rFonts w:ascii="Manrope" w:cs="Manrope" w:eastAsia="Manrope" w:hAnsi="Manrope"/>
                <w:color w:val="0F1113"/>
                <w:sz w:val="22"/>
                <w:szCs w:val="22"/>
              </w:rPr>
              <w:t xml:space="preserve">Demoted</w:t>
            </w:r>
          </w:p>
        </w:tc>
        <w:tc>
          <w:tcPr>
            <w:tcW w:type="dxa" w:w="5072"/>
            <w:shd w:fill="FFFFFF" w:val="clear"/>
          </w:tcPr>
          <w:p>
            <w:pPr>
              <w:spacing w:after="40" w:before="40"/>
            </w:pPr>
            <w:r>
              <w:rPr>
                <w:rFonts w:ascii="Manrope" w:cs="Manrope" w:eastAsia="Manrope" w:hAnsi="Manrope"/>
                <w:color w:val="0F1113"/>
                <w:sz w:val="22"/>
                <w:szCs w:val="22"/>
              </w:rPr>
              <w:t xml:space="preserve">Kept for demos and fallback, not primary interface</w:t>
            </w:r>
          </w:p>
        </w:tc>
      </w:tr>
      <w:tr>
        <w:tc>
          <w:tcPr>
            <w:tcW w:type="dxa" w:w="2800"/>
            <w:shd w:fill="F5F0E8" w:val="clear"/>
          </w:tcPr>
          <w:p>
            <w:pPr>
              <w:spacing w:after="40" w:before="40"/>
            </w:pPr>
            <w:r>
              <w:rPr>
                <w:rFonts w:ascii="Manrope" w:cs="Manrope" w:eastAsia="Manrope" w:hAnsi="Manrope"/>
                <w:color w:val="0F1113"/>
                <w:sz w:val="22"/>
                <w:szCs w:val="22"/>
              </w:rPr>
              <w:t xml:space="preserve">Portal Agents tab</w:t>
            </w:r>
          </w:p>
        </w:tc>
        <w:tc>
          <w:tcPr>
            <w:tcW w:type="dxa" w:w="1200"/>
            <w:shd w:fill="F5F0E8" w:val="clear"/>
          </w:tcPr>
          <w:p>
            <w:pPr>
              <w:spacing w:after="40" w:before="40"/>
            </w:pPr>
            <w:r>
              <w:rPr>
                <w:rFonts w:ascii="Manrope" w:cs="Manrope" w:eastAsia="Manrope" w:hAnsi="Manrope"/>
                <w:color w:val="0F1113"/>
                <w:sz w:val="22"/>
                <w:szCs w:val="22"/>
              </w:rPr>
              <w:t xml:space="preserve">Evolves</w:t>
            </w:r>
          </w:p>
        </w:tc>
        <w:tc>
          <w:tcPr>
            <w:tcW w:type="dxa" w:w="5072"/>
            <w:shd w:fill="F5F0E8" w:val="clear"/>
          </w:tcPr>
          <w:p>
            <w:pPr>
              <w:spacing w:after="40" w:before="40"/>
            </w:pPr>
            <w:r>
              <w:rPr>
                <w:rFonts w:ascii="Manrope" w:cs="Manrope" w:eastAsia="Manrope" w:hAnsi="Manrope"/>
                <w:color w:val="0F1113"/>
                <w:sz w:val="22"/>
                <w:szCs w:val="22"/>
              </w:rPr>
              <w:t xml:space="preserve">Becomes audit log viewer</w:t>
            </w:r>
          </w:p>
        </w:tc>
      </w:tr>
      <w:tr>
        <w:tc>
          <w:tcPr>
            <w:tcW w:type="dxa" w:w="2800"/>
            <w:shd w:fill="FFFFFF" w:val="clear"/>
          </w:tcPr>
          <w:p>
            <w:pPr>
              <w:spacing w:after="40" w:before="40"/>
            </w:pPr>
            <w:r>
              <w:rPr>
                <w:rFonts w:ascii="Manrope" w:cs="Manrope" w:eastAsia="Manrope" w:hAnsi="Manrope"/>
                <w:color w:val="0F1113"/>
                <w:sz w:val="22"/>
                <w:szCs w:val="22"/>
              </w:rPr>
              <w:t xml:space="preserve">Single API key auth</w:t>
            </w:r>
          </w:p>
        </w:tc>
        <w:tc>
          <w:tcPr>
            <w:tcW w:type="dxa" w:w="1200"/>
            <w:shd w:fill="FFFFFF" w:val="clear"/>
          </w:tcPr>
          <w:p>
            <w:pPr>
              <w:spacing w:after="40" w:before="40"/>
            </w:pPr>
            <w:r>
              <w:rPr>
                <w:rFonts w:ascii="Manrope" w:cs="Manrope" w:eastAsia="Manrope" w:hAnsi="Manrope"/>
                <w:color w:val="0F1113"/>
                <w:sz w:val="22"/>
                <w:szCs w:val="22"/>
              </w:rPr>
              <w:t xml:space="preserve">Replaced</w:t>
            </w:r>
          </w:p>
        </w:tc>
        <w:tc>
          <w:tcPr>
            <w:tcW w:type="dxa" w:w="5072"/>
            <w:shd w:fill="FFFFFF" w:val="clear"/>
          </w:tcPr>
          <w:p>
            <w:pPr>
              <w:spacing w:after="40" w:before="40"/>
            </w:pPr>
            <w:r>
              <w:rPr>
                <w:rFonts w:ascii="Manrope" w:cs="Manrope" w:eastAsia="Manrope" w:hAnsi="Manrope"/>
                <w:color w:val="0F1113"/>
                <w:sz w:val="22"/>
                <w:szCs w:val="22"/>
              </w:rPr>
              <w:t xml:space="preserve">Per-user API keys with client scoping</w:t>
            </w:r>
          </w:p>
        </w:tc>
      </w:tr>
      <w:tr>
        <w:tc>
          <w:tcPr>
            <w:tcW w:type="dxa" w:w="2800"/>
            <w:shd w:fill="F5F0E8" w:val="clear"/>
          </w:tcPr>
          <w:p>
            <w:pPr>
              <w:spacing w:after="40" w:before="40"/>
            </w:pPr>
            <w:r>
              <w:rPr>
                <w:rFonts w:ascii="Manrope" w:cs="Manrope" w:eastAsia="Manrope" w:hAnsi="Manrope"/>
                <w:color w:val="0F1113"/>
                <w:sz w:val="22"/>
                <w:szCs w:val="22"/>
              </w:rPr>
              <w:t xml:space="preserve">MCP server</w:t>
            </w:r>
          </w:p>
        </w:tc>
        <w:tc>
          <w:tcPr>
            <w:tcW w:type="dxa" w:w="1200"/>
            <w:shd w:fill="F5F0E8" w:val="clear"/>
          </w:tcPr>
          <w:p>
            <w:pPr>
              <w:spacing w:after="40" w:before="40"/>
            </w:pPr>
            <w:r>
              <w:rPr>
                <w:rFonts w:ascii="Manrope" w:cs="Manrope" w:eastAsia="Manrope" w:hAnsi="Manrope"/>
                <w:color w:val="0F1113"/>
                <w:sz w:val="22"/>
                <w:szCs w:val="22"/>
              </w:rPr>
              <w:t xml:space="preserve">New</w:t>
            </w:r>
          </w:p>
        </w:tc>
        <w:tc>
          <w:tcPr>
            <w:tcW w:type="dxa" w:w="5072"/>
            <w:shd w:fill="F5F0E8" w:val="clear"/>
          </w:tcPr>
          <w:p>
            <w:pPr>
              <w:spacing w:after="40" w:before="40"/>
            </w:pPr>
            <w:r>
              <w:rPr>
                <w:rFonts w:ascii="Manrope" w:cs="Manrope" w:eastAsia="Manrope" w:hAnsi="Manrope"/>
                <w:color w:val="0F1113"/>
                <w:sz w:val="22"/>
                <w:szCs w:val="22"/>
              </w:rPr>
              <w:t xml:space="preserve">Thin wrapper for Claude users</w:t>
            </w:r>
          </w:p>
        </w:tc>
      </w:tr>
      <w:tr>
        <w:tc>
          <w:tcPr>
            <w:tcW w:type="dxa" w:w="2800"/>
            <w:shd w:fill="FFFFFF" w:val="clear"/>
          </w:tcPr>
          <w:p>
            <w:pPr>
              <w:spacing w:after="40" w:before="40"/>
            </w:pPr>
            <w:r>
              <w:rPr>
                <w:rFonts w:ascii="Manrope" w:cs="Manrope" w:eastAsia="Manrope" w:hAnsi="Manrope"/>
                <w:color w:val="0F1113"/>
                <w:sz w:val="22"/>
                <w:szCs w:val="22"/>
              </w:rPr>
              <w:t xml:space="preserve">OpenAPI spec</w:t>
            </w:r>
          </w:p>
        </w:tc>
        <w:tc>
          <w:tcPr>
            <w:tcW w:type="dxa" w:w="1200"/>
            <w:shd w:fill="FFFFFF" w:val="clear"/>
          </w:tcPr>
          <w:p>
            <w:pPr>
              <w:spacing w:after="40" w:before="40"/>
            </w:pPr>
            <w:r>
              <w:rPr>
                <w:rFonts w:ascii="Manrope" w:cs="Manrope" w:eastAsia="Manrope" w:hAnsi="Manrope"/>
                <w:color w:val="0F1113"/>
                <w:sz w:val="22"/>
                <w:szCs w:val="22"/>
              </w:rPr>
              <w:t xml:space="preserve">New</w:t>
            </w:r>
          </w:p>
        </w:tc>
        <w:tc>
          <w:tcPr>
            <w:tcW w:type="dxa" w:w="5072"/>
            <w:shd w:fill="FFFFFF" w:val="clear"/>
          </w:tcPr>
          <w:p>
            <w:pPr>
              <w:spacing w:after="40" w:before="40"/>
            </w:pPr>
            <w:r>
              <w:rPr>
                <w:rFonts w:ascii="Manrope" w:cs="Manrope" w:eastAsia="Manrope" w:hAnsi="Manrope"/>
                <w:color w:val="0F1113"/>
                <w:sz w:val="22"/>
                <w:szCs w:val="22"/>
              </w:rPr>
              <w:t xml:space="preserve">Serves ChatGPT and Gemini users</w:t>
            </w:r>
          </w:p>
        </w:tc>
      </w:tr>
      <w:tr>
        <w:tc>
          <w:tcPr>
            <w:tcW w:type="dxa" w:w="2800"/>
            <w:shd w:fill="F5F0E8" w:val="clear"/>
          </w:tcPr>
          <w:p>
            <w:pPr>
              <w:spacing w:after="40" w:before="40"/>
            </w:pPr>
            <w:r>
              <w:rPr>
                <w:rFonts w:ascii="Manrope" w:cs="Manrope" w:eastAsia="Manrope" w:hAnsi="Manrope"/>
                <w:color w:val="0F1113"/>
                <w:sz w:val="22"/>
                <w:szCs w:val="22"/>
              </w:rPr>
              <w:t xml:space="preserve">Audit logging middleware</w:t>
            </w:r>
          </w:p>
        </w:tc>
        <w:tc>
          <w:tcPr>
            <w:tcW w:type="dxa" w:w="1200"/>
            <w:shd w:fill="F5F0E8" w:val="clear"/>
          </w:tcPr>
          <w:p>
            <w:pPr>
              <w:spacing w:after="40" w:before="40"/>
            </w:pPr>
            <w:r>
              <w:rPr>
                <w:rFonts w:ascii="Manrope" w:cs="Manrope" w:eastAsia="Manrope" w:hAnsi="Manrope"/>
                <w:color w:val="0F1113"/>
                <w:sz w:val="22"/>
                <w:szCs w:val="22"/>
              </w:rPr>
              <w:t xml:space="preserve">New</w:t>
            </w:r>
          </w:p>
        </w:tc>
        <w:tc>
          <w:tcPr>
            <w:tcW w:type="dxa" w:w="5072"/>
            <w:shd w:fill="F5F0E8" w:val="clear"/>
          </w:tcPr>
          <w:p>
            <w:pPr>
              <w:spacing w:after="40" w:before="40"/>
            </w:pPr>
            <w:r>
              <w:rPr>
                <w:rFonts w:ascii="Manrope" w:cs="Manrope" w:eastAsia="Manrope" w:hAnsi="Manrope"/>
                <w:color w:val="0F1113"/>
                <w:sz w:val="22"/>
                <w:szCs w:val="22"/>
              </w:rPr>
              <w:t xml:space="preserve">Logs all tool calls by user and source</w:t>
            </w:r>
          </w:p>
        </w:tc>
      </w:tr>
      <w:tr>
        <w:tc>
          <w:tcPr>
            <w:tcW w:type="dxa" w:w="2800"/>
            <w:shd w:fill="FFFFFF" w:val="clear"/>
          </w:tcPr>
          <w:p>
            <w:pPr>
              <w:spacing w:after="40" w:before="40"/>
            </w:pPr>
            <w:r>
              <w:rPr>
                <w:rFonts w:ascii="Manrope" w:cs="Manrope" w:eastAsia="Manrope" w:hAnsi="Manrope"/>
                <w:color w:val="0F1113"/>
                <w:sz w:val="22"/>
                <w:szCs w:val="22"/>
              </w:rPr>
              <w:t xml:space="preserve">User management</w:t>
            </w:r>
          </w:p>
        </w:tc>
        <w:tc>
          <w:tcPr>
            <w:tcW w:type="dxa" w:w="1200"/>
            <w:shd w:fill="FFFFFF" w:val="clear"/>
          </w:tcPr>
          <w:p>
            <w:pPr>
              <w:spacing w:after="40" w:before="40"/>
            </w:pPr>
            <w:r>
              <w:rPr>
                <w:rFonts w:ascii="Manrope" w:cs="Manrope" w:eastAsia="Manrope" w:hAnsi="Manrope"/>
                <w:color w:val="0F1113"/>
                <w:sz w:val="22"/>
                <w:szCs w:val="22"/>
              </w:rPr>
              <w:t xml:space="preserve">New</w:t>
            </w:r>
          </w:p>
        </w:tc>
        <w:tc>
          <w:tcPr>
            <w:tcW w:type="dxa" w:w="5072"/>
            <w:shd w:fill="FFFFFF" w:val="clear"/>
          </w:tcPr>
          <w:p>
            <w:pPr>
              <w:spacing w:after="40" w:before="40"/>
            </w:pPr>
            <w:r>
              <w:rPr>
                <w:rFonts w:ascii="Manrope" w:cs="Manrope" w:eastAsia="Manrope" w:hAnsi="Manrope"/>
                <w:color w:val="0F1113"/>
                <w:sz w:val="22"/>
                <w:szCs w:val="22"/>
              </w:rPr>
              <w:t xml:space="preserve">Sign-up, key issuance, entity permissions</w:t>
            </w:r>
          </w:p>
        </w:tc>
      </w:tr>
    </w:tbl>
    <w:p>
      <w:r>
        <w:br w:type="page"/>
      </w:r>
    </w:p>
    <w:p>
      <w:pPr>
        <w:pStyle w:val="Heading1"/>
        <w:spacing w:after="120" w:before="400"/>
      </w:pPr>
      <w:r>
        <w:rPr>
          <w:rFonts w:ascii="Manrope" w:cs="Manrope" w:eastAsia="Manrope" w:hAnsi="Manrope"/>
          <w:b/>
          <w:bCs/>
          <w:color w:val="1A1C1E"/>
          <w:sz w:val="32"/>
          <w:szCs w:val="32"/>
        </w:rPr>
        <w:t xml:space="preserve">12. Risks and mitigations</w:t>
      </w:r>
    </w:p>
    <w:tbl>
      <w:tblPr>
        <w:tblW w:type="dxa" w:w="9072"/>
        <w:tblBorders>
          <w:top w:val="single" w:color="D4C5A9" w:sz="1"/>
          <w:left w:val="single" w:color="D4C5A9" w:sz="1"/>
          <w:bottom w:val="single" w:color="D4C5A9" w:sz="1"/>
          <w:right w:val="single" w:color="D4C5A9" w:sz="1"/>
          <w:insideH w:val="single" w:color="D4C5A9" w:sz="1"/>
          <w:insideV w:val="single" w:color="D4C5A9" w:sz="1"/>
        </w:tblBorders>
      </w:tblPr>
      <w:tblGrid>
        <w:gridCol w:w="3000"/>
        <w:gridCol w:w="1000"/>
        <w:gridCol w:w="5072"/>
      </w:tblGrid>
      <w:tr>
        <w:trPr>
          <w:tblHeader/>
        </w:trPr>
        <w:tc>
          <w:tcPr>
            <w:tcW w:type="dxa" w:w="3000"/>
            <w:shd w:fill="1A1C1E" w:val="clear"/>
          </w:tcPr>
          <w:p>
            <w:pPr>
              <w:spacing w:after="40" w:before="40"/>
            </w:pPr>
            <w:r>
              <w:rPr>
                <w:rFonts w:ascii="Manrope" w:cs="Manrope" w:eastAsia="Manrope" w:hAnsi="Manrope"/>
                <w:b/>
                <w:bCs/>
                <w:color w:val="FFFFFF"/>
                <w:sz w:val="20"/>
                <w:szCs w:val="20"/>
              </w:rPr>
              <w:t xml:space="preserve">Risk</w:t>
            </w:r>
          </w:p>
        </w:tc>
        <w:tc>
          <w:tcPr>
            <w:tcW w:type="dxa" w:w="1000"/>
            <w:shd w:fill="1A1C1E" w:val="clear"/>
          </w:tcPr>
          <w:p>
            <w:pPr>
              <w:spacing w:after="40" w:before="40"/>
            </w:pPr>
            <w:r>
              <w:rPr>
                <w:rFonts w:ascii="Manrope" w:cs="Manrope" w:eastAsia="Manrope" w:hAnsi="Manrope"/>
                <w:b/>
                <w:bCs/>
                <w:color w:val="FFFFFF"/>
                <w:sz w:val="20"/>
                <w:szCs w:val="20"/>
              </w:rPr>
              <w:t xml:space="preserve">Severity</w:t>
            </w:r>
          </w:p>
        </w:tc>
        <w:tc>
          <w:tcPr>
            <w:tcW w:type="dxa" w:w="5072"/>
            <w:shd w:fill="1A1C1E" w:val="clear"/>
          </w:tcPr>
          <w:p>
            <w:pPr>
              <w:spacing w:after="40" w:before="40"/>
            </w:pPr>
            <w:r>
              <w:rPr>
                <w:rFonts w:ascii="Manrope" w:cs="Manrope" w:eastAsia="Manrope" w:hAnsi="Manrope"/>
                <w:b/>
                <w:bCs/>
                <w:color w:val="FFFFFF"/>
                <w:sz w:val="20"/>
                <w:szCs w:val="20"/>
              </w:rPr>
              <w:t xml:space="preserve">Mitigation</w:t>
            </w:r>
          </w:p>
        </w:tc>
      </w:tr>
      <w:tr>
        <w:tc>
          <w:tcPr>
            <w:tcW w:type="dxa" w:w="3000"/>
            <w:shd w:fill="FFFFFF" w:val="clear"/>
          </w:tcPr>
          <w:p>
            <w:pPr>
              <w:spacing w:after="40" w:before="40"/>
            </w:pPr>
            <w:r>
              <w:rPr>
                <w:rFonts w:ascii="Manrope" w:cs="Manrope" w:eastAsia="Manrope" w:hAnsi="Manrope"/>
                <w:color w:val="0F1113"/>
                <w:sz w:val="22"/>
                <w:szCs w:val="22"/>
              </w:rPr>
              <w:t xml:space="preserve">Users unfamiliar with MCP/GPT Action setup</w:t>
            </w:r>
          </w:p>
        </w:tc>
        <w:tc>
          <w:tcPr>
            <w:tcW w:type="dxa" w:w="1000"/>
            <w:shd w:fill="FFFFFF" w:val="clear"/>
          </w:tcPr>
          <w:p>
            <w:pPr>
              <w:spacing w:after="40" w:before="40"/>
            </w:pPr>
            <w:r>
              <w:rPr>
                <w:rFonts w:ascii="Manrope" w:cs="Manrope" w:eastAsia="Manrope" w:hAnsi="Manrope"/>
                <w:color w:val="0F1113"/>
                <w:sz w:val="22"/>
                <w:szCs w:val="22"/>
              </w:rPr>
              <w:t xml:space="preserve">Medium</w:t>
            </w:r>
          </w:p>
        </w:tc>
        <w:tc>
          <w:tcPr>
            <w:tcW w:type="dxa" w:w="5072"/>
            <w:shd w:fill="FFFFFF" w:val="clear"/>
          </w:tcPr>
          <w:p>
            <w:pPr>
              <w:spacing w:after="40" w:before="40"/>
            </w:pPr>
            <w:r>
              <w:rPr>
                <w:rFonts w:ascii="Manrope" w:cs="Manrope" w:eastAsia="Manrope" w:hAnsi="Manrope"/>
                <w:color w:val="0F1113"/>
                <w:sz w:val="22"/>
                <w:szCs w:val="22"/>
              </w:rPr>
              <w:t xml:space="preserve">Step-by-step setup guides per platform; onboarding call included in setup fee</w:t>
            </w:r>
          </w:p>
        </w:tc>
      </w:tr>
      <w:tr>
        <w:tc>
          <w:tcPr>
            <w:tcW w:type="dxa" w:w="3000"/>
            <w:shd w:fill="F5F0E8" w:val="clear"/>
          </w:tcPr>
          <w:p>
            <w:pPr>
              <w:spacing w:after="40" w:before="40"/>
            </w:pPr>
            <w:r>
              <w:rPr>
                <w:rFonts w:ascii="Manrope" w:cs="Manrope" w:eastAsia="Manrope" w:hAnsi="Manrope"/>
                <w:color w:val="0F1113"/>
                <w:sz w:val="22"/>
                <w:szCs w:val="22"/>
              </w:rPr>
              <w:t xml:space="preserve">Runaway AI hammering Xero API</w:t>
            </w:r>
          </w:p>
        </w:tc>
        <w:tc>
          <w:tcPr>
            <w:tcW w:type="dxa" w:w="1000"/>
            <w:shd w:fill="F5F0E8" w:val="clear"/>
          </w:tcPr>
          <w:p>
            <w:pPr>
              <w:spacing w:after="40" w:before="40"/>
            </w:pPr>
            <w:r>
              <w:rPr>
                <w:rFonts w:ascii="Manrope" w:cs="Manrope" w:eastAsia="Manrope" w:hAnsi="Manrope"/>
                <w:color w:val="0F1113"/>
                <w:sz w:val="22"/>
                <w:szCs w:val="22"/>
              </w:rPr>
              <w:t xml:space="preserve">Medium</w:t>
            </w:r>
          </w:p>
        </w:tc>
        <w:tc>
          <w:tcPr>
            <w:tcW w:type="dxa" w:w="5072"/>
            <w:shd w:fill="F5F0E8" w:val="clear"/>
          </w:tcPr>
          <w:p>
            <w:pPr>
              <w:spacing w:after="40" w:before="40"/>
            </w:pPr>
            <w:r>
              <w:rPr>
                <w:rFonts w:ascii="Manrope" w:cs="Manrope" w:eastAsia="Manrope" w:hAnsi="Manrope"/>
                <w:color w:val="0F1113"/>
                <w:sz w:val="22"/>
                <w:szCs w:val="22"/>
              </w:rPr>
              <w:t xml:space="preserve">Per-user rate limits in API middleware; Xero's own rate limits as backstop</w:t>
            </w:r>
          </w:p>
        </w:tc>
      </w:tr>
      <w:tr>
        <w:tc>
          <w:tcPr>
            <w:tcW w:type="dxa" w:w="3000"/>
            <w:shd w:fill="FFFFFF" w:val="clear"/>
          </w:tcPr>
          <w:p>
            <w:pPr>
              <w:spacing w:after="40" w:before="40"/>
            </w:pPr>
            <w:r>
              <w:rPr>
                <w:rFonts w:ascii="Manrope" w:cs="Manrope" w:eastAsia="Manrope" w:hAnsi="Manrope"/>
                <w:color w:val="0F1113"/>
                <w:sz w:val="22"/>
                <w:szCs w:val="22"/>
              </w:rPr>
              <w:t xml:space="preserve">AI providers may log tool responses</w:t>
            </w:r>
          </w:p>
        </w:tc>
        <w:tc>
          <w:tcPr>
            <w:tcW w:type="dxa" w:w="1000"/>
            <w:shd w:fill="FFFFFF" w:val="clear"/>
          </w:tcPr>
          <w:p>
            <w:pPr>
              <w:spacing w:after="40" w:before="40"/>
            </w:pPr>
            <w:r>
              <w:rPr>
                <w:rFonts w:ascii="Manrope" w:cs="Manrope" w:eastAsia="Manrope" w:hAnsi="Manrope"/>
                <w:color w:val="0F1113"/>
                <w:sz w:val="22"/>
                <w:szCs w:val="22"/>
              </w:rPr>
              <w:t xml:space="preserve">Low</w:t>
            </w:r>
          </w:p>
        </w:tc>
        <w:tc>
          <w:tcPr>
            <w:tcW w:type="dxa" w:w="5072"/>
            <w:shd w:fill="FFFFFF" w:val="clear"/>
          </w:tcPr>
          <w:p>
            <w:pPr>
              <w:spacing w:after="40" w:before="40"/>
            </w:pPr>
            <w:r>
              <w:rPr>
                <w:rFonts w:ascii="Manrope" w:cs="Manrope" w:eastAsia="Manrope" w:hAnsi="Manrope"/>
                <w:color w:val="0F1113"/>
                <w:sz w:val="22"/>
                <w:szCs w:val="22"/>
              </w:rPr>
              <w:t xml:space="preserve">Document in ToS; enterprise customers use private AI deployments; no raw Xero data persisted</w:t>
            </w:r>
          </w:p>
        </w:tc>
      </w:tr>
      <w:tr>
        <w:tc>
          <w:tcPr>
            <w:tcW w:type="dxa" w:w="3000"/>
            <w:shd w:fill="F5F0E8" w:val="clear"/>
          </w:tcPr>
          <w:p>
            <w:pPr>
              <w:spacing w:after="40" w:before="40"/>
            </w:pPr>
            <w:r>
              <w:rPr>
                <w:rFonts w:ascii="Manrope" w:cs="Manrope" w:eastAsia="Manrope" w:hAnsi="Manrope"/>
                <w:color w:val="0F1113"/>
                <w:sz w:val="22"/>
                <w:szCs w:val="22"/>
              </w:rPr>
              <w:t xml:space="preserve">Xero token rotation under concurrent access</w:t>
            </w:r>
          </w:p>
        </w:tc>
        <w:tc>
          <w:tcPr>
            <w:tcW w:type="dxa" w:w="1000"/>
            <w:shd w:fill="F5F0E8" w:val="clear"/>
          </w:tcPr>
          <w:p>
            <w:pPr>
              <w:spacing w:after="40" w:before="40"/>
            </w:pPr>
            <w:r>
              <w:rPr>
                <w:rFonts w:ascii="Manrope" w:cs="Manrope" w:eastAsia="Manrope" w:hAnsi="Manrope"/>
                <w:color w:val="0F1113"/>
                <w:sz w:val="22"/>
                <w:szCs w:val="22"/>
              </w:rPr>
              <w:t xml:space="preserve">Low</w:t>
            </w:r>
          </w:p>
        </w:tc>
        <w:tc>
          <w:tcPr>
            <w:tcW w:type="dxa" w:w="5072"/>
            <w:shd w:fill="F5F0E8" w:val="clear"/>
          </w:tcPr>
          <w:p>
            <w:pPr>
              <w:spacing w:after="40" w:before="40"/>
            </w:pPr>
            <w:r>
              <w:rPr>
                <w:rFonts w:ascii="Manrope" w:cs="Manrope" w:eastAsia="Manrope" w:hAnsi="Manrope"/>
                <w:color w:val="0F1113"/>
                <w:sz w:val="22"/>
                <w:szCs w:val="22"/>
              </w:rPr>
              <w:t xml:space="preserve">Already handled — token refresh is atomic via Secret Manager</w:t>
            </w:r>
          </w:p>
        </w:tc>
      </w:tr>
      <w:tr>
        <w:tc>
          <w:tcPr>
            <w:tcW w:type="dxa" w:w="3000"/>
            <w:shd w:fill="FFFFFF" w:val="clear"/>
          </w:tcPr>
          <w:p>
            <w:pPr>
              <w:spacing w:after="40" w:before="40"/>
            </w:pPr>
            <w:r>
              <w:rPr>
                <w:rFonts w:ascii="Manrope" w:cs="Manrope" w:eastAsia="Manrope" w:hAnsi="Manrope"/>
                <w:color w:val="0F1113"/>
                <w:sz w:val="22"/>
                <w:szCs w:val="22"/>
              </w:rPr>
              <w:t xml:space="preserve">ChatGPT/Gemini sunset extension protocols</w:t>
            </w:r>
          </w:p>
        </w:tc>
        <w:tc>
          <w:tcPr>
            <w:tcW w:type="dxa" w:w="1000"/>
            <w:shd w:fill="FFFFFF" w:val="clear"/>
          </w:tcPr>
          <w:p>
            <w:pPr>
              <w:spacing w:after="40" w:before="40"/>
            </w:pPr>
            <w:r>
              <w:rPr>
                <w:rFonts w:ascii="Manrope" w:cs="Manrope" w:eastAsia="Manrope" w:hAnsi="Manrope"/>
                <w:color w:val="0F1113"/>
                <w:sz w:val="22"/>
                <w:szCs w:val="22"/>
              </w:rPr>
              <w:t xml:space="preserve">Low</w:t>
            </w:r>
          </w:p>
        </w:tc>
        <w:tc>
          <w:tcPr>
            <w:tcW w:type="dxa" w:w="5072"/>
            <w:shd w:fill="FFFFFF" w:val="clear"/>
          </w:tcPr>
          <w:p>
            <w:pPr>
              <w:spacing w:after="40" w:before="40"/>
            </w:pPr>
            <w:r>
              <w:rPr>
                <w:rFonts w:ascii="Manrope" w:cs="Manrope" w:eastAsia="Manrope" w:hAnsi="Manrope"/>
                <w:color w:val="0F1113"/>
                <w:sz w:val="22"/>
                <w:szCs w:val="22"/>
              </w:rPr>
              <w:t xml:space="preserve">OpenAPI is the standard; MCP is Anthropic-controlled; both are trending toward adoption</w:t>
            </w:r>
          </w:p>
        </w:tc>
      </w:tr>
      <w:tr>
        <w:tc>
          <w:tcPr>
            <w:tcW w:type="dxa" w:w="3000"/>
            <w:shd w:fill="F5F0E8" w:val="clear"/>
          </w:tcPr>
          <w:p>
            <w:pPr>
              <w:spacing w:after="40" w:before="40"/>
            </w:pPr>
            <w:r>
              <w:rPr>
                <w:rFonts w:ascii="Manrope" w:cs="Manrope" w:eastAsia="Manrope" w:hAnsi="Manrope"/>
                <w:color w:val="0F1113"/>
                <w:sz w:val="22"/>
                <w:szCs w:val="22"/>
              </w:rPr>
              <w:t xml:space="preserve">Competitor builds same thing</w:t>
            </w:r>
          </w:p>
        </w:tc>
        <w:tc>
          <w:tcPr>
            <w:tcW w:type="dxa" w:w="1000"/>
            <w:shd w:fill="F5F0E8" w:val="clear"/>
          </w:tcPr>
          <w:p>
            <w:pPr>
              <w:spacing w:after="40" w:before="40"/>
            </w:pPr>
            <w:r>
              <w:rPr>
                <w:rFonts w:ascii="Manrope" w:cs="Manrope" w:eastAsia="Manrope" w:hAnsi="Manrope"/>
                <w:color w:val="0F1113"/>
                <w:sz w:val="22"/>
                <w:szCs w:val="22"/>
              </w:rPr>
              <w:t xml:space="preserve">Medium</w:t>
            </w:r>
          </w:p>
        </w:tc>
        <w:tc>
          <w:tcPr>
            <w:tcW w:type="dxa" w:w="5072"/>
            <w:shd w:fill="F5F0E8" w:val="clear"/>
          </w:tcPr>
          <w:p>
            <w:pPr>
              <w:spacing w:after="40" w:before="40"/>
            </w:pPr>
            <w:r>
              <w:rPr>
                <w:rFonts w:ascii="Manrope" w:cs="Manrope" w:eastAsia="Manrope" w:hAnsi="Manrope"/>
                <w:color w:val="0F1113"/>
                <w:sz w:val="22"/>
                <w:szCs w:val="22"/>
              </w:rPr>
              <w:t xml:space="preserve">First-mover advantage; STZA's CA(SA) practitioner credibility; multi-jurisdiction compliance knowledge is the moat</w:t>
            </w:r>
          </w:p>
        </w:tc>
      </w:tr>
      <w:tr>
        <w:tc>
          <w:tcPr>
            <w:tcW w:type="dxa" w:w="3000"/>
            <w:shd w:fill="FFFFFF" w:val="clear"/>
          </w:tcPr>
          <w:p>
            <w:pPr>
              <w:spacing w:after="40" w:before="40"/>
            </w:pPr>
            <w:r>
              <w:rPr>
                <w:rFonts w:ascii="Manrope" w:cs="Manrope" w:eastAsia="Manrope" w:hAnsi="Manrope"/>
                <w:color w:val="0F1113"/>
                <w:sz w:val="22"/>
                <w:szCs w:val="22"/>
              </w:rPr>
              <w:t xml:space="preserve">Xero changes AI data policy</w:t>
            </w:r>
          </w:p>
        </w:tc>
        <w:tc>
          <w:tcPr>
            <w:tcW w:type="dxa" w:w="1000"/>
            <w:shd w:fill="FFFFFF" w:val="clear"/>
          </w:tcPr>
          <w:p>
            <w:pPr>
              <w:spacing w:after="40" w:before="40"/>
            </w:pPr>
            <w:r>
              <w:rPr>
                <w:rFonts w:ascii="Manrope" w:cs="Manrope" w:eastAsia="Manrope" w:hAnsi="Manrope"/>
                <w:color w:val="0F1113"/>
                <w:sz w:val="22"/>
                <w:szCs w:val="22"/>
              </w:rPr>
              <w:t xml:space="preserve">Low</w:t>
            </w:r>
          </w:p>
        </w:tc>
        <w:tc>
          <w:tcPr>
            <w:tcW w:type="dxa" w:w="5072"/>
            <w:shd w:fill="FFFFFF" w:val="clear"/>
          </w:tcPr>
          <w:p>
            <w:pPr>
              <w:spacing w:after="40" w:before="40"/>
            </w:pPr>
            <w:r>
              <w:rPr>
                <w:rFonts w:ascii="Manrope" w:cs="Manrope" w:eastAsia="Manrope" w:hAnsi="Manrope"/>
                <w:color w:val="0F1113"/>
                <w:sz w:val="22"/>
                <w:szCs w:val="22"/>
              </w:rPr>
              <w:t xml:space="preserve">Architecture is already the permitted pattern; Xero is actively encouraging it via their own MCP Server and Agentic SDK</w:t>
            </w:r>
          </w:p>
        </w:tc>
      </w:tr>
    </w:tbl>
    <w:p>
      <w:pPr>
        <w:pStyle w:val="Heading1"/>
        <w:spacing w:after="120" w:before="400"/>
      </w:pPr>
      <w:r>
        <w:rPr>
          <w:rFonts w:ascii="Manrope" w:cs="Manrope" w:eastAsia="Manrope" w:hAnsi="Manrope"/>
          <w:b/>
          <w:bCs/>
          <w:color w:val="1A1C1E"/>
          <w:sz w:val="32"/>
          <w:szCs w:val="32"/>
        </w:rPr>
        <w:t xml:space="preserve">13. Related documents</w:t>
      </w:r>
    </w:p>
    <w:p>
      <w:pPr>
        <w:pStyle w:val="ListParagraph"/>
        <w:numPr>
          <w:ilvl w:val="0"/>
          <w:numId w:val="2"/>
        </w:numPr>
        <w:spacing w:after="60"/>
      </w:pPr>
      <w:r>
        <w:rPr>
          <w:rFonts w:ascii="Manrope" w:cs="Manrope" w:eastAsia="Manrope" w:hAnsi="Manrope"/>
          <w:color w:val="0F1113"/>
          <w:sz w:val="22"/>
          <w:szCs w:val="22"/>
        </w:rPr>
        <w:t xml:space="preserve">AfricanSTN Information System Scoping Memo v1 — full system scope</w:t>
      </w:r>
    </w:p>
    <w:p>
      <w:pPr>
        <w:pStyle w:val="ListParagraph"/>
        <w:numPr>
          <w:ilvl w:val="0"/>
          <w:numId w:val="2"/>
        </w:numPr>
        <w:spacing w:after="60"/>
      </w:pPr>
      <w:r>
        <w:rPr>
          <w:rFonts w:ascii="Manrope" w:cs="Manrope" w:eastAsia="Manrope" w:hAnsi="Manrope"/>
          <w:color w:val="0F1113"/>
          <w:sz w:val="22"/>
          <w:szCs w:val="22"/>
        </w:rPr>
        <w:t xml:space="preserve">STZA Brand Guidelines v1.0 — brand system</w:t>
      </w:r>
    </w:p>
    <w:p>
      <w:pPr>
        <w:pStyle w:val="ListParagraph"/>
        <w:numPr>
          <w:ilvl w:val="0"/>
          <w:numId w:val="2"/>
        </w:numPr>
        <w:spacing w:after="60"/>
      </w:pPr>
      <w:r>
        <w:rPr>
          <w:rFonts w:ascii="Manrope" w:cs="Manrope" w:eastAsia="Manrope" w:hAnsi="Manrope"/>
          <w:color w:val="0F1113"/>
          <w:sz w:val="22"/>
          <w:szCs w:val="22"/>
        </w:rPr>
        <w:t xml:space="preserve">STZA DPO Engagement Risk Assessment — advisory services risk review</w:t>
      </w:r>
    </w:p>
    <w:p>
      <w:pPr>
        <w:pStyle w:val="ListParagraph"/>
        <w:numPr>
          <w:ilvl w:val="0"/>
          <w:numId w:val="2"/>
        </w:numPr>
        <w:spacing w:after="60"/>
      </w:pPr>
      <w:r>
        <w:rPr>
          <w:rFonts w:ascii="Manrope" w:cs="Manrope" w:eastAsia="Manrope" w:hAnsi="Manrope"/>
          <w:color w:val="0F1113"/>
          <w:sz w:val="22"/>
          <w:szCs w:val="22"/>
        </w:rPr>
        <w:t xml:space="preserve">STZA POPIA Engagement Scope — template engagement scope</w:t>
      </w:r>
    </w:p>
    <w:p>
      <w:pPr>
        <w:pStyle w:val="ListParagraph"/>
        <w:numPr>
          <w:ilvl w:val="0"/>
          <w:numId w:val="2"/>
        </w:numPr>
        <w:spacing w:after="60"/>
      </w:pPr>
      <w:r>
        <w:rPr>
          <w:rFonts w:ascii="Manrope" w:cs="Manrope" w:eastAsia="Manrope" w:hAnsi="Manrope"/>
          <w:color w:val="0F1113"/>
          <w:sz w:val="22"/>
          <w:szCs w:val="22"/>
        </w:rPr>
        <w:t xml:space="preserve">STZA Finance Platform One-Pager — hackathon summary</w:t>
      </w:r>
    </w:p>
    <w:p>
      <w:pPr>
        <w:pStyle w:val="ListParagraph"/>
        <w:numPr>
          <w:ilvl w:val="0"/>
          <w:numId w:val="2"/>
        </w:numPr>
        <w:spacing w:after="60"/>
      </w:pPr>
      <w:r>
        <w:rPr>
          <w:rFonts w:ascii="Manrope" w:cs="Manrope" w:eastAsia="Manrope" w:hAnsi="Manrope"/>
          <w:color w:val="0F1113"/>
          <w:sz w:val="22"/>
          <w:szCs w:val="22"/>
        </w:rPr>
        <w:t xml:space="preserve">Hackathon Demo Script — 3-minute live demo for 11 September 2026</w:t>
      </w:r>
    </w:p>
    <w:p>
      <w:pPr>
        <w:pBdr>
          <w:bottom w:val="single" w:color="C5A059" w:sz="2" w:space="4"/>
        </w:pBdr>
        <w:spacing w:after="200" w:before="200"/>
      </w:pPr>
    </w:p>
    <w:p>
      <w:pPr>
        <w:spacing w:after="120"/>
      </w:pPr>
      <w:r>
        <w:rPr>
          <w:rFonts w:ascii="Manrope" w:cs="Manrope" w:eastAsia="Manrope" w:hAnsi="Manrope"/>
          <w:i/>
          <w:iCs/>
          <w:color w:val="8E9196"/>
          <w:sz w:val="18"/>
          <w:szCs w:val="18"/>
        </w:rPr>
        <w:t xml:space="preserve">This scoping memo is a working document. It does not constitute legal or financial advice. Implementation decisions should be validated against current API documentation for each platform before build.</w:t>
      </w:r>
    </w:p>
    <w:p>
      <w:pPr>
        <w:spacing w:after="120"/>
      </w:pPr>
      <w:r>
        <w:rPr>
          <w:rFonts w:ascii="Manrope" w:cs="Manrope" w:eastAsia="Manrope" w:hAnsi="Manrope"/>
          <w:i/>
          <w:iCs/>
          <w:color w:val="8E9196"/>
          <w:sz w:val="18"/>
          <w:szCs w:val="18"/>
        </w:rPr>
        <w:t xml:space="preserve">Version history: v1.0 (7 August 2026) — initial draft. v2.0 (13 August 2026) — added Xero AI policy confirmation, pricing model, security architecture, regulatory requirements, competitive positioning.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nrope" w:cs="Manrope" w:eastAsia="Manrope" w:hAnsi="Manrope"/>
        <w:color w:val="8E9196"/>
        <w:sz w:val="16"/>
        <w:szCs w:val="16"/>
      </w:rPr>
      <w:t xml:space="preserve">Classification: Internal  |  </w:t>
    </w:r>
    <w:r>
      <w:rPr>
        <w:rFonts w:ascii="Manrope" w:cs="Manrope" w:eastAsia="Manrope" w:hAnsi="Manrope"/>
        <w:color w:val="8E9196"/>
        <w:sz w:val="16"/>
        <w:szCs w:val="16"/>
      </w:rPr>
      <w:t xml:space="preserve">Page </w:t>
    </w:r>
    <w:r>
      <w:rPr>
        <w:rFonts w:ascii="Manrope" w:cs="Manrope" w:eastAsia="Manrope" w:hAnsi="Manrope"/>
        <w:color w:val="8E9196"/>
        <w:sz w:val="16"/>
        <w:szCs w:val="16"/>
      </w:rPr>
      <w:fldChar w:fldCharType="begin"/>
      <w:instrText xml:space="preserve">PAGE</w:instrText>
      <w:fldChar w:fldCharType="separate"/>
      <w:fldChar w:fldCharType="end"/>
    </w:r>
    <w:r>
      <w:rPr>
        <w:rFonts w:ascii="Manrope" w:cs="Manrope" w:eastAsia="Manrope" w:hAnsi="Manrope"/>
        <w:color w:val="8E9196"/>
        <w:sz w:val="16"/>
        <w:szCs w:val="16"/>
      </w:rPr>
      <w:t xml:space="preserve"> of </w:t>
    </w:r>
    <w:r>
      <w:rPr>
        <w:rFonts w:ascii="Manrope" w:cs="Manrope" w:eastAsia="Manrope" w:hAnsi="Manrope"/>
        <w:color w:val="8E91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nrope" w:cs="Manrope" w:eastAsia="Manrope" w:hAnsi="Manrope"/>
        <w:color w:val="8E9196"/>
        <w:sz w:val="16"/>
        <w:szCs w:val="16"/>
      </w:rPr>
      <w:t xml:space="preserve">STZA Finance Platform  |  BYOAI Architecture Scoping Memo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0F111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nrope" w:cs="Manrope" w:eastAsia="Manrope" w:hAnsi="Manrope"/>
      <w:b/>
      <w:bCs/>
      <w:color w:val="1A1C1E"/>
      <w:sz w:val="32"/>
      <w:szCs w:val="32"/>
    </w:rPr>
  </w:style>
  <w:style w:type="paragraph" w:styleId="Heading2">
    <w:name w:val="Heading 2"/>
    <w:basedOn w:val="Normal"/>
    <w:next w:val="Normal"/>
    <w:qFormat/>
    <w:rPr>
      <w:rFonts w:ascii="Manrope" w:cs="Manrope" w:eastAsia="Manrope" w:hAnsi="Manrope"/>
      <w:b/>
      <w:bCs/>
      <w:color w:val="1A1C1E"/>
      <w:sz w:val="26"/>
      <w:szCs w:val="26"/>
    </w:rPr>
  </w:style>
  <w:style w:type="paragraph" w:styleId="Heading3">
    <w:name w:val="Heading 3"/>
    <w:basedOn w:val="Normal"/>
    <w:next w:val="Normal"/>
    <w:qFormat/>
    <w:rPr>
      <w:rFonts w:ascii="Manrope" w:cs="Manrope" w:eastAsia="Manrope" w:hAnsi="Manrope"/>
      <w:b/>
      <w:bCs/>
      <w:color w:val="1A1C1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2026-08-13T14:13:58.577Z</dcterms:created>
  <dcterms:modified xsi:type="dcterms:W3CDTF">2026-08-13T14:13:58.591Z</dcterms:modified>
</cp:coreProperties>
</file>

<file path=docProps/custom.xml><?xml version="1.0" encoding="utf-8"?>
<Properties xmlns="http://schemas.openxmlformats.org/officeDocument/2006/custom-properties" xmlns:vt="http://schemas.openxmlformats.org/officeDocument/2006/docPropsVTypes"/>
</file>