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shd w:fill="1A1C1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rFonts w:ascii="Manrope" w:cs="Manrope" w:eastAsia="Manrope" w:hAnsi="Manrope"/>
                <w:b/>
                <w:bCs/>
                <w:color w:val="C5A059"/>
                <w:sz w:val="32"/>
                <w:szCs w:val="32"/>
              </w:rPr>
              <w:t xml:space="preserve">STZA Finance Platform</w:t>
            </w:r>
          </w:p>
          <w:p>
            <w:pPr>
              <w:spacing w:after="0"/>
            </w:pPr>
            <w:r>
              <w:rPr>
                <w:rFonts w:ascii="Manrope" w:cs="Manrope" w:eastAsia="Manrope" w:hAnsi="Manrope"/>
                <w:color w:val="F5F0E8"/>
                <w:sz w:val="20"/>
                <w:szCs w:val="20"/>
              </w:rPr>
              <w:t xml:space="preserve">AI-powered fractional finance — Bring Your Own AI</w:t>
            </w:r>
          </w:p>
        </w:tc>
      </w:tr>
    </w:tbl>
    <w:p>
      <w:pPr>
        <w:spacing w:after="60"/>
      </w:pPr>
      <w:r>
        <w:rPr>
          <w:rFonts w:ascii="Manrope" w:cs="Manrope" w:eastAsia="Manrope" w:hAnsi="Manrope"/>
          <w:b w:val="false"/>
          <w:bCs w:val="false"/>
          <w:color w:val="0F1113"/>
          <w:sz w:val="20"/>
          <w:szCs w:val="20"/>
        </w:rPr>
        <w:t xml:space="preserve"/>
      </w:r>
    </w:p>
    <w:p>
      <w:pPr>
        <w:pBdr>
          <w:bottom w:val="single" w:color="D4C5A9" w:sz="2"/>
        </w:pBdr>
        <w:spacing w:after="80" w:before="200"/>
      </w:pPr>
      <w:r>
        <w:rPr>
          <w:rFonts w:ascii="Manrope" w:cs="Manrope" w:eastAsia="Manrope" w:hAnsi="Manrope"/>
          <w:b/>
          <w:bCs/>
          <w:color w:val="C5A059"/>
          <w:sz w:val="22"/>
          <w:szCs w:val="22"/>
        </w:rPr>
        <w:t xml:space="preserve">What it is</w:t>
      </w:r>
    </w:p>
    <w:p>
      <w:pPr>
        <w:spacing w:after="140"/>
      </w:pPr>
      <w:r>
        <w:rPr>
          <w:rFonts w:ascii="Manrope" w:cs="Manrope" w:eastAsia="Manrope" w:hAnsi="Manrope"/>
          <w:b w:val="false"/>
          <w:bCs w:val="false"/>
          <w:color w:val="0F1113"/>
          <w:sz w:val="20"/>
          <w:szCs w:val="20"/>
        </w:rPr>
        <w:t xml:space="preserve">A platform that connects your AI assistant (Claude, ChatGPT, or Gemini) directly to live Xero accounting data. Ask questions about your books in natural language and get instant, formatted answers — aged debtors, P&amp;L variance, trial balance, bank positions.</w:t>
      </w:r>
    </w:p>
    <w:p>
      <w:pPr>
        <w:pBdr>
          <w:bottom w:val="single" w:color="D4C5A9" w:sz="2"/>
        </w:pBdr>
        <w:spacing w:after="80" w:before="200"/>
      </w:pPr>
      <w:r>
        <w:rPr>
          <w:rFonts w:ascii="Manrope" w:cs="Manrope" w:eastAsia="Manrope" w:hAnsi="Manrope"/>
          <w:b/>
          <w:bCs/>
          <w:color w:val="C5A059"/>
          <w:sz w:val="22"/>
          <w:szCs w:val="22"/>
        </w:rPr>
        <w:t xml:space="preserve">How it works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c>
          <w:tcPr>
            <w:tcW w:type="dxa" w:w="3368"/>
            <w:shd w:fill="1A1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C5A059"/>
                <w:sz w:val="20"/>
                <w:szCs w:val="20"/>
              </w:rPr>
              <w:t xml:space="preserve">1. Connect</w:t>
            </w:r>
          </w:p>
        </w:tc>
        <w:tc>
          <w:tcPr>
            <w:tcW w:type="dxa" w:w="3368"/>
            <w:shd w:fill="1A1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C5A059"/>
                <w:sz w:val="20"/>
                <w:szCs w:val="20"/>
              </w:rPr>
              <w:t xml:space="preserve">2. Ask</w:t>
            </w:r>
          </w:p>
        </w:tc>
        <w:tc>
          <w:tcPr>
            <w:tcW w:type="dxa" w:w="3370"/>
            <w:shd w:fill="1A1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C5A059"/>
                <w:sz w:val="20"/>
                <w:szCs w:val="20"/>
              </w:rPr>
              <w:t xml:space="preserve">3. Act</w:t>
            </w:r>
          </w:p>
        </w:tc>
      </w:tr>
      <w:tr>
        <w:tc>
          <w:tcPr>
            <w:tcW w:type="dxa" w:w="33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F1113"/>
                <w:sz w:val="17"/>
                <w:szCs w:val="17"/>
              </w:rPr>
              <w:t xml:space="preserve">Authorise your Xero org via OAuth. Platform stores nothing — queries live data on demand.</w:t>
            </w:r>
          </w:p>
        </w:tc>
        <w:tc>
          <w:tcPr>
            <w:tcW w:type="dxa" w:w="33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F1113"/>
                <w:sz w:val="17"/>
                <w:szCs w:val="17"/>
              </w:rPr>
              <w:t xml:space="preserve">Open your AI of choice. Ask: “Show me who owes us money and how overdue.” Get a formatted table in seconds.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F1113"/>
                <w:sz w:val="17"/>
                <w:szCs w:val="17"/>
              </w:rPr>
              <w:t xml:space="preserve">Review, flag, decide. Review journals, prepare payment runs, generate board commentary.</w:t>
            </w:r>
          </w:p>
        </w:tc>
      </w:tr>
    </w:tbl>
    <w:p>
      <w:pPr>
        <w:spacing w:after="60"/>
      </w:pPr>
      <w:r>
        <w:rPr>
          <w:rFonts w:ascii="Manrope" w:cs="Manrope" w:eastAsia="Manrope" w:hAnsi="Manrope"/>
          <w:b w:val="false"/>
          <w:bCs w:val="false"/>
          <w:color w:val="0F1113"/>
          <w:sz w:val="20"/>
          <w:szCs w:val="20"/>
        </w:rPr>
        <w:t xml:space="preserve"/>
      </w:r>
    </w:p>
    <w:p>
      <w:pPr>
        <w:pBdr>
          <w:bottom w:val="single" w:color="D4C5A9" w:sz="2"/>
        </w:pBdr>
        <w:spacing w:after="80" w:before="200"/>
      </w:pPr>
      <w:r>
        <w:rPr>
          <w:rFonts w:ascii="Manrope" w:cs="Manrope" w:eastAsia="Manrope" w:hAnsi="Manrope"/>
          <w:b/>
          <w:bCs/>
          <w:color w:val="C5A059"/>
          <w:sz w:val="22"/>
          <w:szCs w:val="22"/>
        </w:rPr>
        <w:t xml:space="preserve">Why Bring Your Own AI?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shd w:fill="1A1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FFFFFF"/>
                <w:sz w:val="18"/>
                <w:szCs w:val="18"/>
              </w:rPr>
              <w:t xml:space="preserve">For you (the user)</w:t>
            </w:r>
          </w:p>
        </w:tc>
        <w:tc>
          <w:tcPr>
            <w:tcW w:type="dxa" w:w="5053"/>
            <w:shd w:fill="1A1C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FFFFFF"/>
                <w:sz w:val="18"/>
                <w:szCs w:val="18"/>
              </w:rPr>
              <w:t xml:space="preserve">For us (the platform)</w:t>
            </w:r>
          </w:p>
        </w:tc>
      </w:tr>
      <w:tr>
        <w:tc>
          <w:tcPr>
            <w:tcW w:type="dxa" w:w="5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F1113"/>
                <w:sz w:val="17"/>
                <w:szCs w:val="17"/>
              </w:rPr>
              <w:t xml:space="preserve">• Use the AI you already pay for
• Conversational, not click-heavy
• Works in Claude, ChatGPT, or Gemini
• No new interface to learn</w:t>
            </w:r>
          </w:p>
        </w:tc>
        <w:tc>
          <w:tcPr>
            <w:tcW w:type="dxa" w:w="5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0F1113"/>
                <w:sz w:val="17"/>
                <w:szCs w:val="17"/>
              </w:rPr>
              <w:t xml:space="preserve">• Zero per-token cost
• Revenue from platform access fees
• Scales without AI compute costs
• One API serves all AI surfaces</w:t>
            </w:r>
          </w:p>
        </w:tc>
      </w:tr>
    </w:tbl>
    <w:p>
      <w:pPr>
        <w:spacing w:after="60"/>
      </w:pPr>
      <w:r>
        <w:rPr>
          <w:rFonts w:ascii="Manrope" w:cs="Manrope" w:eastAsia="Manrope" w:hAnsi="Manrope"/>
          <w:b w:val="false"/>
          <w:bCs w:val="false"/>
          <w:color w:val="0F1113"/>
          <w:sz w:val="20"/>
          <w:szCs w:val="20"/>
        </w:rPr>
        <w:t xml:space="preserve"/>
      </w:r>
    </w:p>
    <w:p>
      <w:pPr>
        <w:pBdr>
          <w:bottom w:val="single" w:color="D4C5A9" w:sz="2"/>
        </w:pBdr>
        <w:spacing w:after="80" w:before="200"/>
      </w:pPr>
      <w:r>
        <w:rPr>
          <w:rFonts w:ascii="Manrope" w:cs="Manrope" w:eastAsia="Manrope" w:hAnsi="Manrope"/>
          <w:b/>
          <w:bCs/>
          <w:color w:val="C5A059"/>
          <w:sz w:val="22"/>
          <w:szCs w:val="22"/>
        </w:rPr>
        <w:t xml:space="preserve">What’s live today</w:t>
      </w:r>
    </w:p>
    <w:p>
      <w:pPr>
        <w:spacing w:after="40"/>
      </w:pPr>
      <w:r>
        <w:rPr>
          <w:rFonts w:ascii="Manrope" w:cs="Manrope" w:eastAsia="Manrope" w:hAnsi="Manrope"/>
          <w:b w:val="false"/>
          <w:bCs w:val="false"/>
          <w:color w:val="0F1113"/>
          <w:sz w:val="20"/>
          <w:szCs w:val="20"/>
        </w:rPr>
        <w:t xml:space="preserve">•  Xero integration: trial balance, P&amp;L, balance sheet, bank summary, aged receivables/payables, chart of accounts</w:t>
      </w:r>
    </w:p>
    <w:p>
      <w:pPr>
        <w:spacing w:after="40"/>
      </w:pPr>
      <w:r>
        <w:rPr>
          <w:rFonts w:ascii="Manrope" w:cs="Manrope" w:eastAsia="Manrope" w:hAnsi="Manrope"/>
          <w:b w:val="false"/>
          <w:bCs w:val="false"/>
          <w:color w:val="0F1113"/>
          <w:sz w:val="20"/>
          <w:szCs w:val="20"/>
        </w:rPr>
        <w:t xml:space="preserve">•  Multi-entity support: manage multiple companies from one connection</w:t>
      </w:r>
    </w:p>
    <w:p>
      <w:pPr>
        <w:spacing w:after="40"/>
      </w:pPr>
      <w:r>
        <w:rPr>
          <w:rFonts w:ascii="Manrope" w:cs="Manrope" w:eastAsia="Manrope" w:hAnsi="Manrope"/>
          <w:b w:val="false"/>
          <w:bCs w:val="false"/>
          <w:color w:val="0F1113"/>
          <w:sz w:val="20"/>
          <w:szCs w:val="20"/>
        </w:rPr>
        <w:t xml:space="preserve">•  Agent roles: Financial Controller, FP&amp;A, FM2, AP Clerk — each with scoped expertise</w:t>
      </w:r>
    </w:p>
    <w:p>
      <w:pPr>
        <w:spacing w:after="40"/>
      </w:pPr>
      <w:r>
        <w:rPr>
          <w:rFonts w:ascii="Manrope" w:cs="Manrope" w:eastAsia="Manrope" w:hAnsi="Manrope"/>
          <w:b w:val="false"/>
          <w:bCs w:val="false"/>
          <w:color w:val="0F1113"/>
          <w:sz w:val="20"/>
          <w:szCs w:val="20"/>
        </w:rPr>
        <w:t xml:space="preserve">•  Journal review: review and flag journal entries with audit trail (write path on roadmap)</w:t>
      </w:r>
    </w:p>
    <w:p>
      <w:pPr>
        <w:spacing w:after="140"/>
      </w:pPr>
      <w:r>
        <w:rPr>
          <w:rFonts w:ascii="Manrope" w:cs="Manrope" w:eastAsia="Manrope" w:hAnsi="Manrope"/>
          <w:b w:val="false"/>
          <w:bCs w:val="false"/>
          <w:color w:val="0F1113"/>
          <w:sz w:val="20"/>
          <w:szCs w:val="20"/>
        </w:rPr>
        <w:t xml:space="preserve">•  Operational portal: queue structured work, track agent runs, see costs</w:t>
      </w:r>
    </w:p>
    <w:p>
      <w:pPr>
        <w:pBdr>
          <w:bottom w:val="single" w:color="D4C5A9" w:sz="2"/>
        </w:pBdr>
        <w:spacing w:after="80" w:before="200"/>
      </w:pPr>
      <w:r>
        <w:rPr>
          <w:rFonts w:ascii="Manrope" w:cs="Manrope" w:eastAsia="Manrope" w:hAnsi="Manrope"/>
          <w:b/>
          <w:bCs/>
          <w:color w:val="C5A059"/>
          <w:sz w:val="22"/>
          <w:szCs w:val="22"/>
        </w:rPr>
        <w:t xml:space="preserve">Who it’s for</w:t>
      </w:r>
    </w:p>
    <w:p>
      <w:pPr>
        <w:spacing w:after="140"/>
      </w:pPr>
      <w:r>
        <w:rPr>
          <w:rFonts w:ascii="Manrope" w:cs="Manrope" w:eastAsia="Manrope" w:hAnsi="Manrope"/>
          <w:b w:val="false"/>
          <w:bCs w:val="false"/>
          <w:color w:val="0F1113"/>
          <w:sz w:val="20"/>
          <w:szCs w:val="20"/>
        </w:rPr>
        <w:t xml:space="preserve">Fractional CFOs and finance directors managing multiple SME clients. Accounting firms looking to scale advisory with AI. Finance teams that want to query their books without switching tools.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C5A059" w:sz="3"/>
            </w:tcBorders>
            <w:shd w:fill="F5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Manrope" w:cs="Manrope" w:eastAsia="Manrope" w:hAnsi="Manrope"/>
                <w:b/>
                <w:bCs/>
                <w:color w:val="0F1113"/>
                <w:sz w:val="19"/>
                <w:szCs w:val="19"/>
              </w:rPr>
              <w:t xml:space="preserve">Nik Mladenovic CA(SA)  |  </w:t>
            </w:r>
            <w:r>
              <w:rPr>
                <w:rFonts w:ascii="Manrope" w:cs="Manrope" w:eastAsia="Manrope" w:hAnsi="Manrope"/>
                <w:color w:val="8E9196"/>
                <w:sz w:val="19"/>
                <w:szCs w:val="19"/>
              </w:rPr>
              <w:t xml:space="preserve">nik@stza.io  |  Sports Tech Africa Ltd</w:t>
            </w:r>
          </w:p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C5A059"/>
                <w:sz w:val="18"/>
                <w:szCs w:val="18"/>
              </w:rPr>
              <w:t xml:space="preserve">Interested in a pilot? Let’s connect.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2026-08-08T08:01:32.775Z</dcterms:created>
  <dcterms:modified xsi:type="dcterms:W3CDTF">2026-08-08T08:01:32.787Z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