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jc w:val="left"/>
      </w:pPr>
      <w:r>
        <w:rPr>
          <w:rFonts w:ascii="Calibri" w:cs="Calibri" w:eastAsia="Calibri" w:hAnsi="Calibri"/>
          <w:b w:val="false"/>
          <w:bCs w:val="false"/>
          <w:i w:val="false"/>
          <w:iCs w:val="false"/>
          <w:color w:val="0F1113"/>
          <w:sz w:val="22"/>
          <w:szCs w:val="22"/>
        </w:rPr>
        <w:t xml:space="preserve"/>
      </w:r>
    </w:p>
    <w:p>
      <w:pPr>
        <w:spacing w:after="600" w:before="0" w:line="276"/>
        <w:jc w:val="left"/>
      </w:pPr>
      <w:r>
        <w:rPr>
          <w:rFonts w:ascii="Calibri" w:cs="Calibri" w:eastAsia="Calibri" w:hAnsi="Calibri"/>
          <w:b w:val="false"/>
          <w:bCs w:val="false"/>
          <w:i w:val="false"/>
          <w:iCs w:val="false"/>
          <w:color w:val="0F1113"/>
          <w:sz w:val="22"/>
          <w:szCs w:val="22"/>
        </w:rPr>
        <w:t xml:space="preserve"/>
      </w:r>
    </w:p>
    <w:p>
      <w:pPr>
        <w:pBdr>
          <w:bottom w:val="single" w:color="C5A059" w:sz="6"/>
        </w:pBdr>
        <w:spacing w:after="120" w:before="120"/>
      </w:pPr>
    </w:p>
    <w:p>
      <w:pPr>
        <w:spacing w:after="80" w:before="0" w:line="276"/>
        <w:jc w:val="center"/>
      </w:pPr>
      <w:r>
        <w:rPr>
          <w:rFonts w:ascii="Calibri" w:cs="Calibri" w:eastAsia="Calibri" w:hAnsi="Calibri"/>
          <w:b/>
          <w:bCs/>
          <w:i w:val="false"/>
          <w:iCs w:val="false"/>
          <w:color w:val="1A1C1E"/>
          <w:sz w:val="40"/>
          <w:szCs w:val="40"/>
        </w:rPr>
        <w:t xml:space="preserve">Engagement scope</w:t>
      </w:r>
    </w:p>
    <w:p>
      <w:pPr>
        <w:spacing w:after="200" w:before="0" w:line="276"/>
        <w:jc w:val="center"/>
      </w:pPr>
      <w:r>
        <w:rPr>
          <w:rFonts w:ascii="Calibri" w:cs="Calibri" w:eastAsia="Calibri" w:hAnsi="Calibri"/>
          <w:b w:val="false"/>
          <w:bCs w:val="false"/>
          <w:i w:val="false"/>
          <w:iCs w:val="false"/>
          <w:color w:val="C5A059"/>
          <w:sz w:val="28"/>
          <w:szCs w:val="28"/>
        </w:rPr>
        <w:t xml:space="preserve">Data Protection Readiness Assessment</w:t>
      </w:r>
    </w:p>
    <w:p>
      <w:pPr>
        <w:pBdr>
          <w:bottom w:val="single" w:color="C5A059" w:sz="6"/>
        </w:pBdr>
        <w:spacing w:after="120" w:before="120"/>
      </w:pPr>
    </w:p>
    <w:p>
      <w:pPr>
        <w:spacing w:after="300" w:before="0" w:line="276"/>
        <w:jc w:val="left"/>
      </w:pPr>
      <w:r>
        <w:rPr>
          <w:rFonts w:ascii="Calibri" w:cs="Calibri" w:eastAsia="Calibri" w:hAnsi="Calibri"/>
          <w:b w:val="false"/>
          <w:bCs w:val="false"/>
          <w:i w:val="false"/>
          <w:iCs w:val="false"/>
          <w:color w:val="0F1113"/>
          <w:sz w:val="22"/>
          <w:szCs w:val="22"/>
        </w:rPr>
        <w:t xml:space="preserve"/>
      </w:r>
    </w:p>
    <w:p>
      <w:pPr>
        <w:spacing w:after="40" w:before="0" w:line="276"/>
        <w:jc w:val="center"/>
      </w:pPr>
      <w:r>
        <w:rPr>
          <w:rFonts w:ascii="Calibri" w:cs="Calibri" w:eastAsia="Calibri" w:hAnsi="Calibri"/>
          <w:b/>
          <w:bCs/>
          <w:i w:val="false"/>
          <w:iCs w:val="false"/>
          <w:color w:val="0F1113"/>
          <w:sz w:val="24"/>
          <w:szCs w:val="24"/>
        </w:rPr>
        <w:t xml:space="preserve">Sports Tech Africa Limited ("STZA")</w:t>
      </w:r>
    </w:p>
    <w:p>
      <w:pPr>
        <w:spacing w:after="40" w:before="0" w:line="276"/>
        <w:jc w:val="center"/>
      </w:pPr>
      <w:r>
        <w:rPr>
          <w:rFonts w:ascii="Calibri" w:cs="Calibri" w:eastAsia="Calibri" w:hAnsi="Calibri"/>
          <w:b w:val="false"/>
          <w:bCs w:val="false"/>
          <w:i/>
          <w:iCs/>
          <w:color w:val="8E9196"/>
          <w:sz w:val="22"/>
          <w:szCs w:val="22"/>
        </w:rPr>
        <w:t xml:space="preserve">for</w:t>
      </w:r>
    </w:p>
    <w:p>
      <w:pPr>
        <w:spacing w:after="300" w:before="0" w:line="276"/>
        <w:jc w:val="center"/>
      </w:pPr>
      <w:r>
        <w:rPr>
          <w:rFonts w:ascii="Calibri" w:cs="Calibri" w:eastAsia="Calibri" w:hAnsi="Calibri"/>
          <w:b/>
          <w:bCs/>
          <w:i w:val="false"/>
          <w:iCs w:val="false"/>
          <w:color w:val="0F1113"/>
          <w:sz w:val="24"/>
          <w:szCs w:val="24"/>
        </w:rPr>
        <w:t xml:space="preserve">ProTouch Sports (Pty) Ltd ("ProTouch")</w:t>
      </w:r>
    </w:p>
    <w:p>
      <w:pPr>
        <w:spacing w:after="200" w:before="0" w:line="276"/>
        <w:jc w:val="center"/>
      </w:pPr>
      <w:r>
        <w:rPr>
          <w:rFonts w:ascii="Calibri" w:cs="Calibri" w:eastAsia="Calibri" w:hAnsi="Calibri"/>
          <w:b w:val="false"/>
          <w:bCs w:val="false"/>
          <w:i/>
          <w:iCs/>
          <w:color w:val="8E9196"/>
          <w:sz w:val="20"/>
          <w:szCs w:val="20"/>
        </w:rPr>
        <w:t xml:space="preserve">Draft v3  |  23 July 2026  |  Subject to final review</w:t>
      </w:r>
    </w:p>
    <w:p>
      <w:r>
        <w:br w:type="page"/>
      </w:r>
    </w:p>
    <w:p>
      <w:pPr>
        <w:pStyle w:val="Heading1"/>
        <w:pBdr>
          <w:bottom w:val="single" w:color="C5A059" w:sz="6"/>
        </w:pBdr>
        <w:spacing w:after="120" w:before="240"/>
      </w:pPr>
      <w:r>
        <w:rPr>
          <w:rFonts w:ascii="Calibri" w:cs="Calibri" w:eastAsia="Calibri" w:hAnsi="Calibri"/>
          <w:b/>
          <w:bCs/>
          <w:color w:val="1A1C1E"/>
          <w:sz w:val="28"/>
          <w:szCs w:val="28"/>
        </w:rPr>
        <w:t xml:space="preserve">1. Background</w:t>
      </w:r>
    </w:p>
    <w:p>
      <w:pPr>
        <w:spacing w:after="120" w:before="0" w:line="276"/>
        <w:jc w:val="left"/>
      </w:pPr>
      <w:r>
        <w:rPr>
          <w:rFonts w:ascii="Calibri" w:cs="Calibri" w:eastAsia="Calibri" w:hAnsi="Calibri"/>
          <w:b w:val="false"/>
          <w:bCs w:val="false"/>
          <w:i w:val="false"/>
          <w:iCs w:val="false"/>
          <w:color w:val="0F1113"/>
          <w:sz w:val="22"/>
          <w:szCs w:val="22"/>
        </w:rPr>
        <w:t xml:space="preserve">ProTouch Sports (Pty) Ltd (registration 2015/151949/07) operates the Podium Pursuit platform, an athlete intelligence and engagement system processing personal data on approximately 6,000 athletes across 62 nations. The platform's data architecture spans two anchor regulatory regimes: the Protection of Personal Information Act, 2013 (POPIA) in South Africa and the UAE Personal Data Protection Law (Federal Decree-Law No. 45 of 2021, "PDPL"). The platform is also available for download in additional jurisdictions, including the United Kingdom and European Union, which may engage further regulatory obligations.</w:t>
      </w:r>
    </w:p>
    <w:p>
      <w:pPr>
        <w:spacing w:after="120" w:before="0" w:line="276"/>
        <w:jc w:val="left"/>
      </w:pPr>
      <w:r>
        <w:rPr>
          <w:rFonts w:ascii="Calibri" w:cs="Calibri" w:eastAsia="Calibri" w:hAnsi="Calibri"/>
          <w:b w:val="false"/>
          <w:bCs w:val="false"/>
          <w:i w:val="false"/>
          <w:iCs w:val="false"/>
          <w:color w:val="0F1113"/>
          <w:sz w:val="22"/>
          <w:szCs w:val="22"/>
        </w:rPr>
        <w:t xml:space="preserve">ProTouch has undertaken a compliance clean-up exercise and has submitted a document pack for review. This engagement scope sets out the terms on which STZA will conduct a data protection readiness assessment of that document pack and the platform's compliance posture.</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is governed by the mutual non-disclosure agreement between the parties dated 26 June 2026 ("NDA"), which continues in full force.</w:t>
      </w:r>
    </w:p>
    <w:p>
      <w:pPr>
        <w:pStyle w:val="Heading1"/>
        <w:pBdr>
          <w:bottom w:val="single" w:color="C5A059" w:sz="6"/>
        </w:pBdr>
        <w:spacing w:after="120" w:before="240"/>
      </w:pPr>
      <w:r>
        <w:rPr>
          <w:rFonts w:ascii="Calibri" w:cs="Calibri" w:eastAsia="Calibri" w:hAnsi="Calibri"/>
          <w:b/>
          <w:bCs/>
          <w:color w:val="1A1C1E"/>
          <w:sz w:val="28"/>
          <w:szCs w:val="28"/>
        </w:rPr>
        <w:t xml:space="preserve">2. Engagement description</w:t>
      </w:r>
    </w:p>
    <w:p>
      <w:pPr>
        <w:spacing w:after="120" w:before="0" w:line="276"/>
        <w:jc w:val="left"/>
      </w:pPr>
      <w:r>
        <w:rPr>
          <w:rFonts w:ascii="Calibri" w:cs="Calibri" w:eastAsia="Calibri" w:hAnsi="Calibri"/>
          <w:b w:val="false"/>
          <w:bCs w:val="false"/>
          <w:i w:val="false"/>
          <w:iCs w:val="false"/>
          <w:color w:val="0F1113"/>
          <w:sz w:val="22"/>
          <w:szCs w:val="22"/>
        </w:rPr>
        <w:t xml:space="preserve">STZA will conduct a </w:t>
      </w:r>
      <w:r>
        <w:rPr>
          <w:rFonts w:ascii="Calibri" w:cs="Calibri" w:eastAsia="Calibri" w:hAnsi="Calibri"/>
          <w:b/>
          <w:bCs/>
          <w:i w:val="false"/>
          <w:iCs w:val="false"/>
          <w:color w:val="0F1113"/>
          <w:sz w:val="22"/>
          <w:szCs w:val="22"/>
        </w:rPr>
        <w:t xml:space="preserve">Data Protection Readiness Assessment</w:t>
      </w:r>
      <w:r>
        <w:rPr>
          <w:rFonts w:ascii="Calibri" w:cs="Calibri" w:eastAsia="Calibri" w:hAnsi="Calibri"/>
          <w:b w:val="false"/>
          <w:bCs w:val="false"/>
          <w:i w:val="false"/>
          <w:iCs w:val="false"/>
          <w:color w:val="0F1113"/>
          <w:sz w:val="22"/>
          <w:szCs w:val="22"/>
        </w:rPr>
        <w:t xml:space="preserve"> — a consulting engagement to review ProTouch's data protection documentation, identify gaps and inconsistencies, assess compliance posture against applicable regulatory requirements, and produce a prioritised set of findings and recommendations.</w:t>
      </w:r>
    </w:p>
    <w:p>
      <w:pPr>
        <w:pStyle w:val="Heading1"/>
        <w:pBdr>
          <w:bottom w:val="single" w:color="C5A059" w:sz="6"/>
        </w:pBdr>
        <w:spacing w:after="120" w:before="240"/>
      </w:pPr>
      <w:r>
        <w:rPr>
          <w:rFonts w:ascii="Calibri" w:cs="Calibri" w:eastAsia="Calibri" w:hAnsi="Calibri"/>
          <w:b/>
          <w:bCs/>
          <w:color w:val="1A1C1E"/>
          <w:sz w:val="28"/>
          <w:szCs w:val="28"/>
        </w:rPr>
        <w:t xml:space="preserve">3. Scope boundaries and next steps</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is the first stage in what may become a longer advisory relationship. The boundaries below clarify what this stage covers and what naturally follows later, should both parties wish to continue.</w:t>
      </w:r>
    </w:p>
    <w:p>
      <w:pPr>
        <w:spacing w:after="120" w:before="0" w:line="276"/>
        <w:jc w:val="left"/>
      </w:pPr>
      <w:r>
        <w:rPr>
          <w:rFonts w:ascii="Calibri" w:cs="Calibri" w:eastAsia="Calibri" w:hAnsi="Calibri"/>
          <w:b/>
          <w:bCs/>
          <w:i w:val="false"/>
          <w:iCs w:val="false"/>
          <w:color w:val="0F1113"/>
          <w:sz w:val="22"/>
          <w:szCs w:val="22"/>
        </w:rPr>
        <w:t xml:space="preserve">(a) Advisory, not appointment. </w:t>
      </w:r>
      <w:r>
        <w:rPr>
          <w:rFonts w:ascii="Calibri" w:cs="Calibri" w:eastAsia="Calibri" w:hAnsi="Calibri"/>
          <w:b w:val="false"/>
          <w:bCs w:val="false"/>
          <w:i w:val="false"/>
          <w:iCs w:val="false"/>
          <w:color w:val="0F1113"/>
          <w:sz w:val="22"/>
          <w:szCs w:val="22"/>
        </w:rPr>
        <w:t xml:space="preserve">This engagement is a consulting assessment. It does not constitute an appointment as Data Protection Officer (under PDPL) or Information Officer (under POPIA). Should the assessment indicate that such an appointment would benefit ProTouch, STZA can discuss this as a potential next-stage engagement with its own terms, including confirmation of professional indemnity insurance and any required regulatory notifications.</w:t>
      </w:r>
    </w:p>
    <w:p>
      <w:pPr>
        <w:spacing w:after="120" w:before="0" w:line="276"/>
        <w:jc w:val="left"/>
      </w:pPr>
      <w:r>
        <w:rPr>
          <w:rFonts w:ascii="Calibri" w:cs="Calibri" w:eastAsia="Calibri" w:hAnsi="Calibri"/>
          <w:b/>
          <w:bCs/>
          <w:i w:val="false"/>
          <w:iCs w:val="false"/>
          <w:color w:val="0F1113"/>
          <w:sz w:val="22"/>
          <w:szCs w:val="22"/>
        </w:rPr>
        <w:t xml:space="preserve">(b) Findings and recommendations, not sign-off. </w:t>
      </w:r>
      <w:r>
        <w:rPr>
          <w:rFonts w:ascii="Calibri" w:cs="Calibri" w:eastAsia="Calibri" w:hAnsi="Calibri"/>
          <w:b w:val="false"/>
          <w:bCs w:val="false"/>
          <w:i w:val="false"/>
          <w:iCs w:val="false"/>
          <w:color w:val="0F1113"/>
          <w:sz w:val="22"/>
          <w:szCs w:val="22"/>
        </w:rPr>
        <w:t xml:space="preserve">The deliverables identify gaps, risks, and recommended actions. They are advisory in nature and do not constitute approval, certification, or sign-off of any document, process, or system. ProTouch should not represent to third parties that any document has been approved by STZA.</w:t>
      </w:r>
    </w:p>
    <w:p>
      <w:pPr>
        <w:spacing w:after="120" w:before="0" w:line="276"/>
        <w:jc w:val="left"/>
      </w:pPr>
      <w:r>
        <w:rPr>
          <w:rFonts w:ascii="Calibri" w:cs="Calibri" w:eastAsia="Calibri" w:hAnsi="Calibri"/>
          <w:b/>
          <w:bCs/>
          <w:i w:val="false"/>
          <w:iCs w:val="false"/>
          <w:color w:val="0F1113"/>
          <w:sz w:val="22"/>
          <w:szCs w:val="22"/>
        </w:rPr>
        <w:t xml:space="preserve">(c) Regulatory and compliance perspective, not legal advice. </w:t>
      </w:r>
      <w:r>
        <w:rPr>
          <w:rFonts w:ascii="Calibri" w:cs="Calibri" w:eastAsia="Calibri" w:hAnsi="Calibri"/>
          <w:b w:val="false"/>
          <w:bCs w:val="false"/>
          <w:i w:val="false"/>
          <w:iCs w:val="false"/>
          <w:color w:val="0F1113"/>
          <w:sz w:val="22"/>
          <w:szCs w:val="22"/>
        </w:rPr>
        <w:t xml:space="preserve">The engagement principal, Nik Mladenovic, is a Chartered Accountant (South Africa) with data protection credentials (Moonstone Managing POPIA; i2 Comply Advanced Online Data Protection and GDPR). He brings a regulatory compliance lens, not a legal one. Where findings raise questions of law (including lawful basis interpretation, cross-border transfer mechanisms, or contractual liability), ProTouch should obtain independent legal advice.</w:t>
      </w:r>
    </w:p>
    <w:p>
      <w:pPr>
        <w:spacing w:after="120" w:before="0" w:line="276"/>
        <w:jc w:val="left"/>
      </w:pPr>
      <w:r>
        <w:rPr>
          <w:rFonts w:ascii="Calibri" w:cs="Calibri" w:eastAsia="Calibri" w:hAnsi="Calibri"/>
          <w:b/>
          <w:bCs/>
          <w:i w:val="false"/>
          <w:iCs w:val="false"/>
          <w:color w:val="0F1113"/>
          <w:sz w:val="22"/>
          <w:szCs w:val="22"/>
        </w:rPr>
        <w:t xml:space="preserve">(d) Jurisdictional depth. </w:t>
      </w:r>
      <w:r>
        <w:rPr>
          <w:rFonts w:ascii="Calibri" w:cs="Calibri" w:eastAsia="Calibri" w:hAnsi="Calibri"/>
          <w:b w:val="false"/>
          <w:bCs w:val="false"/>
          <w:i w:val="false"/>
          <w:iCs w:val="false"/>
          <w:color w:val="0F1113"/>
          <w:sz w:val="22"/>
          <w:szCs w:val="22"/>
        </w:rPr>
        <w:t xml:space="preserve">This assessment focuses primarily on POPIA (South Africa). Observations on UAE PDPL compliance are included where material gaps or risks are identified, but these are flagged as observations requiring specialist confirmation rather than formal assessments. Where the assessment identifies that the platform's availability in other jurisdictions (including the United Kingdom and European Union) may engage additional regulatory obligations, these will be noted as findings for specialist follow-up. Deeper PDPL advisory and dedicated UK GDPR or EU GDPR assessments can be scoped as follow-on engagements.</w:t>
      </w:r>
    </w:p>
    <w:p>
      <w:pPr>
        <w:pStyle w:val="Heading1"/>
        <w:pBdr>
          <w:bottom w:val="single" w:color="C5A059" w:sz="6"/>
        </w:pBdr>
        <w:spacing w:after="120" w:before="240"/>
      </w:pPr>
      <w:r>
        <w:rPr>
          <w:rFonts w:ascii="Calibri" w:cs="Calibri" w:eastAsia="Calibri" w:hAnsi="Calibri"/>
          <w:b/>
          <w:bCs/>
          <w:color w:val="1A1C1E"/>
          <w:sz w:val="28"/>
          <w:szCs w:val="28"/>
        </w:rPr>
        <w:t xml:space="preserve">4. Scope of services</w:t>
      </w:r>
    </w:p>
    <w:p>
      <w:pPr>
        <w:pStyle w:val="Heading2"/>
        <w:spacing w:after="120" w:before="240"/>
      </w:pPr>
      <w:r>
        <w:rPr>
          <w:rFonts w:ascii="Calibri" w:cs="Calibri" w:eastAsia="Calibri" w:hAnsi="Calibri"/>
          <w:b/>
          <w:bCs/>
          <w:color w:val="1A1C1E"/>
          <w:sz w:val="24"/>
          <w:szCs w:val="24"/>
        </w:rPr>
        <w:t xml:space="preserve">4.1 Document pack review</w:t>
      </w:r>
    </w:p>
    <w:p>
      <w:pPr>
        <w:spacing w:after="120" w:before="0" w:line="276"/>
        <w:jc w:val="left"/>
      </w:pPr>
      <w:r>
        <w:rPr>
          <w:rFonts w:ascii="Calibri" w:cs="Calibri" w:eastAsia="Calibri" w:hAnsi="Calibri"/>
          <w:b w:val="false"/>
          <w:bCs w:val="false"/>
          <w:i w:val="false"/>
          <w:iCs w:val="false"/>
          <w:color w:val="0F1113"/>
          <w:sz w:val="22"/>
          <w:szCs w:val="22"/>
        </w:rPr>
        <w:t xml:space="preserve">Review of the following documents submitted by ProTouch (and any additional documents provided before the assessment commences):</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Privacy Policy v4.0 (June 2026)</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Cookie Policy v1.0 (June 2026)</w:t>
      </w:r>
    </w:p>
    <w:p>
      <w:pPr>
        <w:pStyle w:val="ListParagraph"/>
        <w:numPr>
          <w:ilvl w:val="0"/>
          <w:numId w:val="2"/>
        </w:numPr>
        <w:spacing w:after="60"/>
        <w:ind w:left="720" w:hanging="360"/>
      </w:pPr>
      <w:r>
        <w:rPr>
          <w:rFonts w:ascii="Calibri" w:cs="Calibri" w:eastAsia="Calibri" w:hAnsi="Calibri"/>
          <w:color w:val="0F1113"/>
          <w:sz w:val="22"/>
          <w:szCs w:val="22"/>
        </w:rPr>
        <w:t xml:space="preserve">DPO Review Pack — Positioning Change v1.1</w:t>
      </w:r>
    </w:p>
    <w:p>
      <w:pPr>
        <w:pStyle w:val="ListParagraph"/>
        <w:numPr>
          <w:ilvl w:val="0"/>
          <w:numId w:val="2"/>
        </w:numPr>
        <w:spacing w:after="60"/>
        <w:ind w:left="720" w:hanging="360"/>
      </w:pPr>
      <w:r>
        <w:rPr>
          <w:rFonts w:ascii="Calibri" w:cs="Calibri" w:eastAsia="Calibri" w:hAnsi="Calibri"/>
          <w:color w:val="0F1113"/>
          <w:sz w:val="22"/>
          <w:szCs w:val="22"/>
        </w:rPr>
        <w:t xml:space="preserve">Annexure H — Data Protection (investor governance posture)</w:t>
      </w:r>
    </w:p>
    <w:p>
      <w:pPr>
        <w:pStyle w:val="ListParagraph"/>
        <w:numPr>
          <w:ilvl w:val="0"/>
          <w:numId w:val="2"/>
        </w:numPr>
        <w:spacing w:after="60"/>
        <w:ind w:left="720" w:hanging="360"/>
      </w:pPr>
      <w:r>
        <w:rPr>
          <w:rFonts w:ascii="Calibri" w:cs="Calibri" w:eastAsia="Calibri" w:hAnsi="Calibri"/>
          <w:color w:val="0F1113"/>
          <w:sz w:val="22"/>
          <w:szCs w:val="22"/>
        </w:rPr>
        <w:t xml:space="preserve">Fund Your Passion Terms of Use v1.0</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Complete FAQ v1.1</w:t>
      </w:r>
    </w:p>
    <w:p>
      <w:pPr>
        <w:pStyle w:val="ListParagraph"/>
        <w:numPr>
          <w:ilvl w:val="0"/>
          <w:numId w:val="2"/>
        </w:numPr>
        <w:spacing w:after="60"/>
        <w:ind w:left="720" w:hanging="360"/>
      </w:pPr>
      <w:r>
        <w:rPr>
          <w:rFonts w:ascii="Calibri" w:cs="Calibri" w:eastAsia="Calibri" w:hAnsi="Calibri"/>
          <w:color w:val="0F1113"/>
          <w:sz w:val="22"/>
          <w:szCs w:val="22"/>
        </w:rPr>
        <w:t xml:space="preserve">Podium Pursuit Introduction Primer</w:t>
      </w:r>
    </w:p>
    <w:p>
      <w:pPr>
        <w:pStyle w:val="ListParagraph"/>
        <w:numPr>
          <w:ilvl w:val="0"/>
          <w:numId w:val="2"/>
        </w:numPr>
        <w:spacing w:after="60"/>
        <w:ind w:left="720" w:hanging="360"/>
      </w:pPr>
      <w:r>
        <w:rPr>
          <w:rFonts w:ascii="Calibri" w:cs="Calibri" w:eastAsia="Calibri" w:hAnsi="Calibri"/>
          <w:color w:val="0F1113"/>
          <w:sz w:val="22"/>
          <w:szCs w:val="22"/>
        </w:rPr>
        <w:t xml:space="preserve">DPO Cover Note</w:t>
      </w:r>
    </w:p>
    <w:p>
      <w:pPr>
        <w:spacing w:after="120" w:before="120" w:line="276"/>
        <w:jc w:val="left"/>
      </w:pPr>
      <w:r>
        <w:rPr>
          <w:rFonts w:ascii="Calibri" w:cs="Calibri" w:eastAsia="Calibri" w:hAnsi="Calibri"/>
          <w:b w:val="false"/>
          <w:bCs w:val="false"/>
          <w:i w:val="false"/>
          <w:iCs w:val="false"/>
          <w:color w:val="0F1113"/>
          <w:sz w:val="22"/>
          <w:szCs w:val="22"/>
        </w:rPr>
        <w:t xml:space="preserve">The review will assess each document for:</w:t>
      </w:r>
    </w:p>
    <w:p>
      <w:pPr>
        <w:pStyle w:val="ListParagraph"/>
        <w:numPr>
          <w:ilvl w:val="0"/>
          <w:numId w:val="2"/>
        </w:numPr>
        <w:spacing w:after="60"/>
        <w:ind w:left="720" w:hanging="360"/>
      </w:pPr>
      <w:r>
        <w:rPr>
          <w:rFonts w:ascii="Calibri" w:cs="Calibri" w:eastAsia="Calibri" w:hAnsi="Calibri"/>
          <w:color w:val="0F1113"/>
          <w:sz w:val="22"/>
          <w:szCs w:val="22"/>
        </w:rPr>
        <w:t xml:space="preserve">Internal consistency and alignment with the other documents in the pack</w:t>
      </w:r>
    </w:p>
    <w:p>
      <w:pPr>
        <w:pStyle w:val="ListParagraph"/>
        <w:numPr>
          <w:ilvl w:val="0"/>
          <w:numId w:val="2"/>
        </w:numPr>
        <w:spacing w:after="60"/>
        <w:ind w:left="720" w:hanging="360"/>
      </w:pPr>
      <w:r>
        <w:rPr>
          <w:rFonts w:ascii="Calibri" w:cs="Calibri" w:eastAsia="Calibri" w:hAnsi="Calibri"/>
          <w:color w:val="0F1113"/>
          <w:sz w:val="22"/>
          <w:szCs w:val="22"/>
        </w:rPr>
        <w:t xml:space="preserve">Accuracy of regulatory references and lawful basis assertions</w:t>
      </w:r>
    </w:p>
    <w:p>
      <w:pPr>
        <w:pStyle w:val="ListParagraph"/>
        <w:numPr>
          <w:ilvl w:val="0"/>
          <w:numId w:val="2"/>
        </w:numPr>
        <w:spacing w:after="60"/>
        <w:ind w:left="720" w:hanging="360"/>
      </w:pPr>
      <w:r>
        <w:rPr>
          <w:rFonts w:ascii="Calibri" w:cs="Calibri" w:eastAsia="Calibri" w:hAnsi="Calibri"/>
          <w:color w:val="0F1113"/>
          <w:sz w:val="22"/>
          <w:szCs w:val="22"/>
        </w:rPr>
        <w:t xml:space="preserve">Coverage of required disclosures and commitments under POPIA (primary focus), with observations on PDPL</w:t>
      </w:r>
    </w:p>
    <w:p>
      <w:pPr>
        <w:pStyle w:val="ListParagraph"/>
        <w:numPr>
          <w:ilvl w:val="0"/>
          <w:numId w:val="2"/>
        </w:numPr>
        <w:spacing w:after="60"/>
        <w:ind w:left="720" w:hanging="360"/>
      </w:pPr>
      <w:r>
        <w:rPr>
          <w:rFonts w:ascii="Calibri" w:cs="Calibri" w:eastAsia="Calibri" w:hAnsi="Calibri"/>
          <w:color w:val="0F1113"/>
          <w:sz w:val="22"/>
          <w:szCs w:val="22"/>
        </w:rPr>
        <w:t xml:space="preserve">Gaps, ambiguities, or statements that may create unintended commitments or liability</w:t>
      </w:r>
    </w:p>
    <w:p>
      <w:pPr>
        <w:pStyle w:val="Heading2"/>
        <w:spacing w:after="120" w:before="240"/>
      </w:pPr>
      <w:r>
        <w:rPr>
          <w:rFonts w:ascii="Calibri" w:cs="Calibri" w:eastAsia="Calibri" w:hAnsi="Calibri"/>
          <w:b/>
          <w:bCs/>
          <w:color w:val="1A1C1E"/>
          <w:sz w:val="24"/>
          <w:szCs w:val="24"/>
        </w:rPr>
        <w:t xml:space="preserve">4.2 Missing documents identification</w:t>
      </w:r>
    </w:p>
    <w:p>
      <w:pPr>
        <w:spacing w:after="120" w:before="0" w:line="276"/>
        <w:jc w:val="left"/>
      </w:pPr>
      <w:r>
        <w:rPr>
          <w:rFonts w:ascii="Calibri" w:cs="Calibri" w:eastAsia="Calibri" w:hAnsi="Calibri"/>
          <w:b w:val="false"/>
          <w:bCs w:val="false"/>
          <w:i w:val="false"/>
          <w:iCs w:val="false"/>
          <w:color w:val="0F1113"/>
          <w:sz w:val="22"/>
          <w:szCs w:val="22"/>
        </w:rPr>
        <w:t xml:space="preserve">Identification and prioritisation of documents that should exist to support ProTouch's data protection posture but have not been provided, including (without limitation) Data Protection Impact Assessments, PAIA Section 51 manual, operator/processor agreements, breach notification procedures, and Information Regulator registration evidence.</w:t>
      </w:r>
    </w:p>
    <w:p>
      <w:pPr>
        <w:pStyle w:val="Heading2"/>
        <w:spacing w:after="120" w:before="240"/>
      </w:pPr>
      <w:r>
        <w:rPr>
          <w:rFonts w:ascii="Calibri" w:cs="Calibri" w:eastAsia="Calibri" w:hAnsi="Calibri"/>
          <w:b/>
          <w:bCs/>
          <w:color w:val="1A1C1E"/>
          <w:sz w:val="24"/>
          <w:szCs w:val="24"/>
        </w:rPr>
        <w:t xml:space="preserve">4.3 Compliance posture assessment</w:t>
      </w:r>
    </w:p>
    <w:p>
      <w:pPr>
        <w:spacing w:after="120" w:before="0" w:line="276"/>
        <w:jc w:val="left"/>
      </w:pPr>
      <w:r>
        <w:rPr>
          <w:rFonts w:ascii="Calibri" w:cs="Calibri" w:eastAsia="Calibri" w:hAnsi="Calibri"/>
          <w:b/>
          <w:bCs/>
          <w:i w:val="false"/>
          <w:iCs w:val="false"/>
          <w:color w:val="0F1113"/>
          <w:sz w:val="22"/>
          <w:szCs w:val="22"/>
        </w:rPr>
        <w:t xml:space="preserve">Primary assessment — POPIA (South Africa). </w:t>
      </w:r>
      <w:r>
        <w:rPr>
          <w:rFonts w:ascii="Calibri" w:cs="Calibri" w:eastAsia="Calibri" w:hAnsi="Calibri"/>
          <w:b w:val="false"/>
          <w:bCs w:val="false"/>
          <w:i w:val="false"/>
          <w:iCs w:val="false"/>
          <w:color w:val="0F1113"/>
          <w:sz w:val="22"/>
          <w:szCs w:val="22"/>
        </w:rPr>
        <w:t xml:space="preserve">A structured assessment of ProTouch's compliance posture against POPIA requirements, covering the following domains:</w:t>
      </w:r>
    </w:p>
    <w:p>
      <w:pPr>
        <w:pStyle w:val="ListParagraph"/>
        <w:numPr>
          <w:ilvl w:val="0"/>
          <w:numId w:val="2"/>
        </w:numPr>
        <w:spacing w:after="60"/>
        <w:ind w:left="720" w:hanging="360"/>
      </w:pPr>
      <w:r>
        <w:rPr>
          <w:rFonts w:ascii="Calibri" w:cs="Calibri" w:eastAsia="Calibri" w:hAnsi="Calibri"/>
          <w:color w:val="0F1113"/>
          <w:sz w:val="22"/>
          <w:szCs w:val="22"/>
        </w:rPr>
        <w:t xml:space="preserve">Lawful basis and conditions for processing</w:t>
      </w:r>
    </w:p>
    <w:p>
      <w:pPr>
        <w:pStyle w:val="ListParagraph"/>
        <w:numPr>
          <w:ilvl w:val="0"/>
          <w:numId w:val="2"/>
        </w:numPr>
        <w:spacing w:after="60"/>
        <w:ind w:left="720" w:hanging="360"/>
      </w:pPr>
      <w:r>
        <w:rPr>
          <w:rFonts w:ascii="Calibri" w:cs="Calibri" w:eastAsia="Calibri" w:hAnsi="Calibri"/>
          <w:color w:val="0F1113"/>
          <w:sz w:val="22"/>
          <w:szCs w:val="22"/>
        </w:rPr>
        <w:t xml:space="preserve">Data subject rights and mechanisms</w:t>
      </w:r>
    </w:p>
    <w:p>
      <w:pPr>
        <w:pStyle w:val="ListParagraph"/>
        <w:numPr>
          <w:ilvl w:val="0"/>
          <w:numId w:val="2"/>
        </w:numPr>
        <w:spacing w:after="60"/>
        <w:ind w:left="720" w:hanging="360"/>
      </w:pPr>
      <w:r>
        <w:rPr>
          <w:rFonts w:ascii="Calibri" w:cs="Calibri" w:eastAsia="Calibri" w:hAnsi="Calibri"/>
          <w:color w:val="0F1113"/>
          <w:sz w:val="22"/>
          <w:szCs w:val="22"/>
        </w:rPr>
        <w:t xml:space="preserve">Cross-border transfer safeguards</w:t>
      </w:r>
    </w:p>
    <w:p>
      <w:pPr>
        <w:pStyle w:val="ListParagraph"/>
        <w:numPr>
          <w:ilvl w:val="0"/>
          <w:numId w:val="2"/>
        </w:numPr>
        <w:spacing w:after="60"/>
        <w:ind w:left="720" w:hanging="360"/>
      </w:pPr>
      <w:r>
        <w:rPr>
          <w:rFonts w:ascii="Calibri" w:cs="Calibri" w:eastAsia="Calibri" w:hAnsi="Calibri"/>
          <w:color w:val="0F1113"/>
          <w:sz w:val="22"/>
          <w:szCs w:val="22"/>
        </w:rPr>
        <w:t xml:space="preserve">Operator/processor management and agreements</w:t>
      </w:r>
    </w:p>
    <w:p>
      <w:pPr>
        <w:pStyle w:val="ListParagraph"/>
        <w:numPr>
          <w:ilvl w:val="0"/>
          <w:numId w:val="2"/>
        </w:numPr>
        <w:spacing w:after="60"/>
        <w:ind w:left="720" w:hanging="360"/>
      </w:pPr>
      <w:r>
        <w:rPr>
          <w:rFonts w:ascii="Calibri" w:cs="Calibri" w:eastAsia="Calibri" w:hAnsi="Calibri"/>
          <w:color w:val="0F1113"/>
          <w:sz w:val="22"/>
          <w:szCs w:val="22"/>
        </w:rPr>
        <w:t xml:space="preserve">Breach notification readiness</w:t>
      </w:r>
    </w:p>
    <w:p>
      <w:pPr>
        <w:pStyle w:val="ListParagraph"/>
        <w:numPr>
          <w:ilvl w:val="0"/>
          <w:numId w:val="2"/>
        </w:numPr>
        <w:spacing w:after="60"/>
        <w:ind w:left="720" w:hanging="360"/>
      </w:pPr>
      <w:r>
        <w:rPr>
          <w:rFonts w:ascii="Calibri" w:cs="Calibri" w:eastAsia="Calibri" w:hAnsi="Calibri"/>
          <w:color w:val="0F1113"/>
          <w:sz w:val="22"/>
          <w:szCs w:val="22"/>
        </w:rPr>
        <w:t xml:space="preserve">Special categories and sensitive data handling</w:t>
      </w:r>
    </w:p>
    <w:p>
      <w:pPr>
        <w:pStyle w:val="ListParagraph"/>
        <w:numPr>
          <w:ilvl w:val="0"/>
          <w:numId w:val="2"/>
        </w:numPr>
        <w:spacing w:after="60"/>
        <w:ind w:left="720" w:hanging="360"/>
      </w:pPr>
      <w:r>
        <w:rPr>
          <w:rFonts w:ascii="Calibri" w:cs="Calibri" w:eastAsia="Calibri" w:hAnsi="Calibri"/>
          <w:color w:val="0F1113"/>
          <w:sz w:val="22"/>
          <w:szCs w:val="22"/>
        </w:rPr>
        <w:t xml:space="preserve">Records of processing (ROPA readiness)</w:t>
      </w:r>
    </w:p>
    <w:p>
      <w:pPr>
        <w:pStyle w:val="ListParagraph"/>
        <w:numPr>
          <w:ilvl w:val="0"/>
          <w:numId w:val="2"/>
        </w:numPr>
        <w:spacing w:after="60"/>
        <w:ind w:left="720" w:hanging="360"/>
      </w:pPr>
      <w:r>
        <w:rPr>
          <w:rFonts w:ascii="Calibri" w:cs="Calibri" w:eastAsia="Calibri" w:hAnsi="Calibri"/>
          <w:color w:val="0F1113"/>
          <w:sz w:val="22"/>
          <w:szCs w:val="22"/>
        </w:rPr>
        <w:t xml:space="preserve">Under-18 exclusion implementation</w:t>
      </w:r>
    </w:p>
    <w:p>
      <w:pPr>
        <w:pStyle w:val="ListParagraph"/>
        <w:numPr>
          <w:ilvl w:val="0"/>
          <w:numId w:val="2"/>
        </w:numPr>
        <w:spacing w:after="60"/>
        <w:ind w:left="720" w:hanging="360"/>
      </w:pPr>
      <w:r>
        <w:rPr>
          <w:rFonts w:ascii="Calibri" w:cs="Calibri" w:eastAsia="Calibri" w:hAnsi="Calibri"/>
          <w:color w:val="0F1113"/>
          <w:sz w:val="22"/>
          <w:szCs w:val="22"/>
        </w:rPr>
        <w:t xml:space="preserve">Cookie and ePrivacy compliance</w:t>
      </w:r>
    </w:p>
    <w:p>
      <w:pPr>
        <w:pStyle w:val="ListParagraph"/>
        <w:numPr>
          <w:ilvl w:val="0"/>
          <w:numId w:val="2"/>
        </w:numPr>
        <w:spacing w:after="60"/>
        <w:ind w:left="720" w:hanging="360"/>
      </w:pPr>
      <w:r>
        <w:rPr>
          <w:rFonts w:ascii="Calibri" w:cs="Calibri" w:eastAsia="Calibri" w:hAnsi="Calibri"/>
          <w:color w:val="0F1113"/>
          <w:sz w:val="22"/>
          <w:szCs w:val="22"/>
        </w:rPr>
        <w:t xml:space="preserve">AI processing transparency and governance</w:t>
      </w:r>
    </w:p>
    <w:p>
      <w:pPr>
        <w:spacing w:after="120" w:before="120" w:line="276"/>
        <w:jc w:val="left"/>
      </w:pPr>
      <w:r>
        <w:rPr>
          <w:rFonts w:ascii="Calibri" w:cs="Calibri" w:eastAsia="Calibri" w:hAnsi="Calibri"/>
          <w:b/>
          <w:bCs/>
          <w:i w:val="false"/>
          <w:iCs w:val="false"/>
          <w:color w:val="0F1113"/>
          <w:sz w:val="22"/>
          <w:szCs w:val="22"/>
        </w:rPr>
        <w:t xml:space="preserve">Cross-reference observations — UAE PDPL. </w:t>
      </w:r>
      <w:r>
        <w:rPr>
          <w:rFonts w:ascii="Calibri" w:cs="Calibri" w:eastAsia="Calibri" w:hAnsi="Calibri"/>
          <w:b w:val="false"/>
          <w:bCs w:val="false"/>
          <w:i w:val="false"/>
          <w:iCs w:val="false"/>
          <w:color w:val="0F1113"/>
          <w:sz w:val="22"/>
          <w:szCs w:val="22"/>
        </w:rPr>
        <w:t xml:space="preserve">Where the POPIA assessment identifies gaps or risks that also have implications under the UAE PDPL, these will be noted as observations. These observations flag areas for attention but are not a formal assessment against that framework. Deeper PDPL advisory can be scoped as follow-on work.</w:t>
      </w:r>
    </w:p>
    <w:p>
      <w:pPr>
        <w:pStyle w:val="Heading2"/>
        <w:spacing w:after="120" w:before="240"/>
      </w:pPr>
      <w:r>
        <w:rPr>
          <w:rFonts w:ascii="Calibri" w:cs="Calibri" w:eastAsia="Calibri" w:hAnsi="Calibri"/>
          <w:b/>
          <w:bCs/>
          <w:color w:val="1A1C1E"/>
          <w:sz w:val="24"/>
          <w:szCs w:val="24"/>
        </w:rPr>
        <w:t xml:space="preserve">4.4 Platform walkthrough</w:t>
      </w:r>
    </w:p>
    <w:p>
      <w:pPr>
        <w:spacing w:after="120" w:before="0" w:line="276"/>
        <w:jc w:val="left"/>
      </w:pPr>
      <w:r>
        <w:rPr>
          <w:rFonts w:ascii="Calibri" w:cs="Calibri" w:eastAsia="Calibri" w:hAnsi="Calibri"/>
          <w:b w:val="false"/>
          <w:bCs w:val="false"/>
          <w:i w:val="false"/>
          <w:iCs w:val="false"/>
          <w:color w:val="0F1113"/>
          <w:sz w:val="22"/>
          <w:szCs w:val="22"/>
        </w:rPr>
        <w:t xml:space="preserve">A brief guided walkthrough of the live Podium Pursuit platform to verify:</w:t>
      </w:r>
    </w:p>
    <w:p>
      <w:pPr>
        <w:pStyle w:val="ListParagraph"/>
        <w:numPr>
          <w:ilvl w:val="0"/>
          <w:numId w:val="2"/>
        </w:numPr>
        <w:spacing w:after="60"/>
        <w:ind w:left="720" w:hanging="360"/>
      </w:pPr>
      <w:r>
        <w:rPr>
          <w:rFonts w:ascii="Calibri" w:cs="Calibri" w:eastAsia="Calibri" w:hAnsi="Calibri"/>
          <w:color w:val="0F1113"/>
          <w:sz w:val="22"/>
          <w:szCs w:val="22"/>
        </w:rPr>
        <w:t xml:space="preserve">Privacy notice placement and accessibility</w:t>
      </w:r>
    </w:p>
    <w:p>
      <w:pPr>
        <w:pStyle w:val="ListParagraph"/>
        <w:numPr>
          <w:ilvl w:val="0"/>
          <w:numId w:val="2"/>
        </w:numPr>
        <w:spacing w:after="60"/>
        <w:ind w:left="720" w:hanging="360"/>
      </w:pPr>
      <w:r>
        <w:rPr>
          <w:rFonts w:ascii="Calibri" w:cs="Calibri" w:eastAsia="Calibri" w:hAnsi="Calibri"/>
          <w:color w:val="0F1113"/>
          <w:sz w:val="22"/>
          <w:szCs w:val="22"/>
        </w:rPr>
        <w:t xml:space="preserve">Cookie consent mechanism implementation</w:t>
      </w:r>
    </w:p>
    <w:p>
      <w:pPr>
        <w:pStyle w:val="ListParagraph"/>
        <w:numPr>
          <w:ilvl w:val="0"/>
          <w:numId w:val="2"/>
        </w:numPr>
        <w:spacing w:after="60"/>
        <w:ind w:left="720" w:hanging="360"/>
      </w:pPr>
      <w:r>
        <w:rPr>
          <w:rFonts w:ascii="Calibri" w:cs="Calibri" w:eastAsia="Calibri" w:hAnsi="Calibri"/>
          <w:color w:val="0F1113"/>
          <w:sz w:val="22"/>
          <w:szCs w:val="22"/>
        </w:rPr>
        <w:t xml:space="preserve">Data subject request mechanisms</w:t>
      </w:r>
    </w:p>
    <w:p>
      <w:pPr>
        <w:pStyle w:val="ListParagraph"/>
        <w:numPr>
          <w:ilvl w:val="0"/>
          <w:numId w:val="2"/>
        </w:numPr>
        <w:spacing w:after="60"/>
        <w:ind w:left="720" w:hanging="360"/>
      </w:pPr>
      <w:r>
        <w:rPr>
          <w:rFonts w:ascii="Calibri" w:cs="Calibri" w:eastAsia="Calibri" w:hAnsi="Calibri"/>
          <w:color w:val="0F1113"/>
          <w:sz w:val="22"/>
          <w:szCs w:val="22"/>
        </w:rPr>
        <w:t xml:space="preserve">Any visible discrepancies between documentation and live operation</w:t>
      </w:r>
    </w:p>
    <w:p>
      <w:pPr>
        <w:spacing w:after="120" w:before="0" w:line="276"/>
        <w:jc w:val="left"/>
      </w:pPr>
      <w:r>
        <w:rPr>
          <w:rFonts w:ascii="Calibri" w:cs="Calibri" w:eastAsia="Calibri" w:hAnsi="Calibri"/>
          <w:b w:val="false"/>
          <w:bCs w:val="false"/>
          <w:i/>
          <w:iCs/>
          <w:color w:val="0F1113"/>
          <w:sz w:val="22"/>
          <w:szCs w:val="22"/>
        </w:rPr>
        <w:t xml:space="preserve">This is a desktop review, not a penetration test or technical security audit.</w:t>
      </w:r>
    </w:p>
    <w:p>
      <w:pPr>
        <w:pStyle w:val="Heading1"/>
        <w:pBdr>
          <w:bottom w:val="single" w:color="C5A059" w:sz="6"/>
        </w:pBdr>
        <w:spacing w:after="120" w:before="240"/>
      </w:pPr>
      <w:r>
        <w:rPr>
          <w:rFonts w:ascii="Calibri" w:cs="Calibri" w:eastAsia="Calibri" w:hAnsi="Calibri"/>
          <w:b/>
          <w:bCs/>
          <w:color w:val="1A1C1E"/>
          <w:sz w:val="28"/>
          <w:szCs w:val="28"/>
        </w:rPr>
        <w:t xml:space="preserve">5.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w:t>
            </w:r>
          </w:p>
        </w:tc>
        <w:tc>
          <w:tcPr>
            <w:tcW w:type="dxa" w:w="22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Deliverable</w:t>
            </w:r>
          </w:p>
        </w:tc>
        <w:tc>
          <w:tcPr>
            <w:tcW w:type="dxa" w:w="62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1</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Findings report</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Structured findings by compliance domain, each rated by severity (critical / high / medium / low / observation). Cross-referenced to POPIA sections. PDPL observations and jurisdictional reach findings flagged separately.</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2</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Missing documents register</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Prioritised list of documents that should exist but were not provided, with a note on why each matters and suggested ownership (ProTouch internal, legal adviser, or future DPO/IO).</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3</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Remediation roadmap</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Prioritised action plan, sequenced by regulatory risk and effort. Distinguishes between actions ProTouch can take independently and actions requiring professional or legal input.</w:t>
            </w:r>
          </w:p>
        </w:tc>
      </w:tr>
      <w:tr>
        <w:tc>
          <w:tcPr>
            <w:tcW w:type="dxa" w:w="6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4</w:t>
            </w:r>
          </w:p>
        </w:tc>
        <w:tc>
          <w:tcPr>
            <w:tcW w:type="dxa" w:w="2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DPO/IO readiness note</w:t>
            </w:r>
          </w:p>
        </w:tc>
        <w:tc>
          <w:tcPr>
            <w:tcW w:type="dxa" w:w="62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A short assessment of whether the organisation is ready for a formal DPO (PDPL) and IO (POPIA) appointment, and what would need to be in place before such an appointment could be considered.</w:t>
            </w:r>
          </w:p>
        </w:tc>
      </w:tr>
    </w:tbl>
    <w:p>
      <w:pPr>
        <w:spacing w:after="120" w:before="120" w:line="276"/>
        <w:jc w:val="left"/>
      </w:pPr>
      <w:r>
        <w:rPr>
          <w:rFonts w:ascii="Calibri" w:cs="Calibri" w:eastAsia="Calibri" w:hAnsi="Calibri"/>
          <w:b w:val="false"/>
          <w:bCs w:val="false"/>
          <w:i w:val="false"/>
          <w:iCs w:val="false"/>
          <w:color w:val="0F1113"/>
          <w:sz w:val="22"/>
          <w:szCs w:val="22"/>
        </w:rPr>
        <w:t xml:space="preserve">All deliverables will be provided as electronic documents (Word or PDF). One round of written comments from ProTouch is included; STZA will address comments and issue a final version.</w:t>
      </w:r>
    </w:p>
    <w:p>
      <w:pPr>
        <w:pStyle w:val="Heading1"/>
        <w:pBdr>
          <w:bottom w:val="single" w:color="C5A059" w:sz="6"/>
        </w:pBdr>
        <w:spacing w:after="120" w:before="240"/>
      </w:pPr>
      <w:r>
        <w:rPr>
          <w:rFonts w:ascii="Calibri" w:cs="Calibri" w:eastAsia="Calibri" w:hAnsi="Calibri"/>
          <w:b/>
          <w:bCs/>
          <w:color w:val="1A1C1E"/>
          <w:sz w:val="28"/>
          <w:szCs w:val="28"/>
        </w:rPr>
        <w:t xml:space="preserve">6. What ProTouch needs to provide</w:t>
      </w:r>
    </w:p>
    <w:p>
      <w:pPr>
        <w:spacing w:after="120" w:before="0" w:line="276"/>
        <w:jc w:val="left"/>
      </w:pPr>
      <w:r>
        <w:rPr>
          <w:rFonts w:ascii="Calibri" w:cs="Calibri" w:eastAsia="Calibri" w:hAnsi="Calibri"/>
          <w:b w:val="false"/>
          <w:bCs w:val="false"/>
          <w:i w:val="false"/>
          <w:iCs w:val="false"/>
          <w:color w:val="0F1113"/>
          <w:sz w:val="22"/>
          <w:szCs w:val="22"/>
        </w:rPr>
        <w:t xml:space="preserve">Before the assessment can commence, ProTouch should provide:</w:t>
      </w:r>
    </w:p>
    <w:p>
      <w:pPr>
        <w:pStyle w:val="ListParagraph"/>
        <w:numPr>
          <w:ilvl w:val="0"/>
          <w:numId w:val="3"/>
        </w:numPr>
        <w:spacing w:after="60"/>
        <w:ind w:left="720" w:hanging="360"/>
      </w:pPr>
      <w:r>
        <w:rPr>
          <w:rFonts w:ascii="Calibri" w:cs="Calibri" w:eastAsia="Calibri" w:hAnsi="Calibri"/>
          <w:color w:val="0F1113"/>
          <w:sz w:val="22"/>
          <w:szCs w:val="22"/>
        </w:rPr>
        <w:t xml:space="preserve">Any Data Protection Impact Assessment(s) prepared for the platform</w:t>
      </w:r>
    </w:p>
    <w:p>
      <w:pPr>
        <w:pStyle w:val="ListParagraph"/>
        <w:numPr>
          <w:ilvl w:val="0"/>
          <w:numId w:val="3"/>
        </w:numPr>
        <w:spacing w:after="60"/>
        <w:ind w:left="720" w:hanging="360"/>
      </w:pPr>
      <w:r>
        <w:rPr>
          <w:rFonts w:ascii="Calibri" w:cs="Calibri" w:eastAsia="Calibri" w:hAnsi="Calibri"/>
          <w:color w:val="0F1113"/>
          <w:sz w:val="22"/>
          <w:szCs w:val="22"/>
        </w:rPr>
        <w:t xml:space="preserve">The Blocksport AG Data Processing Agreement (referenced as updated)</w:t>
      </w:r>
    </w:p>
    <w:p>
      <w:pPr>
        <w:pStyle w:val="ListParagraph"/>
        <w:numPr>
          <w:ilvl w:val="0"/>
          <w:numId w:val="3"/>
        </w:numPr>
        <w:spacing w:after="60"/>
        <w:ind w:left="720" w:hanging="360"/>
      </w:pPr>
      <w:r>
        <w:rPr>
          <w:rFonts w:ascii="Calibri" w:cs="Calibri" w:eastAsia="Calibri" w:hAnsi="Calibri"/>
          <w:color w:val="0F1113"/>
          <w:sz w:val="22"/>
          <w:szCs w:val="22"/>
        </w:rPr>
        <w:t xml:space="preserve">Processing terms or DPAs with Apify, Anthropic, and OpenAI (or confirmation that none exist)</w:t>
      </w:r>
    </w:p>
    <w:p>
      <w:pPr>
        <w:pStyle w:val="ListParagraph"/>
        <w:numPr>
          <w:ilvl w:val="0"/>
          <w:numId w:val="3"/>
        </w:numPr>
        <w:spacing w:after="60"/>
        <w:ind w:left="720" w:hanging="360"/>
      </w:pPr>
      <w:r>
        <w:rPr>
          <w:rFonts w:ascii="Calibri" w:cs="Calibri" w:eastAsia="Calibri" w:hAnsi="Calibri"/>
          <w:color w:val="0F1113"/>
          <w:sz w:val="22"/>
          <w:szCs w:val="22"/>
        </w:rPr>
        <w:t xml:space="preserve">Information Regulator registration status — registration number or confirmation that registration has not been completed</w:t>
      </w:r>
    </w:p>
    <w:p>
      <w:pPr>
        <w:pStyle w:val="ListParagraph"/>
        <w:numPr>
          <w:ilvl w:val="0"/>
          <w:numId w:val="3"/>
        </w:numPr>
        <w:spacing w:after="60"/>
        <w:ind w:left="720" w:hanging="360"/>
      </w:pPr>
      <w:r>
        <w:rPr>
          <w:rFonts w:ascii="Calibri" w:cs="Calibri" w:eastAsia="Calibri" w:hAnsi="Calibri"/>
          <w:color w:val="0F1113"/>
          <w:sz w:val="22"/>
          <w:szCs w:val="22"/>
        </w:rPr>
        <w:t xml:space="preserve">PAIA Section 51 manual, or confirmation that one has not been prepared</w:t>
      </w:r>
    </w:p>
    <w:p>
      <w:pPr>
        <w:pStyle w:val="ListParagraph"/>
        <w:numPr>
          <w:ilvl w:val="0"/>
          <w:numId w:val="3"/>
        </w:numPr>
        <w:spacing w:after="60"/>
        <w:ind w:left="720" w:hanging="360"/>
      </w:pPr>
      <w:r>
        <w:rPr>
          <w:rFonts w:ascii="Calibri" w:cs="Calibri" w:eastAsia="Calibri" w:hAnsi="Calibri"/>
          <w:color w:val="0F1113"/>
          <w:sz w:val="22"/>
          <w:szCs w:val="22"/>
        </w:rPr>
        <w:t xml:space="preserve">Any internal data protection policies, procedures, or process notes (however informal)</w:t>
      </w:r>
    </w:p>
    <w:p>
      <w:pPr>
        <w:pStyle w:val="ListParagraph"/>
        <w:numPr>
          <w:ilvl w:val="0"/>
          <w:numId w:val="3"/>
        </w:numPr>
        <w:spacing w:after="60"/>
        <w:ind w:left="720" w:hanging="360"/>
      </w:pPr>
      <w:r>
        <w:rPr>
          <w:rFonts w:ascii="Calibri" w:cs="Calibri" w:eastAsia="Calibri" w:hAnsi="Calibri"/>
          <w:color w:val="0F1113"/>
          <w:sz w:val="22"/>
          <w:szCs w:val="22"/>
        </w:rPr>
        <w:t xml:space="preserve">Evidence or description of the under-18 athlete removal exercise</w:t>
      </w:r>
    </w:p>
    <w:p>
      <w:pPr>
        <w:pStyle w:val="ListParagraph"/>
        <w:numPr>
          <w:ilvl w:val="0"/>
          <w:numId w:val="3"/>
        </w:numPr>
        <w:spacing w:after="60"/>
        <w:ind w:left="720" w:hanging="360"/>
      </w:pPr>
      <w:r>
        <w:rPr>
          <w:rFonts w:ascii="Calibri" w:cs="Calibri" w:eastAsia="Calibri" w:hAnsi="Calibri"/>
          <w:color w:val="0F1113"/>
          <w:sz w:val="22"/>
          <w:szCs w:val="22"/>
        </w:rPr>
        <w:t xml:space="preserve">Access to the live platform for a guided walkthrough (screen-share session, approximately 30-60 minutes)</w:t>
      </w:r>
    </w:p>
    <w:p>
      <w:pPr>
        <w:spacing w:after="120" w:before="120" w:line="276"/>
        <w:jc w:val="left"/>
      </w:pPr>
      <w:r>
        <w:rPr>
          <w:rFonts w:ascii="Calibri" w:cs="Calibri" w:eastAsia="Calibri" w:hAnsi="Calibri"/>
          <w:b w:val="false"/>
          <w:bCs w:val="false"/>
          <w:i w:val="false"/>
          <w:iCs w:val="false"/>
          <w:color w:val="0F1113"/>
          <w:sz w:val="22"/>
          <w:szCs w:val="22"/>
        </w:rPr>
        <w:t xml:space="preserve">STZA will commence work within 5 business days of receiving the items above. If items are not available, the assessment will proceed on the basis of the documents already provided, and the findings report will note what could not be assessed and why.</w:t>
      </w:r>
    </w:p>
    <w:p>
      <w:pPr>
        <w:pStyle w:val="Heading1"/>
        <w:pBdr>
          <w:bottom w:val="single" w:color="C5A059" w:sz="6"/>
        </w:pBdr>
        <w:spacing w:after="120" w:before="240"/>
      </w:pPr>
      <w:r>
        <w:rPr>
          <w:rFonts w:ascii="Calibri" w:cs="Calibri" w:eastAsia="Calibri" w:hAnsi="Calibri"/>
          <w:b/>
          <w:bCs/>
          <w:color w:val="1A1C1E"/>
          <w:sz w:val="28"/>
          <w:szCs w:val="28"/>
        </w:rPr>
        <w:t xml:space="preserve">7. Fees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Element</w:t>
            </w:r>
          </w:p>
        </w:tc>
        <w:tc>
          <w:tcPr>
            <w:tcW w:type="dxa" w:w="45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Amount</w:t>
            </w:r>
          </w:p>
        </w:tc>
      </w:tr>
      <w:tr>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Fixed fee — readiness assessment</w:t>
            </w:r>
          </w:p>
        </w:tc>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GBP 2,000</w:t>
            </w:r>
          </w:p>
        </w:tc>
      </w:tr>
      <w:tr>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Payment terms</w:t>
            </w:r>
          </w:p>
        </w:tc>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50% on acceptance of this scope (GBP 1,000); 50% on delivery of the findings report (GBP 1,000)</w:t>
            </w:r>
          </w:p>
        </w:tc>
      </w:tr>
      <w:tr>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Additional work beyond the scope above</w:t>
            </w:r>
          </w:p>
        </w:tc>
        <w:tc>
          <w:tcPr>
            <w:tcW w:type="dxa" w:w="45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GBP 550 per day, agreed in writing before commencement</w:t>
            </w:r>
          </w:p>
        </w:tc>
      </w:tr>
    </w:tbl>
    <w:p>
      <w:pPr>
        <w:spacing w:after="120" w:before="120" w:line="276"/>
        <w:jc w:val="left"/>
      </w:pPr>
      <w:r>
        <w:rPr>
          <w:rFonts w:ascii="Calibri" w:cs="Calibri" w:eastAsia="Calibri" w:hAnsi="Calibri"/>
          <w:b w:val="false"/>
          <w:bCs w:val="false"/>
          <w:i/>
          <w:iCs/>
          <w:color w:val="0F1113"/>
          <w:sz w:val="22"/>
          <w:szCs w:val="22"/>
        </w:rPr>
        <w:t xml:space="preserve">Fees are exclusive of VAT. STZA is a UK-registered entity; VAT treatment will be confirmed on invoice.</w:t>
      </w:r>
    </w:p>
    <w:p>
      <w:pPr>
        <w:pStyle w:val="Heading1"/>
        <w:pBdr>
          <w:bottom w:val="single" w:color="C5A059" w:sz="6"/>
        </w:pBdr>
        <w:spacing w:after="120" w:before="240"/>
      </w:pPr>
      <w:r>
        <w:rPr>
          <w:rFonts w:ascii="Calibri" w:cs="Calibri" w:eastAsia="Calibri" w:hAnsi="Calibri"/>
          <w:b/>
          <w:bCs/>
          <w:color w:val="1A1C1E"/>
          <w:sz w:val="28"/>
          <w:szCs w:val="28"/>
        </w:rPr>
        <w:t xml:space="preserve">8.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Phase</w:t>
            </w:r>
          </w:p>
        </w:tc>
        <w:tc>
          <w:tcPr>
            <w:tcW w:type="dxa" w:w="20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Timing</w:t>
            </w:r>
          </w:p>
        </w:tc>
        <w:tc>
          <w:tcPr>
            <w:tcW w:type="dxa" w:w="58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Activity</w:t>
            </w:r>
          </w:p>
        </w:tc>
      </w:tr>
      <w:tr>
        <w:tc>
          <w:tcPr>
            <w:tcW w:type="dxa" w:w="12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1</w:t>
            </w:r>
          </w:p>
        </w:tc>
        <w:tc>
          <w:tcPr>
            <w:tcW w:type="dxa" w:w="2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Week 1</w:t>
            </w:r>
          </w:p>
        </w:tc>
        <w:tc>
          <w:tcPr>
            <w:tcW w:type="dxa" w:w="58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Receive outstanding documents; complete document review; platform walkthrough</w:t>
            </w:r>
          </w:p>
        </w:tc>
      </w:tr>
      <w:tr>
        <w:tc>
          <w:tcPr>
            <w:tcW w:type="dxa" w:w="12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2</w:t>
            </w:r>
          </w:p>
        </w:tc>
        <w:tc>
          <w:tcPr>
            <w:tcW w:type="dxa" w:w="2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Week 2</w:t>
            </w:r>
          </w:p>
        </w:tc>
        <w:tc>
          <w:tcPr>
            <w:tcW w:type="dxa" w:w="58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Draft findings report and remediation roadmap</w:t>
            </w:r>
          </w:p>
        </w:tc>
      </w:tr>
      <w:tr>
        <w:tc>
          <w:tcPr>
            <w:tcW w:type="dxa" w:w="1200"/>
            <w:tcBorders>
              <w:top w:val="single" w:color="D4C5A9" w:sz="1"/>
              <w:left w:val="single" w:color="D4C5A9" w:sz="1"/>
              <w:bottom w:val="single" w:color="D4C5A9" w:sz="1"/>
              <w:right w:val="single" w:color="D4C5A9" w:sz="1"/>
            </w:tcBorders>
            <w:vAlign w:val="center"/>
          </w:tcPr>
          <w:p>
            <w:pPr>
              <w:spacing w:after="40" w:before="40"/>
              <w:jc w:val="center"/>
            </w:pPr>
            <w:r>
              <w:rPr>
                <w:rFonts w:ascii="Calibri" w:cs="Calibri" w:eastAsia="Calibri" w:hAnsi="Calibri"/>
                <w:b w:val="false"/>
                <w:bCs w:val="false"/>
                <w:color w:val="0F1113"/>
                <w:sz w:val="20"/>
                <w:szCs w:val="20"/>
              </w:rPr>
              <w:t xml:space="preserve">3</w:t>
            </w:r>
          </w:p>
        </w:tc>
        <w:tc>
          <w:tcPr>
            <w:tcW w:type="dxa" w:w="2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Week 3</w:t>
            </w:r>
          </w:p>
        </w:tc>
        <w:tc>
          <w:tcPr>
            <w:tcW w:type="dxa" w:w="58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Deliver findings; receive ProTouch comments; issue final deliverables</w:t>
            </w:r>
          </w:p>
        </w:tc>
      </w:tr>
    </w:tbl>
    <w:p>
      <w:pPr>
        <w:spacing w:after="120" w:before="120" w:line="276"/>
        <w:jc w:val="left"/>
      </w:pPr>
      <w:r>
        <w:rPr>
          <w:rFonts w:ascii="Calibri" w:cs="Calibri" w:eastAsia="Calibri" w:hAnsi="Calibri"/>
          <w:b w:val="false"/>
          <w:bCs w:val="false"/>
          <w:i w:val="false"/>
          <w:iCs w:val="false"/>
          <w:color w:val="0F1113"/>
          <w:sz w:val="22"/>
          <w:szCs w:val="22"/>
        </w:rPr>
        <w:t xml:space="preserve">Total estimated duration: approximately 3 weeks from receipt of documents. The walkthrough session will be scheduled at a mutually convenient time during week 1.</w:t>
      </w:r>
    </w:p>
    <w:p>
      <w:pPr>
        <w:pStyle w:val="Heading1"/>
        <w:pBdr>
          <w:bottom w:val="single" w:color="C5A059" w:sz="6"/>
        </w:pBdr>
        <w:spacing w:after="120" w:before="240"/>
      </w:pPr>
      <w:r>
        <w:rPr>
          <w:rFonts w:ascii="Calibri" w:cs="Calibri" w:eastAsia="Calibri" w:hAnsi="Calibri"/>
          <w:b/>
          <w:bCs/>
          <w:color w:val="1A1C1E"/>
          <w:sz w:val="28"/>
          <w:szCs w:val="28"/>
        </w:rPr>
        <w:t xml:space="preserve">9. Confidentiality</w:t>
      </w:r>
    </w:p>
    <w:p>
      <w:pPr>
        <w:spacing w:after="120" w:before="0" w:line="276"/>
        <w:jc w:val="left"/>
      </w:pPr>
      <w:r>
        <w:rPr>
          <w:rFonts w:ascii="Calibri" w:cs="Calibri" w:eastAsia="Calibri" w:hAnsi="Calibri"/>
          <w:b w:val="false"/>
          <w:bCs w:val="false"/>
          <w:i w:val="false"/>
          <w:iCs w:val="false"/>
          <w:color w:val="0F1113"/>
          <w:sz w:val="22"/>
          <w:szCs w:val="22"/>
        </w:rPr>
        <w:t xml:space="preserve">The mutual NDA dated 26 June 2026 governs all confidential information exchanged in connection with this engagement. This scope document and all deliverables are Confidential Information for the purposes of the NDA.</w:t>
      </w:r>
    </w:p>
    <w:p>
      <w:pPr>
        <w:pStyle w:val="Heading1"/>
        <w:pBdr>
          <w:bottom w:val="single" w:color="C5A059" w:sz="6"/>
        </w:pBdr>
        <w:spacing w:after="120" w:before="240"/>
      </w:pPr>
      <w:r>
        <w:rPr>
          <w:rFonts w:ascii="Calibri" w:cs="Calibri" w:eastAsia="Calibri" w:hAnsi="Calibri"/>
          <w:b/>
          <w:bCs/>
          <w:color w:val="1A1C1E"/>
          <w:sz w:val="28"/>
          <w:szCs w:val="28"/>
        </w:rPr>
        <w:t xml:space="preserve">10. Limitation of liability</w:t>
      </w:r>
    </w:p>
    <w:p>
      <w:pPr>
        <w:spacing w:after="120" w:before="0" w:line="276"/>
        <w:jc w:val="left"/>
      </w:pPr>
      <w:r>
        <w:rPr>
          <w:rFonts w:ascii="Calibri" w:cs="Calibri" w:eastAsia="Calibri" w:hAnsi="Calibri"/>
          <w:b/>
          <w:bCs/>
          <w:i w:val="false"/>
          <w:iCs w:val="false"/>
          <w:color w:val="0F1113"/>
          <w:sz w:val="22"/>
          <w:szCs w:val="22"/>
        </w:rPr>
        <w:t xml:space="preserve">(a) </w:t>
      </w:r>
      <w:r>
        <w:rPr>
          <w:rFonts w:ascii="Calibri" w:cs="Calibri" w:eastAsia="Calibri" w:hAnsi="Calibri"/>
          <w:b w:val="false"/>
          <w:bCs w:val="false"/>
          <w:i w:val="false"/>
          <w:iCs w:val="false"/>
          <w:color w:val="0F1113"/>
          <w:sz w:val="22"/>
          <w:szCs w:val="22"/>
        </w:rPr>
        <w:t xml:space="preserve">STZA's total aggregate liability arising out of or in connection with this engagement, whether in contract, delict (tort), or otherwise, shall not exceed the total fees actually paid by ProTouch under this engagement.</w:t>
      </w:r>
    </w:p>
    <w:p>
      <w:pPr>
        <w:spacing w:after="120" w:before="0" w:line="276"/>
        <w:jc w:val="left"/>
      </w:pPr>
      <w:r>
        <w:rPr>
          <w:rFonts w:ascii="Calibri" w:cs="Calibri" w:eastAsia="Calibri" w:hAnsi="Calibri"/>
          <w:b/>
          <w:bCs/>
          <w:i w:val="false"/>
          <w:iCs w:val="false"/>
          <w:color w:val="0F1113"/>
          <w:sz w:val="22"/>
          <w:szCs w:val="22"/>
        </w:rPr>
        <w:t xml:space="preserve">(b) </w:t>
      </w:r>
      <w:r>
        <w:rPr>
          <w:rFonts w:ascii="Calibri" w:cs="Calibri" w:eastAsia="Calibri" w:hAnsi="Calibri"/>
          <w:b w:val="false"/>
          <w:bCs w:val="false"/>
          <w:i w:val="false"/>
          <w:iCs w:val="false"/>
          <w:color w:val="0F1113"/>
          <w:sz w:val="22"/>
          <w:szCs w:val="22"/>
        </w:rPr>
        <w:t xml:space="preserve">STZA shall not be liable for any indirect, consequential, or special loss or damage, including (without limitation) loss of profit, loss of revenue, loss of business, regulatory fines or penalties, or reputational damage.</w:t>
      </w:r>
    </w:p>
    <w:p>
      <w:pPr>
        <w:spacing w:after="120" w:before="0" w:line="276"/>
        <w:jc w:val="left"/>
      </w:pPr>
      <w:r>
        <w:rPr>
          <w:rFonts w:ascii="Calibri" w:cs="Calibri" w:eastAsia="Calibri" w:hAnsi="Calibri"/>
          <w:b/>
          <w:bCs/>
          <w:i w:val="false"/>
          <w:iCs w:val="false"/>
          <w:color w:val="0F1113"/>
          <w:sz w:val="22"/>
          <w:szCs w:val="22"/>
        </w:rPr>
        <w:t xml:space="preserve">(c) </w:t>
      </w:r>
      <w:r>
        <w:rPr>
          <w:rFonts w:ascii="Calibri" w:cs="Calibri" w:eastAsia="Calibri" w:hAnsi="Calibri"/>
          <w:b w:val="false"/>
          <w:bCs w:val="false"/>
          <w:i w:val="false"/>
          <w:iCs w:val="false"/>
          <w:color w:val="0F1113"/>
          <w:sz w:val="22"/>
          <w:szCs w:val="22"/>
        </w:rPr>
        <w:t xml:space="preserve">The deliverables are advisory only and are based on the documents and information provided by ProTouch. STZA does not warrant that the deliverables identify every compliance gap, risk, or deficiency. ProTouch remains solely responsible for its own compliance with applicable data protection law.</w:t>
      </w:r>
    </w:p>
    <w:p>
      <w:pPr>
        <w:spacing w:after="120" w:before="0" w:line="276"/>
        <w:jc w:val="left"/>
      </w:pPr>
      <w:r>
        <w:rPr>
          <w:rFonts w:ascii="Calibri" w:cs="Calibri" w:eastAsia="Calibri" w:hAnsi="Calibri"/>
          <w:b/>
          <w:bCs/>
          <w:i w:val="false"/>
          <w:iCs w:val="false"/>
          <w:color w:val="0F1113"/>
          <w:sz w:val="22"/>
          <w:szCs w:val="22"/>
        </w:rPr>
        <w:t xml:space="preserve">(d) </w:t>
      </w:r>
      <w:r>
        <w:rPr>
          <w:rFonts w:ascii="Calibri" w:cs="Calibri" w:eastAsia="Calibri" w:hAnsi="Calibri"/>
          <w:b w:val="false"/>
          <w:bCs w:val="false"/>
          <w:i w:val="false"/>
          <w:iCs w:val="false"/>
          <w:color w:val="0F1113"/>
          <w:sz w:val="22"/>
          <w:szCs w:val="22"/>
        </w:rPr>
        <w:t xml:space="preserve">Nothing in this clause excludes or limits liability for fraud, wilful misconduct, or death or personal injury caused by negligence.</w:t>
      </w:r>
    </w:p>
    <w:p>
      <w:pPr>
        <w:pStyle w:val="Heading1"/>
        <w:pBdr>
          <w:bottom w:val="single" w:color="C5A059" w:sz="6"/>
        </w:pBdr>
        <w:spacing w:after="120" w:before="240"/>
      </w:pPr>
      <w:r>
        <w:rPr>
          <w:rFonts w:ascii="Calibri" w:cs="Calibri" w:eastAsia="Calibri" w:hAnsi="Calibri"/>
          <w:b/>
          <w:bCs/>
          <w:color w:val="1A1C1E"/>
          <w:sz w:val="28"/>
          <w:szCs w:val="28"/>
        </w:rPr>
        <w:t xml:space="preserve">11. Intellectual property</w:t>
      </w:r>
    </w:p>
    <w:p>
      <w:pPr>
        <w:spacing w:after="120" w:before="0" w:line="276"/>
        <w:jc w:val="left"/>
      </w:pPr>
      <w:r>
        <w:rPr>
          <w:rFonts w:ascii="Calibri" w:cs="Calibri" w:eastAsia="Calibri" w:hAnsi="Calibri"/>
          <w:b w:val="false"/>
          <w:bCs w:val="false"/>
          <w:i w:val="false"/>
          <w:iCs w:val="false"/>
          <w:color w:val="0F1113"/>
          <w:sz w:val="22"/>
          <w:szCs w:val="22"/>
        </w:rPr>
        <w:t xml:space="preserve">ProTouch owns the deliverables produced under this engagement and may use them for internal purposes. STZA retains ownership of its underlying methodologies, frameworks, templates, and tools, including any compliance assessment engine or scoring methodology used in preparing the deliverables.</w:t>
      </w:r>
    </w:p>
    <w:p>
      <w:pPr>
        <w:pStyle w:val="Heading1"/>
        <w:pBdr>
          <w:bottom w:val="single" w:color="C5A059" w:sz="6"/>
        </w:pBdr>
        <w:spacing w:after="120" w:before="240"/>
      </w:pPr>
      <w:r>
        <w:rPr>
          <w:rFonts w:ascii="Calibri" w:cs="Calibri" w:eastAsia="Calibri" w:hAnsi="Calibri"/>
          <w:b/>
          <w:bCs/>
          <w:color w:val="1A1C1E"/>
          <w:sz w:val="28"/>
          <w:szCs w:val="28"/>
        </w:rPr>
        <w:t xml:space="preserve">12. Relationship to future engagement</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is a standalone consulting engagement. It does not commit either party to a subsequent engagement, including (without limitation) a DPO appointment (PDPL), IO appointment (POPIA), ongoing retainer, or monitoring arrangement.</w:t>
      </w:r>
    </w:p>
    <w:p>
      <w:pPr>
        <w:spacing w:after="120" w:before="0" w:line="276"/>
        <w:jc w:val="left"/>
      </w:pPr>
      <w:r>
        <w:rPr>
          <w:rFonts w:ascii="Calibri" w:cs="Calibri" w:eastAsia="Calibri" w:hAnsi="Calibri"/>
          <w:b w:val="false"/>
          <w:bCs w:val="false"/>
          <w:i w:val="false"/>
          <w:iCs w:val="false"/>
          <w:color w:val="0F1113"/>
          <w:sz w:val="22"/>
          <w:szCs w:val="22"/>
        </w:rPr>
        <w:t xml:space="preserve">If both parties wish to explore a subsequent engagement, it will be the subject of a separate scope document with its own terms, including (where applicable) confirmation of professional indemnity insurance cover, supervisory authority registration, and engagement-specific service levels.</w:t>
      </w:r>
    </w:p>
    <w:p>
      <w:pPr>
        <w:pStyle w:val="Heading1"/>
        <w:pBdr>
          <w:bottom w:val="single" w:color="C5A059" w:sz="6"/>
        </w:pBdr>
        <w:spacing w:after="120" w:before="240"/>
      </w:pPr>
      <w:r>
        <w:rPr>
          <w:rFonts w:ascii="Calibri" w:cs="Calibri" w:eastAsia="Calibri" w:hAnsi="Calibri"/>
          <w:b/>
          <w:bCs/>
          <w:color w:val="1A1C1E"/>
          <w:sz w:val="28"/>
          <w:szCs w:val="28"/>
        </w:rPr>
        <w:t xml:space="preserve">13. Engagement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Role</w:t>
            </w:r>
          </w:p>
        </w:tc>
        <w:tc>
          <w:tcPr>
            <w:tcW w:type="dxa" w:w="6000"/>
            <w:tcBorders>
              <w:top w:val="single" w:color="D4C5A9" w:sz="1"/>
              <w:left w:val="single" w:color="D4C5A9" w:sz="1"/>
              <w:bottom w:val="single" w:color="D4C5A9" w:sz="1"/>
              <w:right w:val="single" w:color="D4C5A9" w:sz="1"/>
            </w:tcBorders>
            <w:shd w:fill="1A1C1E" w:val="clear"/>
            <w:vAlign w:val="center"/>
          </w:tcPr>
          <w:p>
            <w:pPr>
              <w:spacing w:after="40" w:before="40"/>
            </w:pPr>
            <w:r>
              <w:rPr>
                <w:rFonts w:ascii="Calibri" w:cs="Calibri" w:eastAsia="Calibri" w:hAnsi="Calibri"/>
                <w:b/>
                <w:bCs/>
                <w:color w:val="FFFFFF"/>
                <w:sz w:val="20"/>
                <w:szCs w:val="20"/>
              </w:rPr>
              <w:t xml:space="preserve">Person</w:t>
            </w:r>
          </w:p>
        </w:tc>
      </w:tr>
      <w:tr>
        <w:tc>
          <w:tcPr>
            <w:tcW w:type="dxa" w:w="3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Engagement principal</w:t>
            </w:r>
          </w:p>
        </w:tc>
        <w:tc>
          <w:tcPr>
            <w:tcW w:type="dxa" w:w="6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bCs/>
                <w:color w:val="0F1113"/>
                <w:sz w:val="20"/>
                <w:szCs w:val="20"/>
              </w:rPr>
              <w:t xml:space="preserve">Nik Mladenovic CA(SA), Director, STZA</w:t>
            </w:r>
          </w:p>
        </w:tc>
      </w:tr>
      <w:tr>
        <w:tc>
          <w:tcPr>
            <w:tcW w:type="dxa" w:w="3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Credentials</w:t>
            </w:r>
          </w:p>
        </w:tc>
        <w:tc>
          <w:tcPr>
            <w:tcW w:type="dxa" w:w="6000"/>
            <w:tcBorders>
              <w:top w:val="single" w:color="D4C5A9" w:sz="1"/>
              <w:left w:val="single" w:color="D4C5A9" w:sz="1"/>
              <w:bottom w:val="single" w:color="D4C5A9" w:sz="1"/>
              <w:right w:val="single" w:color="D4C5A9" w:sz="1"/>
            </w:tcBorders>
            <w:vAlign w:val="center"/>
          </w:tcPr>
          <w:p>
            <w:pPr>
              <w:spacing w:after="40" w:before="40"/>
            </w:pPr>
            <w:r>
              <w:rPr>
                <w:rFonts w:ascii="Calibri" w:cs="Calibri" w:eastAsia="Calibri" w:hAnsi="Calibri"/>
                <w:b w:val="false"/>
                <w:bCs w:val="false"/>
                <w:color w:val="0F1113"/>
                <w:sz w:val="20"/>
                <w:szCs w:val="20"/>
              </w:rPr>
              <w:t xml:space="preserve">SAICA member; Moonstone Managing POPIA; i2 Comply Advanced Online Data Protection and GDPR</w:t>
            </w:r>
          </w:p>
        </w:tc>
      </w:tr>
    </w:tbl>
    <w:p>
      <w:pPr>
        <w:pStyle w:val="Heading1"/>
        <w:pBdr>
          <w:bottom w:val="single" w:color="C5A059" w:sz="6"/>
        </w:pBdr>
        <w:spacing w:after="120" w:before="240"/>
      </w:pPr>
      <w:r>
        <w:rPr>
          <w:rFonts w:ascii="Calibri" w:cs="Calibri" w:eastAsia="Calibri" w:hAnsi="Calibri"/>
          <w:b/>
          <w:bCs/>
          <w:color w:val="1A1C1E"/>
          <w:sz w:val="28"/>
          <w:szCs w:val="28"/>
        </w:rPr>
        <w:t xml:space="preserve">14. Governing law</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scope is governed by the laws of the Republic of South Africa, consistent with the governing law of the NDA between the parties.</w:t>
      </w:r>
    </w:p>
    <w:p>
      <w:pPr>
        <w:pStyle w:val="Heading1"/>
        <w:pBdr>
          <w:bottom w:val="single" w:color="C5A059" w:sz="6"/>
        </w:pBdr>
        <w:spacing w:after="120" w:before="240"/>
      </w:pPr>
      <w:r>
        <w:rPr>
          <w:rFonts w:ascii="Calibri" w:cs="Calibri" w:eastAsia="Calibri" w:hAnsi="Calibri"/>
          <w:b/>
          <w:bCs/>
          <w:color w:val="1A1C1E"/>
          <w:sz w:val="28"/>
          <w:szCs w:val="28"/>
        </w:rPr>
        <w:t xml:space="preserve">15. Acceptance</w:t>
      </w:r>
    </w:p>
    <w:p>
      <w:pPr>
        <w:spacing w:after="120" w:before="0" w:line="276"/>
        <w:jc w:val="left"/>
      </w:pPr>
      <w:r>
        <w:rPr>
          <w:rFonts w:ascii="Calibri" w:cs="Calibri" w:eastAsia="Calibri" w:hAnsi="Calibri"/>
          <w:b w:val="false"/>
          <w:bCs w:val="false"/>
          <w:i w:val="false"/>
          <w:iCs w:val="false"/>
          <w:color w:val="0F1113"/>
          <w:sz w:val="22"/>
          <w:szCs w:val="22"/>
        </w:rPr>
        <w:t xml:space="preserve">This engagement commences on written acceptance by ProTouch (email is sufficient) and payment of the first instalment.</w:t>
      </w:r>
    </w:p>
    <w:p>
      <w:pPr>
        <w:spacing w:after="200" w:before="0" w:line="276"/>
        <w:jc w:val="left"/>
      </w:pPr>
      <w:r>
        <w:rPr>
          <w:rFonts w:ascii="Calibri" w:cs="Calibri" w:eastAsia="Calibri" w:hAnsi="Calibri"/>
          <w:b w:val="false"/>
          <w:bCs w:val="false"/>
          <w:i w:val="false"/>
          <w:iCs w:val="false"/>
          <w:color w:val="0F1113"/>
          <w:sz w:val="22"/>
          <w:szCs w:val="22"/>
        </w:rPr>
        <w:t xml:space="preserve"/>
      </w:r>
    </w:p>
    <w:p>
      <w:pPr>
        <w:pBdr>
          <w:bottom w:val="single" w:color="C5A059" w:sz="6"/>
        </w:pBdr>
        <w:spacing w:after="120" w:before="120"/>
      </w:pPr>
    </w:p>
    <w:p>
      <w:pPr>
        <w:spacing w:after="40" w:before="0" w:line="276"/>
        <w:jc w:val="left"/>
      </w:pPr>
      <w:r>
        <w:rPr>
          <w:rFonts w:ascii="Calibri" w:cs="Calibri" w:eastAsia="Calibri" w:hAnsi="Calibri"/>
          <w:b/>
          <w:bCs/>
          <w:i w:val="false"/>
          <w:iCs w:val="false"/>
          <w:color w:val="0F1113"/>
          <w:sz w:val="22"/>
          <w:szCs w:val="22"/>
        </w:rPr>
        <w:t xml:space="preserve">Sports Tech Africa Limited</w:t>
      </w:r>
    </w:p>
    <w:p>
      <w:pPr>
        <w:spacing w:after="120" w:before="0" w:line="276"/>
        <w:jc w:val="left"/>
      </w:pPr>
      <w:r>
        <w:rPr>
          <w:rFonts w:ascii="Calibri" w:cs="Calibri" w:eastAsia="Calibri" w:hAnsi="Calibri"/>
          <w:b w:val="false"/>
          <w:bCs w:val="false"/>
          <w:i w:val="false"/>
          <w:iCs w:val="false"/>
          <w:color w:val="0F1113"/>
          <w:sz w:val="22"/>
          <w:szCs w:val="22"/>
        </w:rPr>
        <w:t xml:space="preserve">Companies House: 16850337</w:t>
      </w:r>
    </w:p>
    <w:p>
      <w:pPr>
        <w:spacing w:after="120" w:before="0" w:line="276"/>
        <w:jc w:val="left"/>
      </w:pPr>
      <w:r>
        <w:rPr>
          <w:rFonts w:ascii="Calibri" w:cs="Calibri" w:eastAsia="Calibri" w:hAnsi="Calibri"/>
          <w:b w:val="false"/>
          <w:bCs w:val="false"/>
          <w:i w:val="false"/>
          <w:iCs w:val="false"/>
          <w:color w:val="0F1113"/>
          <w:sz w:val="22"/>
          <w:szCs w:val="22"/>
        </w:rPr>
        <w:t xml:space="preserve">Director: Nik Mladenovic CA(SA)</w:t>
      </w:r>
    </w:p>
    <w:p>
      <w:pPr>
        <w:pBdr>
          <w:bottom w:val="single" w:color="C5A059" w:sz="6"/>
        </w:pBdr>
        <w:spacing w:after="120" w:before="120"/>
      </w:pPr>
    </w:p>
    <w:p>
      <w:pPr>
        <w:spacing w:after="120" w:before="0" w:line="276"/>
        <w:jc w:val="center"/>
      </w:pPr>
      <w:r>
        <w:rPr>
          <w:rFonts w:ascii="Calibri" w:cs="Calibri" w:eastAsia="Calibri" w:hAnsi="Calibri"/>
          <w:b w:val="false"/>
          <w:bCs w:val="false"/>
          <w:i/>
          <w:iCs/>
          <w:color w:val="8E9196"/>
          <w:sz w:val="22"/>
          <w:szCs w:val="22"/>
        </w:rPr>
        <w:t xml:space="preserve">Draft — not for distribution without 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E9196"/>
        <w:sz w:val="16"/>
        <w:szCs w:val="16"/>
      </w:rPr>
      <w:t xml:space="preserve">Sports Tech Africa Limited  |  Companies House 16850337  |  Page </w:t>
    </w:r>
    <w:r>
      <w:rPr>
        <w:rFonts w:ascii="Calibri" w:cs="Calibri" w:eastAsia="Calibri" w:hAnsi="Calibri"/>
        <w:color w:val="8E91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E9196"/>
        <w:sz w:val="16"/>
        <w:szCs w:val="16"/>
      </w:rPr>
      <w:t xml:space="preserve">STZA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11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1C1E"/>
      <w:sz w:val="28"/>
      <w:szCs w:val="28"/>
    </w:rPr>
  </w:style>
  <w:style w:type="paragraph" w:styleId="Heading2">
    <w:name w:val="Heading 2"/>
    <w:basedOn w:val="Normal"/>
    <w:next w:val="Normal"/>
    <w:qFormat/>
    <w:pPr>
      <w:spacing w:after="100" w:before="200"/>
    </w:pPr>
    <w:rPr>
      <w:rFonts w:ascii="Calibri" w:cs="Calibri" w:eastAsia="Calibri" w:hAnsi="Calibri"/>
      <w:b/>
      <w:bCs/>
      <w:color w:val="1A1C1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2026-07-23T19:33:34.316Z</dcterms:created>
  <dcterms:modified xsi:type="dcterms:W3CDTF">2026-07-23T19:33:34.337Z</dcterms:modified>
</cp:coreProperties>
</file>

<file path=docProps/custom.xml><?xml version="1.0" encoding="utf-8"?>
<Properties xmlns="http://schemas.openxmlformats.org/officeDocument/2006/custom-properties" xmlns:vt="http://schemas.openxmlformats.org/officeDocument/2006/docPropsVTypes"/>
</file>