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0" w:line="276"/>
        <w:jc w:val="left"/>
      </w:pPr>
      <w:r>
        <w:rPr>
          <w:rFonts w:ascii="Calibri" w:cs="Calibri" w:eastAsia="Calibri" w:hAnsi="Calibri"/>
          <w:b w:val="false"/>
          <w:bCs w:val="false"/>
          <w:i w:val="false"/>
          <w:iCs w:val="false"/>
          <w:color w:val="0F1113"/>
          <w:sz w:val="22"/>
          <w:szCs w:val="22"/>
        </w:rPr>
        <w:t xml:space="preserve"/>
      </w:r>
    </w:p>
    <w:p>
      <w:pPr>
        <w:spacing w:after="600" w:before="0" w:line="276"/>
        <w:jc w:val="left"/>
      </w:pPr>
      <w:r>
        <w:rPr>
          <w:rFonts w:ascii="Calibri" w:cs="Calibri" w:eastAsia="Calibri" w:hAnsi="Calibri"/>
          <w:b w:val="false"/>
          <w:bCs w:val="false"/>
          <w:i w:val="false"/>
          <w:iCs w:val="false"/>
          <w:color w:val="0F1113"/>
          <w:sz w:val="22"/>
          <w:szCs w:val="22"/>
        </w:rPr>
        <w:t xml:space="preserve"/>
      </w:r>
    </w:p>
    <w:p>
      <w:pPr>
        <w:pBdr>
          <w:bottom w:val="single" w:color="C5A059" w:sz="6"/>
        </w:pBdr>
        <w:spacing w:after="120" w:before="120"/>
      </w:pPr>
    </w:p>
    <w:p>
      <w:pPr>
        <w:spacing w:after="80" w:before="0" w:line="276"/>
        <w:jc w:val="center"/>
      </w:pPr>
      <w:r>
        <w:rPr>
          <w:rFonts w:ascii="Calibri" w:cs="Calibri" w:eastAsia="Calibri" w:hAnsi="Calibri"/>
          <w:b/>
          <w:bCs/>
          <w:i w:val="false"/>
          <w:iCs w:val="false"/>
          <w:color w:val="1A1C1E"/>
          <w:sz w:val="40"/>
          <w:szCs w:val="40"/>
        </w:rPr>
        <w:t xml:space="preserve">Engagement scope</w:t>
      </w:r>
    </w:p>
    <w:p>
      <w:pPr>
        <w:spacing w:after="200" w:before="0" w:line="276"/>
        <w:jc w:val="center"/>
      </w:pPr>
      <w:r>
        <w:rPr>
          <w:rFonts w:ascii="Calibri" w:cs="Calibri" w:eastAsia="Calibri" w:hAnsi="Calibri"/>
          <w:b w:val="false"/>
          <w:bCs w:val="false"/>
          <w:i w:val="false"/>
          <w:iCs w:val="false"/>
          <w:color w:val="C5A059"/>
          <w:sz w:val="28"/>
          <w:szCs w:val="28"/>
        </w:rPr>
        <w:t xml:space="preserve">Data Protection Readiness Assessment</w:t>
      </w:r>
    </w:p>
    <w:p>
      <w:pPr>
        <w:pBdr>
          <w:bottom w:val="single" w:color="C5A059" w:sz="6"/>
        </w:pBdr>
        <w:spacing w:after="120" w:before="120"/>
      </w:pPr>
    </w:p>
    <w:p>
      <w:pPr>
        <w:spacing w:after="300" w:before="0" w:line="276"/>
        <w:jc w:val="left"/>
      </w:pPr>
      <w:r>
        <w:rPr>
          <w:rFonts w:ascii="Calibri" w:cs="Calibri" w:eastAsia="Calibri" w:hAnsi="Calibri"/>
          <w:b w:val="false"/>
          <w:bCs w:val="false"/>
          <w:i w:val="false"/>
          <w:iCs w:val="false"/>
          <w:color w:val="0F1113"/>
          <w:sz w:val="22"/>
          <w:szCs w:val="22"/>
        </w:rPr>
        <w:t xml:space="preserve"/>
      </w:r>
    </w:p>
    <w:p>
      <w:pPr>
        <w:spacing w:after="40" w:before="0" w:line="276"/>
        <w:jc w:val="center"/>
      </w:pPr>
      <w:r>
        <w:rPr>
          <w:rFonts w:ascii="Calibri" w:cs="Calibri" w:eastAsia="Calibri" w:hAnsi="Calibri"/>
          <w:b/>
          <w:bCs/>
          <w:i w:val="false"/>
          <w:iCs w:val="false"/>
          <w:color w:val="0F1113"/>
          <w:sz w:val="24"/>
          <w:szCs w:val="24"/>
        </w:rPr>
        <w:t xml:space="preserve">Sports Tech Africa Limited ("STZA")</w:t>
      </w:r>
    </w:p>
    <w:p>
      <w:pPr>
        <w:spacing w:after="40" w:before="0" w:line="276"/>
        <w:jc w:val="center"/>
      </w:pPr>
      <w:r>
        <w:rPr>
          <w:rFonts w:ascii="Calibri" w:cs="Calibri" w:eastAsia="Calibri" w:hAnsi="Calibri"/>
          <w:b w:val="false"/>
          <w:bCs w:val="false"/>
          <w:i/>
          <w:iCs/>
          <w:color w:val="8E9196"/>
          <w:sz w:val="22"/>
          <w:szCs w:val="22"/>
        </w:rPr>
        <w:t xml:space="preserve">for</w:t>
      </w:r>
    </w:p>
    <w:p>
      <w:pPr>
        <w:spacing w:after="300" w:before="0" w:line="276"/>
        <w:jc w:val="center"/>
      </w:pPr>
      <w:r>
        <w:rPr>
          <w:rFonts w:ascii="Calibri" w:cs="Calibri" w:eastAsia="Calibri" w:hAnsi="Calibri"/>
          <w:b/>
          <w:bCs/>
          <w:i w:val="false"/>
          <w:iCs w:val="false"/>
          <w:color w:val="0F1113"/>
          <w:sz w:val="24"/>
          <w:szCs w:val="24"/>
        </w:rPr>
        <w:t xml:space="preserve">ProTouch Sports (Pty) Ltd ("ProTouch")</w:t>
      </w:r>
    </w:p>
    <w:p>
      <w:pPr>
        <w:spacing w:after="200" w:before="0" w:line="276"/>
        <w:jc w:val="center"/>
      </w:pPr>
      <w:r>
        <w:rPr>
          <w:rFonts w:ascii="Calibri" w:cs="Calibri" w:eastAsia="Calibri" w:hAnsi="Calibri"/>
          <w:b w:val="false"/>
          <w:bCs w:val="false"/>
          <w:i/>
          <w:iCs/>
          <w:color w:val="8E9196"/>
          <w:sz w:val="20"/>
          <w:szCs w:val="20"/>
        </w:rPr>
        <w:t xml:space="preserve">Draft v4  |  24 July 2026  |  Subject to final review</w:t>
      </w:r>
    </w:p>
    <w:p>
      <w:r>
        <w:br w:type="page"/>
      </w:r>
    </w:p>
    <w:p>
      <w:pPr>
        <w:pStyle w:val="Heading1"/>
        <w:pBdr>
          <w:bottom w:val="single" w:color="C5A059" w:sz="6"/>
        </w:pBdr>
        <w:spacing w:after="120" w:before="240"/>
      </w:pPr>
      <w:r>
        <w:rPr>
          <w:rFonts w:ascii="Calibri" w:cs="Calibri" w:eastAsia="Calibri" w:hAnsi="Calibri"/>
          <w:b/>
          <w:bCs/>
          <w:color w:val="1A1C1E"/>
          <w:sz w:val="28"/>
          <w:szCs w:val="28"/>
        </w:rPr>
        <w:t xml:space="preserve">1. Background</w:t>
      </w:r>
    </w:p>
    <w:p>
      <w:pPr>
        <w:spacing w:after="120" w:before="0" w:line="276"/>
        <w:jc w:val="left"/>
      </w:pPr>
      <w:r>
        <w:rPr>
          <w:rFonts w:ascii="Calibri" w:cs="Calibri" w:eastAsia="Calibri" w:hAnsi="Calibri"/>
          <w:b w:val="false"/>
          <w:bCs w:val="false"/>
          <w:i w:val="false"/>
          <w:iCs w:val="false"/>
          <w:color w:val="0F1113"/>
          <w:sz w:val="22"/>
          <w:szCs w:val="22"/>
        </w:rPr>
        <w:t xml:space="preserve">ProTouch Sports (Pty) Ltd (registration 2015/151949/07) operates the Podium Pursuit platform, an athlete intelligence and engagement system processing personal data on approximately 6,000 athletes across 62 nations. The platform’s data architecture spans two anchor regulatory regimes: the Protection of Personal Information Act, 2013 (POPIA) in South Africa and the UAE Personal Data Protection Law (Federal Decree-Law No. 45 of 2021, "PDPL"). The platform is also available for download in additional jurisdictions, including the United Kingdom and European Union, which may engage further regulatory obligations.</w:t>
      </w:r>
    </w:p>
    <w:p>
      <w:pPr>
        <w:spacing w:after="120" w:before="0" w:line="276"/>
        <w:jc w:val="left"/>
      </w:pPr>
      <w:r>
        <w:rPr>
          <w:rFonts w:ascii="Calibri" w:cs="Calibri" w:eastAsia="Calibri" w:hAnsi="Calibri"/>
          <w:b w:val="false"/>
          <w:bCs w:val="false"/>
          <w:i w:val="false"/>
          <w:iCs w:val="false"/>
          <w:color w:val="0F1113"/>
          <w:sz w:val="22"/>
          <w:szCs w:val="22"/>
        </w:rPr>
        <w:t xml:space="preserve">ProTouch has undertaken a compliance clean-up exercise and has submitted a document pack for review. This engagement scope sets out the terms on which STZA will conduct a data protection readiness assessment of that document pack and the platform’s compliance posture.</w:t>
      </w:r>
    </w:p>
    <w:p>
      <w:pPr>
        <w:spacing w:after="120" w:before="0" w:line="276"/>
        <w:jc w:val="left"/>
      </w:pPr>
      <w:r>
        <w:rPr>
          <w:rFonts w:ascii="Calibri" w:cs="Calibri" w:eastAsia="Calibri" w:hAnsi="Calibri"/>
          <w:b w:val="false"/>
          <w:bCs w:val="false"/>
          <w:i w:val="false"/>
          <w:iCs w:val="false"/>
          <w:color w:val="0F1113"/>
          <w:sz w:val="22"/>
          <w:szCs w:val="22"/>
        </w:rPr>
        <w:t xml:space="preserve">This engagement is governed by the mutual non-disclosure agreement between the parties dated 26 June 2026 ("NDA"), which continues in full force.</w:t>
      </w:r>
    </w:p>
    <w:p>
      <w:pPr>
        <w:pStyle w:val="Heading1"/>
        <w:pBdr>
          <w:bottom w:val="single" w:color="C5A059" w:sz="6"/>
        </w:pBdr>
        <w:spacing w:after="120" w:before="240"/>
      </w:pPr>
      <w:r>
        <w:rPr>
          <w:rFonts w:ascii="Calibri" w:cs="Calibri" w:eastAsia="Calibri" w:hAnsi="Calibri"/>
          <w:b/>
          <w:bCs/>
          <w:color w:val="1A1C1E"/>
          <w:sz w:val="28"/>
          <w:szCs w:val="28"/>
        </w:rPr>
        <w:t xml:space="preserve">2. Engagement description</w:t>
      </w:r>
    </w:p>
    <w:p>
      <w:pPr>
        <w:spacing w:after="120" w:before="0" w:line="276"/>
        <w:jc w:val="left"/>
      </w:pPr>
      <w:r>
        <w:rPr>
          <w:rFonts w:ascii="Calibri" w:cs="Calibri" w:eastAsia="Calibri" w:hAnsi="Calibri"/>
          <w:b w:val="false"/>
          <w:bCs w:val="false"/>
          <w:i w:val="false"/>
          <w:iCs w:val="false"/>
          <w:color w:val="0F1113"/>
          <w:sz w:val="22"/>
          <w:szCs w:val="22"/>
        </w:rPr>
        <w:t xml:space="preserve">STZA will conduct a </w:t>
      </w:r>
      <w:r>
        <w:rPr>
          <w:rFonts w:ascii="Calibri" w:cs="Calibri" w:eastAsia="Calibri" w:hAnsi="Calibri"/>
          <w:b/>
          <w:bCs/>
          <w:i w:val="false"/>
          <w:iCs w:val="false"/>
          <w:color w:val="0F1113"/>
          <w:sz w:val="22"/>
          <w:szCs w:val="22"/>
        </w:rPr>
        <w:t xml:space="preserve">Data Protection Readiness Assessment</w:t>
      </w:r>
      <w:r>
        <w:rPr>
          <w:rFonts w:ascii="Calibri" w:cs="Calibri" w:eastAsia="Calibri" w:hAnsi="Calibri"/>
          <w:b w:val="false"/>
          <w:bCs w:val="false"/>
          <w:i w:val="false"/>
          <w:iCs w:val="false"/>
          <w:color w:val="0F1113"/>
          <w:sz w:val="22"/>
          <w:szCs w:val="22"/>
        </w:rPr>
        <w:t xml:space="preserve"> — a consulting engagement to review ProTouch’s data protection documentation, identify gaps and inconsistencies, assess compliance posture against applicable regulatory requirements, and produce a prioritised set of findings and recommendations.</w:t>
      </w:r>
    </w:p>
    <w:p>
      <w:pPr>
        <w:pStyle w:val="Heading1"/>
        <w:pBdr>
          <w:bottom w:val="single" w:color="C5A059" w:sz="6"/>
        </w:pBdr>
        <w:spacing w:after="120" w:before="240"/>
      </w:pPr>
      <w:r>
        <w:rPr>
          <w:rFonts w:ascii="Calibri" w:cs="Calibri" w:eastAsia="Calibri" w:hAnsi="Calibri"/>
          <w:b/>
          <w:bCs/>
          <w:color w:val="1A1C1E"/>
          <w:sz w:val="28"/>
          <w:szCs w:val="28"/>
        </w:rPr>
        <w:t xml:space="preserve">3. Scope boundaries and next steps</w:t>
      </w:r>
    </w:p>
    <w:p>
      <w:pPr>
        <w:spacing w:after="120" w:before="0" w:line="276"/>
        <w:jc w:val="left"/>
      </w:pPr>
      <w:r>
        <w:rPr>
          <w:rFonts w:ascii="Calibri" w:cs="Calibri" w:eastAsia="Calibri" w:hAnsi="Calibri"/>
          <w:b w:val="false"/>
          <w:bCs w:val="false"/>
          <w:i w:val="false"/>
          <w:iCs w:val="false"/>
          <w:color w:val="0F1113"/>
          <w:sz w:val="22"/>
          <w:szCs w:val="22"/>
        </w:rPr>
        <w:t xml:space="preserve">This engagement is the first stage in what may become a longer advisory relationship. The boundaries below clarify what this stage covers and what naturally follows later, should both parties wish to continue.</w:t>
      </w:r>
    </w:p>
    <w:p>
      <w:pPr>
        <w:spacing w:after="120" w:before="0" w:line="276"/>
        <w:jc w:val="left"/>
      </w:pPr>
      <w:r>
        <w:rPr>
          <w:rFonts w:ascii="Calibri" w:cs="Calibri" w:eastAsia="Calibri" w:hAnsi="Calibri"/>
          <w:b/>
          <w:bCs/>
          <w:i w:val="false"/>
          <w:iCs w:val="false"/>
          <w:color w:val="0F1113"/>
          <w:sz w:val="22"/>
          <w:szCs w:val="22"/>
        </w:rPr>
        <w:t xml:space="preserve">(a) Advisory, not appointment. </w:t>
      </w:r>
      <w:r>
        <w:rPr>
          <w:rFonts w:ascii="Calibri" w:cs="Calibri" w:eastAsia="Calibri" w:hAnsi="Calibri"/>
          <w:b w:val="false"/>
          <w:bCs w:val="false"/>
          <w:i w:val="false"/>
          <w:iCs w:val="false"/>
          <w:color w:val="0F1113"/>
          <w:sz w:val="22"/>
          <w:szCs w:val="22"/>
        </w:rPr>
        <w:t xml:space="preserve">This engagement is a consulting assessment. It does not constitute an appointment as Data Protection Officer (under PDPL) or Information Officer (under POPIA). Should the assessment indicate that such an appointment would benefit ProTouch, STZA can discuss this as a potential next-stage engagement with its own terms, including confirmation of professional indemnity insurance and any required regulatory notifications.</w:t>
      </w:r>
    </w:p>
    <w:p>
      <w:pPr>
        <w:spacing w:after="120" w:before="0" w:line="276"/>
        <w:jc w:val="left"/>
      </w:pPr>
      <w:r>
        <w:rPr>
          <w:rFonts w:ascii="Calibri" w:cs="Calibri" w:eastAsia="Calibri" w:hAnsi="Calibri"/>
          <w:b/>
          <w:bCs/>
          <w:i w:val="false"/>
          <w:iCs w:val="false"/>
          <w:color w:val="0F1113"/>
          <w:sz w:val="22"/>
          <w:szCs w:val="22"/>
        </w:rPr>
        <w:t xml:space="preserve">(b) Findings and recommendations, not sign-off. </w:t>
      </w:r>
      <w:r>
        <w:rPr>
          <w:rFonts w:ascii="Calibri" w:cs="Calibri" w:eastAsia="Calibri" w:hAnsi="Calibri"/>
          <w:b w:val="false"/>
          <w:bCs w:val="false"/>
          <w:i w:val="false"/>
          <w:iCs w:val="false"/>
          <w:color w:val="0F1113"/>
          <w:sz w:val="22"/>
          <w:szCs w:val="22"/>
        </w:rPr>
        <w:t xml:space="preserve">The deliverables identify gaps, risks, and recommended actions. They are advisory in nature and do not constitute approval, certification, or sign-off of any document, process, or system. ProTouch should not represent to third parties that any document has been approved by STZA.</w:t>
      </w:r>
    </w:p>
    <w:p>
      <w:pPr>
        <w:spacing w:after="120" w:before="0" w:line="276"/>
        <w:jc w:val="left"/>
      </w:pPr>
      <w:r>
        <w:rPr>
          <w:rFonts w:ascii="Calibri" w:cs="Calibri" w:eastAsia="Calibri" w:hAnsi="Calibri"/>
          <w:b/>
          <w:bCs/>
          <w:i w:val="false"/>
          <w:iCs w:val="false"/>
          <w:color w:val="0F1113"/>
          <w:sz w:val="22"/>
          <w:szCs w:val="22"/>
        </w:rPr>
        <w:t xml:space="preserve">(c) Regulatory and compliance perspective, not legal advice. </w:t>
      </w:r>
      <w:r>
        <w:rPr>
          <w:rFonts w:ascii="Calibri" w:cs="Calibri" w:eastAsia="Calibri" w:hAnsi="Calibri"/>
          <w:b w:val="false"/>
          <w:bCs w:val="false"/>
          <w:i w:val="false"/>
          <w:iCs w:val="false"/>
          <w:color w:val="0F1113"/>
          <w:sz w:val="22"/>
          <w:szCs w:val="22"/>
        </w:rPr>
        <w:t xml:space="preserve">The engagement principal, Nik Mladenovic, is a Chartered Accountant (South Africa) with data protection credentials (Moonstone Managing POPIA; i2 Comply Advanced Online Data Protection and GDPR). He brings a regulatory compliance lens, not a legal one. Where findings raise questions of law (including lawful basis interpretation, cross-border transfer mechanisms, or contractual liability), ProTouch should obtain independent legal advice.</w:t>
      </w:r>
    </w:p>
    <w:p>
      <w:pPr>
        <w:spacing w:after="120" w:before="0" w:line="276"/>
        <w:jc w:val="left"/>
      </w:pPr>
      <w:r>
        <w:rPr>
          <w:rFonts w:ascii="Calibri" w:cs="Calibri" w:eastAsia="Calibri" w:hAnsi="Calibri"/>
          <w:b/>
          <w:bCs/>
          <w:i w:val="false"/>
          <w:iCs w:val="false"/>
          <w:color w:val="0F1113"/>
          <w:sz w:val="22"/>
          <w:szCs w:val="22"/>
        </w:rPr>
        <w:t xml:space="preserve">(d) Jurisdictional depth. </w:t>
      </w:r>
      <w:r>
        <w:rPr>
          <w:rFonts w:ascii="Calibri" w:cs="Calibri" w:eastAsia="Calibri" w:hAnsi="Calibri"/>
          <w:b w:val="false"/>
          <w:bCs w:val="false"/>
          <w:i w:val="false"/>
          <w:iCs w:val="false"/>
          <w:color w:val="0F1113"/>
          <w:sz w:val="22"/>
          <w:szCs w:val="22"/>
        </w:rPr>
        <w:t xml:space="preserve">This assessment focuses primarily on POPIA (South Africa). Observations on UAE PDPL compliance are included where material gaps or risks are identified, but these are flagged as observations requiring specialist confirmation rather than formal assessments. Where the assessment identifies that the platform’s availability in other jurisdictions (including the United Kingdom and European Union) may engage additional regulatory obligations, these will be noted as findings for specialist follow-up. Deeper PDPL advisory and dedicated UK GDPR or EU GDPR assessments can be scoped as follow-on engagements.</w:t>
      </w:r>
    </w:p>
    <w:p>
      <w:pPr>
        <w:pStyle w:val="Heading1"/>
        <w:pBdr>
          <w:bottom w:val="single" w:color="C5A059" w:sz="6"/>
        </w:pBdr>
        <w:spacing w:after="120" w:before="240"/>
      </w:pPr>
      <w:r>
        <w:rPr>
          <w:rFonts w:ascii="Calibri" w:cs="Calibri" w:eastAsia="Calibri" w:hAnsi="Calibri"/>
          <w:b/>
          <w:bCs/>
          <w:color w:val="1A1C1E"/>
          <w:sz w:val="28"/>
          <w:szCs w:val="28"/>
        </w:rPr>
        <w:t xml:space="preserve">4. Scope of services</w:t>
      </w:r>
    </w:p>
    <w:p>
      <w:pPr>
        <w:pStyle w:val="Heading2"/>
        <w:spacing w:after="120" w:before="240"/>
      </w:pPr>
      <w:r>
        <w:rPr>
          <w:rFonts w:ascii="Calibri" w:cs="Calibri" w:eastAsia="Calibri" w:hAnsi="Calibri"/>
          <w:b/>
          <w:bCs/>
          <w:color w:val="1A1C1E"/>
          <w:sz w:val="24"/>
          <w:szCs w:val="24"/>
        </w:rPr>
        <w:t xml:space="preserve">4.1 Document pack review</w:t>
      </w:r>
    </w:p>
    <w:p>
      <w:pPr>
        <w:spacing w:after="120" w:before="0" w:line="276"/>
        <w:jc w:val="left"/>
      </w:pPr>
      <w:r>
        <w:rPr>
          <w:rFonts w:ascii="Calibri" w:cs="Calibri" w:eastAsia="Calibri" w:hAnsi="Calibri"/>
          <w:b w:val="false"/>
          <w:bCs w:val="false"/>
          <w:i w:val="false"/>
          <w:iCs w:val="false"/>
          <w:color w:val="0F1113"/>
          <w:sz w:val="22"/>
          <w:szCs w:val="22"/>
        </w:rPr>
        <w:t xml:space="preserve">Review of the following documents submitted by ProTouch (and any additional documents provided before the assessment commences):</w:t>
      </w:r>
    </w:p>
    <w:p>
      <w:pPr>
        <w:pStyle w:val="ListParagraph"/>
        <w:numPr>
          <w:ilvl w:val="0"/>
          <w:numId w:val="2"/>
        </w:numPr>
        <w:spacing w:after="60"/>
        <w:ind w:left="720" w:hanging="360"/>
      </w:pPr>
      <w:r>
        <w:rPr>
          <w:rFonts w:ascii="Calibri" w:cs="Calibri" w:eastAsia="Calibri" w:hAnsi="Calibri"/>
          <w:color w:val="0F1113"/>
          <w:sz w:val="22"/>
          <w:szCs w:val="22"/>
        </w:rPr>
        <w:t xml:space="preserve">Podium Pursuit Privacy Policy v4.0 (June 2026)</w:t>
      </w:r>
    </w:p>
    <w:p>
      <w:pPr>
        <w:pStyle w:val="ListParagraph"/>
        <w:numPr>
          <w:ilvl w:val="0"/>
          <w:numId w:val="2"/>
        </w:numPr>
        <w:spacing w:after="60"/>
        <w:ind w:left="720" w:hanging="360"/>
      </w:pPr>
      <w:r>
        <w:rPr>
          <w:rFonts w:ascii="Calibri" w:cs="Calibri" w:eastAsia="Calibri" w:hAnsi="Calibri"/>
          <w:color w:val="0F1113"/>
          <w:sz w:val="22"/>
          <w:szCs w:val="22"/>
        </w:rPr>
        <w:t xml:space="preserve">Podium Pursuit Cookie Policy v1.0 (June 2026)</w:t>
      </w:r>
    </w:p>
    <w:p>
      <w:pPr>
        <w:pStyle w:val="ListParagraph"/>
        <w:numPr>
          <w:ilvl w:val="0"/>
          <w:numId w:val="2"/>
        </w:numPr>
        <w:spacing w:after="60"/>
        <w:ind w:left="720" w:hanging="360"/>
      </w:pPr>
      <w:r>
        <w:rPr>
          <w:rFonts w:ascii="Calibri" w:cs="Calibri" w:eastAsia="Calibri" w:hAnsi="Calibri"/>
          <w:color w:val="0F1113"/>
          <w:sz w:val="22"/>
          <w:szCs w:val="22"/>
        </w:rPr>
        <w:t xml:space="preserve">DPO Review Pack — Positioning Change v1.1</w:t>
      </w:r>
    </w:p>
    <w:p>
      <w:pPr>
        <w:pStyle w:val="ListParagraph"/>
        <w:numPr>
          <w:ilvl w:val="0"/>
          <w:numId w:val="2"/>
        </w:numPr>
        <w:spacing w:after="60"/>
        <w:ind w:left="720" w:hanging="360"/>
      </w:pPr>
      <w:r>
        <w:rPr>
          <w:rFonts w:ascii="Calibri" w:cs="Calibri" w:eastAsia="Calibri" w:hAnsi="Calibri"/>
          <w:color w:val="0F1113"/>
          <w:sz w:val="22"/>
          <w:szCs w:val="22"/>
        </w:rPr>
        <w:t xml:space="preserve">Annexure H — Data Protection (investor governance posture)</w:t>
      </w:r>
    </w:p>
    <w:p>
      <w:pPr>
        <w:pStyle w:val="ListParagraph"/>
        <w:numPr>
          <w:ilvl w:val="0"/>
          <w:numId w:val="2"/>
        </w:numPr>
        <w:spacing w:after="60"/>
        <w:ind w:left="720" w:hanging="360"/>
      </w:pPr>
      <w:r>
        <w:rPr>
          <w:rFonts w:ascii="Calibri" w:cs="Calibri" w:eastAsia="Calibri" w:hAnsi="Calibri"/>
          <w:color w:val="0F1113"/>
          <w:sz w:val="22"/>
          <w:szCs w:val="22"/>
        </w:rPr>
        <w:t xml:space="preserve">Fund Your Passion Terms of Use v1.0</w:t>
      </w:r>
    </w:p>
    <w:p>
      <w:pPr>
        <w:pStyle w:val="ListParagraph"/>
        <w:numPr>
          <w:ilvl w:val="0"/>
          <w:numId w:val="2"/>
        </w:numPr>
        <w:spacing w:after="60"/>
        <w:ind w:left="720" w:hanging="360"/>
      </w:pPr>
      <w:r>
        <w:rPr>
          <w:rFonts w:ascii="Calibri" w:cs="Calibri" w:eastAsia="Calibri" w:hAnsi="Calibri"/>
          <w:color w:val="0F1113"/>
          <w:sz w:val="22"/>
          <w:szCs w:val="22"/>
        </w:rPr>
        <w:t xml:space="preserve">Podium Pursuit Complete FAQ v1.1</w:t>
      </w:r>
    </w:p>
    <w:p>
      <w:pPr>
        <w:pStyle w:val="ListParagraph"/>
        <w:numPr>
          <w:ilvl w:val="0"/>
          <w:numId w:val="2"/>
        </w:numPr>
        <w:spacing w:after="60"/>
        <w:ind w:left="720" w:hanging="360"/>
      </w:pPr>
      <w:r>
        <w:rPr>
          <w:rFonts w:ascii="Calibri" w:cs="Calibri" w:eastAsia="Calibri" w:hAnsi="Calibri"/>
          <w:color w:val="0F1113"/>
          <w:sz w:val="22"/>
          <w:szCs w:val="22"/>
        </w:rPr>
        <w:t xml:space="preserve">Podium Pursuit Introduction Primer</w:t>
      </w:r>
    </w:p>
    <w:p>
      <w:pPr>
        <w:pStyle w:val="ListParagraph"/>
        <w:numPr>
          <w:ilvl w:val="0"/>
          <w:numId w:val="2"/>
        </w:numPr>
        <w:spacing w:after="60"/>
        <w:ind w:left="720" w:hanging="360"/>
      </w:pPr>
      <w:r>
        <w:rPr>
          <w:rFonts w:ascii="Calibri" w:cs="Calibri" w:eastAsia="Calibri" w:hAnsi="Calibri"/>
          <w:color w:val="0F1113"/>
          <w:sz w:val="22"/>
          <w:szCs w:val="22"/>
        </w:rPr>
        <w:t xml:space="preserve">DPO Cover Note</w:t>
      </w:r>
    </w:p>
    <w:p>
      <w:pPr>
        <w:spacing w:after="120" w:before="120" w:line="276"/>
        <w:jc w:val="left"/>
      </w:pPr>
      <w:r>
        <w:rPr>
          <w:rFonts w:ascii="Calibri" w:cs="Calibri" w:eastAsia="Calibri" w:hAnsi="Calibri"/>
          <w:b w:val="false"/>
          <w:bCs w:val="false"/>
          <w:i w:val="false"/>
          <w:iCs w:val="false"/>
          <w:color w:val="0F1113"/>
          <w:sz w:val="22"/>
          <w:szCs w:val="22"/>
        </w:rPr>
        <w:t xml:space="preserve">The review will assess each document for:</w:t>
      </w:r>
    </w:p>
    <w:p>
      <w:pPr>
        <w:pStyle w:val="ListParagraph"/>
        <w:numPr>
          <w:ilvl w:val="0"/>
          <w:numId w:val="2"/>
        </w:numPr>
        <w:spacing w:after="60"/>
        <w:ind w:left="720" w:hanging="360"/>
      </w:pPr>
      <w:r>
        <w:rPr>
          <w:rFonts w:ascii="Calibri" w:cs="Calibri" w:eastAsia="Calibri" w:hAnsi="Calibri"/>
          <w:color w:val="0F1113"/>
          <w:sz w:val="22"/>
          <w:szCs w:val="22"/>
        </w:rPr>
        <w:t xml:space="preserve">Internal consistency and alignment with the other documents in the pack</w:t>
      </w:r>
    </w:p>
    <w:p>
      <w:pPr>
        <w:pStyle w:val="ListParagraph"/>
        <w:numPr>
          <w:ilvl w:val="0"/>
          <w:numId w:val="2"/>
        </w:numPr>
        <w:spacing w:after="60"/>
        <w:ind w:left="720" w:hanging="360"/>
      </w:pPr>
      <w:r>
        <w:rPr>
          <w:rFonts w:ascii="Calibri" w:cs="Calibri" w:eastAsia="Calibri" w:hAnsi="Calibri"/>
          <w:color w:val="0F1113"/>
          <w:sz w:val="22"/>
          <w:szCs w:val="22"/>
        </w:rPr>
        <w:t xml:space="preserve">Accuracy of regulatory references and lawful basis assertions</w:t>
      </w:r>
    </w:p>
    <w:p>
      <w:pPr>
        <w:pStyle w:val="ListParagraph"/>
        <w:numPr>
          <w:ilvl w:val="0"/>
          <w:numId w:val="2"/>
        </w:numPr>
        <w:spacing w:after="60"/>
        <w:ind w:left="720" w:hanging="360"/>
      </w:pPr>
      <w:r>
        <w:rPr>
          <w:rFonts w:ascii="Calibri" w:cs="Calibri" w:eastAsia="Calibri" w:hAnsi="Calibri"/>
          <w:color w:val="0F1113"/>
          <w:sz w:val="22"/>
          <w:szCs w:val="22"/>
        </w:rPr>
        <w:t xml:space="preserve">Coverage of required disclosures and commitments under POPIA (primary focus), with observations on PDPL</w:t>
      </w:r>
    </w:p>
    <w:p>
      <w:pPr>
        <w:pStyle w:val="ListParagraph"/>
        <w:numPr>
          <w:ilvl w:val="0"/>
          <w:numId w:val="2"/>
        </w:numPr>
        <w:spacing w:after="60"/>
        <w:ind w:left="720" w:hanging="360"/>
      </w:pPr>
      <w:r>
        <w:rPr>
          <w:rFonts w:ascii="Calibri" w:cs="Calibri" w:eastAsia="Calibri" w:hAnsi="Calibri"/>
          <w:color w:val="0F1113"/>
          <w:sz w:val="22"/>
          <w:szCs w:val="22"/>
        </w:rPr>
        <w:t xml:space="preserve">Gaps, ambiguities, or statements that may create unintended commitments or liability</w:t>
      </w:r>
    </w:p>
    <w:p>
      <w:pPr>
        <w:pStyle w:val="Heading2"/>
        <w:spacing w:after="120" w:before="240"/>
      </w:pPr>
      <w:r>
        <w:rPr>
          <w:rFonts w:ascii="Calibri" w:cs="Calibri" w:eastAsia="Calibri" w:hAnsi="Calibri"/>
          <w:b/>
          <w:bCs/>
          <w:color w:val="1A1C1E"/>
          <w:sz w:val="24"/>
          <w:szCs w:val="24"/>
        </w:rPr>
        <w:t xml:space="preserve">4.2 Missing documents identification</w:t>
      </w:r>
    </w:p>
    <w:p>
      <w:pPr>
        <w:spacing w:after="120" w:before="0" w:line="276"/>
        <w:jc w:val="left"/>
      </w:pPr>
      <w:r>
        <w:rPr>
          <w:rFonts w:ascii="Calibri" w:cs="Calibri" w:eastAsia="Calibri" w:hAnsi="Calibri"/>
          <w:b w:val="false"/>
          <w:bCs w:val="false"/>
          <w:i w:val="false"/>
          <w:iCs w:val="false"/>
          <w:color w:val="0F1113"/>
          <w:sz w:val="22"/>
          <w:szCs w:val="22"/>
        </w:rPr>
        <w:t xml:space="preserve">Identification and prioritisation of documents that should exist to support ProTouch’s data protection posture but have not been provided, including (without limitation) Data Protection Impact Assessments, PAIA Section 51 manual, operator/processor agreements, breach notification procedures, and Information Regulator registration evidence.</w:t>
      </w:r>
    </w:p>
    <w:p>
      <w:pPr>
        <w:pStyle w:val="Heading2"/>
        <w:spacing w:after="120" w:before="240"/>
      </w:pPr>
      <w:r>
        <w:rPr>
          <w:rFonts w:ascii="Calibri" w:cs="Calibri" w:eastAsia="Calibri" w:hAnsi="Calibri"/>
          <w:b/>
          <w:bCs/>
          <w:color w:val="1A1C1E"/>
          <w:sz w:val="24"/>
          <w:szCs w:val="24"/>
        </w:rPr>
        <w:t xml:space="preserve">4.3 Compliance posture assessment</w:t>
      </w:r>
    </w:p>
    <w:p>
      <w:pPr>
        <w:spacing w:after="120" w:before="0" w:line="276"/>
        <w:jc w:val="left"/>
      </w:pPr>
      <w:r>
        <w:rPr>
          <w:rFonts w:ascii="Calibri" w:cs="Calibri" w:eastAsia="Calibri" w:hAnsi="Calibri"/>
          <w:b/>
          <w:bCs/>
          <w:i w:val="false"/>
          <w:iCs w:val="false"/>
          <w:color w:val="0F1113"/>
          <w:sz w:val="22"/>
          <w:szCs w:val="22"/>
        </w:rPr>
        <w:t xml:space="preserve">Primary assessment — POPIA (South Africa). </w:t>
      </w:r>
      <w:r>
        <w:rPr>
          <w:rFonts w:ascii="Calibri" w:cs="Calibri" w:eastAsia="Calibri" w:hAnsi="Calibri"/>
          <w:b w:val="false"/>
          <w:bCs w:val="false"/>
          <w:i w:val="false"/>
          <w:iCs w:val="false"/>
          <w:color w:val="0F1113"/>
          <w:sz w:val="22"/>
          <w:szCs w:val="22"/>
        </w:rPr>
        <w:t xml:space="preserve">A structured assessment of ProTouch’s compliance posture against POPIA requirements, covering the following domains:</w:t>
      </w:r>
    </w:p>
    <w:p>
      <w:pPr>
        <w:pStyle w:val="ListParagraph"/>
        <w:numPr>
          <w:ilvl w:val="0"/>
          <w:numId w:val="2"/>
        </w:numPr>
        <w:spacing w:after="60"/>
        <w:ind w:left="720" w:hanging="360"/>
      </w:pPr>
      <w:r>
        <w:rPr>
          <w:rFonts w:ascii="Calibri" w:cs="Calibri" w:eastAsia="Calibri" w:hAnsi="Calibri"/>
          <w:color w:val="0F1113"/>
          <w:sz w:val="22"/>
          <w:szCs w:val="22"/>
        </w:rPr>
        <w:t xml:space="preserve">Lawful basis and conditions for processing</w:t>
      </w:r>
    </w:p>
    <w:p>
      <w:pPr>
        <w:pStyle w:val="ListParagraph"/>
        <w:numPr>
          <w:ilvl w:val="0"/>
          <w:numId w:val="2"/>
        </w:numPr>
        <w:spacing w:after="60"/>
        <w:ind w:left="720" w:hanging="360"/>
      </w:pPr>
      <w:r>
        <w:rPr>
          <w:rFonts w:ascii="Calibri" w:cs="Calibri" w:eastAsia="Calibri" w:hAnsi="Calibri"/>
          <w:color w:val="0F1113"/>
          <w:sz w:val="22"/>
          <w:szCs w:val="22"/>
        </w:rPr>
        <w:t xml:space="preserve">Data subject rights and mechanisms</w:t>
      </w:r>
    </w:p>
    <w:p>
      <w:pPr>
        <w:pStyle w:val="ListParagraph"/>
        <w:numPr>
          <w:ilvl w:val="0"/>
          <w:numId w:val="2"/>
        </w:numPr>
        <w:spacing w:after="60"/>
        <w:ind w:left="720" w:hanging="360"/>
      </w:pPr>
      <w:r>
        <w:rPr>
          <w:rFonts w:ascii="Calibri" w:cs="Calibri" w:eastAsia="Calibri" w:hAnsi="Calibri"/>
          <w:color w:val="0F1113"/>
          <w:sz w:val="22"/>
          <w:szCs w:val="22"/>
        </w:rPr>
        <w:t xml:space="preserve">Cross-border transfer safeguards</w:t>
      </w:r>
    </w:p>
    <w:p>
      <w:pPr>
        <w:pStyle w:val="ListParagraph"/>
        <w:numPr>
          <w:ilvl w:val="0"/>
          <w:numId w:val="2"/>
        </w:numPr>
        <w:spacing w:after="60"/>
        <w:ind w:left="720" w:hanging="360"/>
      </w:pPr>
      <w:r>
        <w:rPr>
          <w:rFonts w:ascii="Calibri" w:cs="Calibri" w:eastAsia="Calibri" w:hAnsi="Calibri"/>
          <w:color w:val="0F1113"/>
          <w:sz w:val="22"/>
          <w:szCs w:val="22"/>
        </w:rPr>
        <w:t xml:space="preserve">Operator/processor management and agreements</w:t>
      </w:r>
    </w:p>
    <w:p>
      <w:pPr>
        <w:pStyle w:val="ListParagraph"/>
        <w:numPr>
          <w:ilvl w:val="0"/>
          <w:numId w:val="2"/>
        </w:numPr>
        <w:spacing w:after="60"/>
        <w:ind w:left="720" w:hanging="360"/>
      </w:pPr>
      <w:r>
        <w:rPr>
          <w:rFonts w:ascii="Calibri" w:cs="Calibri" w:eastAsia="Calibri" w:hAnsi="Calibri"/>
          <w:color w:val="0F1113"/>
          <w:sz w:val="22"/>
          <w:szCs w:val="22"/>
        </w:rPr>
        <w:t xml:space="preserve">Breach notification readiness</w:t>
      </w:r>
    </w:p>
    <w:p>
      <w:pPr>
        <w:pStyle w:val="ListParagraph"/>
        <w:numPr>
          <w:ilvl w:val="0"/>
          <w:numId w:val="2"/>
        </w:numPr>
        <w:spacing w:after="60"/>
        <w:ind w:left="720" w:hanging="360"/>
      </w:pPr>
      <w:r>
        <w:rPr>
          <w:rFonts w:ascii="Calibri" w:cs="Calibri" w:eastAsia="Calibri" w:hAnsi="Calibri"/>
          <w:color w:val="0F1113"/>
          <w:sz w:val="22"/>
          <w:szCs w:val="22"/>
        </w:rPr>
        <w:t xml:space="preserve">Special categories and sensitive data handling</w:t>
      </w:r>
    </w:p>
    <w:p>
      <w:pPr>
        <w:pStyle w:val="ListParagraph"/>
        <w:numPr>
          <w:ilvl w:val="0"/>
          <w:numId w:val="2"/>
        </w:numPr>
        <w:spacing w:after="60"/>
        <w:ind w:left="720" w:hanging="360"/>
      </w:pPr>
      <w:r>
        <w:rPr>
          <w:rFonts w:ascii="Calibri" w:cs="Calibri" w:eastAsia="Calibri" w:hAnsi="Calibri"/>
          <w:color w:val="0F1113"/>
          <w:sz w:val="22"/>
          <w:szCs w:val="22"/>
        </w:rPr>
        <w:t xml:space="preserve">Records of processing (ROPA readiness)</w:t>
      </w:r>
    </w:p>
    <w:p>
      <w:pPr>
        <w:pStyle w:val="ListParagraph"/>
        <w:numPr>
          <w:ilvl w:val="0"/>
          <w:numId w:val="2"/>
        </w:numPr>
        <w:spacing w:after="60"/>
        <w:ind w:left="720" w:hanging="360"/>
      </w:pPr>
      <w:r>
        <w:rPr>
          <w:rFonts w:ascii="Calibri" w:cs="Calibri" w:eastAsia="Calibri" w:hAnsi="Calibri"/>
          <w:color w:val="0F1113"/>
          <w:sz w:val="22"/>
          <w:szCs w:val="22"/>
        </w:rPr>
        <w:t xml:space="preserve">Under-18 exclusion implementation</w:t>
      </w:r>
    </w:p>
    <w:p>
      <w:pPr>
        <w:pStyle w:val="ListParagraph"/>
        <w:numPr>
          <w:ilvl w:val="0"/>
          <w:numId w:val="2"/>
        </w:numPr>
        <w:spacing w:after="60"/>
        <w:ind w:left="720" w:hanging="360"/>
      </w:pPr>
      <w:r>
        <w:rPr>
          <w:rFonts w:ascii="Calibri" w:cs="Calibri" w:eastAsia="Calibri" w:hAnsi="Calibri"/>
          <w:color w:val="0F1113"/>
          <w:sz w:val="22"/>
          <w:szCs w:val="22"/>
        </w:rPr>
        <w:t xml:space="preserve">Cookie and ePrivacy compliance</w:t>
      </w:r>
    </w:p>
    <w:p>
      <w:pPr>
        <w:pStyle w:val="ListParagraph"/>
        <w:numPr>
          <w:ilvl w:val="0"/>
          <w:numId w:val="2"/>
        </w:numPr>
        <w:spacing w:after="60"/>
        <w:ind w:left="720" w:hanging="360"/>
      </w:pPr>
      <w:r>
        <w:rPr>
          <w:rFonts w:ascii="Calibri" w:cs="Calibri" w:eastAsia="Calibri" w:hAnsi="Calibri"/>
          <w:color w:val="0F1113"/>
          <w:sz w:val="22"/>
          <w:szCs w:val="22"/>
        </w:rPr>
        <w:t xml:space="preserve">AI processing transparency and governance</w:t>
      </w:r>
    </w:p>
    <w:p>
      <w:pPr>
        <w:spacing w:after="120" w:before="120" w:line="276"/>
        <w:jc w:val="left"/>
      </w:pPr>
      <w:r>
        <w:rPr>
          <w:rFonts w:ascii="Calibri" w:cs="Calibri" w:eastAsia="Calibri" w:hAnsi="Calibri"/>
          <w:b/>
          <w:bCs/>
          <w:i w:val="false"/>
          <w:iCs w:val="false"/>
          <w:color w:val="0F1113"/>
          <w:sz w:val="22"/>
          <w:szCs w:val="22"/>
        </w:rPr>
        <w:t xml:space="preserve">Cross-reference observations — UAE PDPL. </w:t>
      </w:r>
      <w:r>
        <w:rPr>
          <w:rFonts w:ascii="Calibri" w:cs="Calibri" w:eastAsia="Calibri" w:hAnsi="Calibri"/>
          <w:b w:val="false"/>
          <w:bCs w:val="false"/>
          <w:i w:val="false"/>
          <w:iCs w:val="false"/>
          <w:color w:val="0F1113"/>
          <w:sz w:val="22"/>
          <w:szCs w:val="22"/>
        </w:rPr>
        <w:t xml:space="preserve">Where the POPIA assessment identifies gaps or risks that also have implications under the UAE PDPL, these will be noted as observations. These observations flag areas for attention but are not a formal assessment against that framework. Deeper PDPL advisory can be scoped as follow-on work.</w:t>
      </w:r>
    </w:p>
    <w:p>
      <w:pPr>
        <w:pStyle w:val="Heading2"/>
        <w:spacing w:after="120" w:before="240"/>
      </w:pPr>
      <w:r>
        <w:rPr>
          <w:rFonts w:ascii="Calibri" w:cs="Calibri" w:eastAsia="Calibri" w:hAnsi="Calibri"/>
          <w:b/>
          <w:bCs/>
          <w:color w:val="1A1C1E"/>
          <w:sz w:val="24"/>
          <w:szCs w:val="24"/>
        </w:rPr>
        <w:t xml:space="preserve">4.4 Platform walkthrough</w:t>
      </w:r>
    </w:p>
    <w:p>
      <w:pPr>
        <w:spacing w:after="120" w:before="0" w:line="276"/>
        <w:jc w:val="left"/>
      </w:pPr>
      <w:r>
        <w:rPr>
          <w:rFonts w:ascii="Calibri" w:cs="Calibri" w:eastAsia="Calibri" w:hAnsi="Calibri"/>
          <w:b w:val="false"/>
          <w:bCs w:val="false"/>
          <w:i w:val="false"/>
          <w:iCs w:val="false"/>
          <w:color w:val="0F1113"/>
          <w:sz w:val="22"/>
          <w:szCs w:val="22"/>
        </w:rPr>
        <w:t xml:space="preserve">A brief guided walkthrough of the live Podium Pursuit platform to verify:</w:t>
      </w:r>
    </w:p>
    <w:p>
      <w:pPr>
        <w:pStyle w:val="ListParagraph"/>
        <w:numPr>
          <w:ilvl w:val="0"/>
          <w:numId w:val="2"/>
        </w:numPr>
        <w:spacing w:after="60"/>
        <w:ind w:left="720" w:hanging="360"/>
      </w:pPr>
      <w:r>
        <w:rPr>
          <w:rFonts w:ascii="Calibri" w:cs="Calibri" w:eastAsia="Calibri" w:hAnsi="Calibri"/>
          <w:color w:val="0F1113"/>
          <w:sz w:val="22"/>
          <w:szCs w:val="22"/>
        </w:rPr>
        <w:t xml:space="preserve">Privacy notice placement and accessibility</w:t>
      </w:r>
    </w:p>
    <w:p>
      <w:pPr>
        <w:pStyle w:val="ListParagraph"/>
        <w:numPr>
          <w:ilvl w:val="0"/>
          <w:numId w:val="2"/>
        </w:numPr>
        <w:spacing w:after="60"/>
        <w:ind w:left="720" w:hanging="360"/>
      </w:pPr>
      <w:r>
        <w:rPr>
          <w:rFonts w:ascii="Calibri" w:cs="Calibri" w:eastAsia="Calibri" w:hAnsi="Calibri"/>
          <w:color w:val="0F1113"/>
          <w:sz w:val="22"/>
          <w:szCs w:val="22"/>
        </w:rPr>
        <w:t xml:space="preserve">Cookie consent mechanism implementation</w:t>
      </w:r>
    </w:p>
    <w:p>
      <w:pPr>
        <w:pStyle w:val="ListParagraph"/>
        <w:numPr>
          <w:ilvl w:val="0"/>
          <w:numId w:val="2"/>
        </w:numPr>
        <w:spacing w:after="60"/>
        <w:ind w:left="720" w:hanging="360"/>
      </w:pPr>
      <w:r>
        <w:rPr>
          <w:rFonts w:ascii="Calibri" w:cs="Calibri" w:eastAsia="Calibri" w:hAnsi="Calibri"/>
          <w:color w:val="0F1113"/>
          <w:sz w:val="22"/>
          <w:szCs w:val="22"/>
        </w:rPr>
        <w:t xml:space="preserve">Data subject request mechanisms</w:t>
      </w:r>
    </w:p>
    <w:p>
      <w:pPr>
        <w:pStyle w:val="ListParagraph"/>
        <w:numPr>
          <w:ilvl w:val="0"/>
          <w:numId w:val="2"/>
        </w:numPr>
        <w:spacing w:after="60"/>
        <w:ind w:left="720" w:hanging="360"/>
      </w:pPr>
      <w:r>
        <w:rPr>
          <w:rFonts w:ascii="Calibri" w:cs="Calibri" w:eastAsia="Calibri" w:hAnsi="Calibri"/>
          <w:color w:val="0F1113"/>
          <w:sz w:val="22"/>
          <w:szCs w:val="22"/>
        </w:rPr>
        <w:t xml:space="preserve">Any visible discrepancies between documentation and live operation</w:t>
      </w:r>
    </w:p>
    <w:p>
      <w:pPr>
        <w:spacing w:after="120" w:before="0" w:line="276"/>
        <w:jc w:val="left"/>
      </w:pPr>
      <w:r>
        <w:rPr>
          <w:rFonts w:ascii="Calibri" w:cs="Calibri" w:eastAsia="Calibri" w:hAnsi="Calibri"/>
          <w:b w:val="false"/>
          <w:bCs w:val="false"/>
          <w:i/>
          <w:iCs/>
          <w:color w:val="0F1113"/>
          <w:sz w:val="22"/>
          <w:szCs w:val="22"/>
        </w:rPr>
        <w:t xml:space="preserve">This is a desktop review, not a penetration test or technical security audit.</w:t>
      </w:r>
    </w:p>
    <w:p>
      <w:pPr>
        <w:pStyle w:val="Heading2"/>
        <w:spacing w:after="120" w:before="240"/>
      </w:pPr>
      <w:r>
        <w:rPr>
          <w:rFonts w:ascii="Calibri" w:cs="Calibri" w:eastAsia="Calibri" w:hAnsi="Calibri"/>
          <w:b/>
          <w:bCs/>
          <w:color w:val="1A1C1E"/>
          <w:sz w:val="24"/>
          <w:szCs w:val="24"/>
        </w:rPr>
        <w:t xml:space="preserve">4.5 Assumptions</w:t>
      </w:r>
    </w:p>
    <w:p>
      <w:pPr>
        <w:spacing w:after="120" w:before="0" w:line="276"/>
        <w:jc w:val="left"/>
      </w:pPr>
      <w:r>
        <w:rPr>
          <w:rFonts w:ascii="Calibri" w:cs="Calibri" w:eastAsia="Calibri" w:hAnsi="Calibri"/>
          <w:b w:val="false"/>
          <w:bCs w:val="false"/>
          <w:i w:val="false"/>
          <w:iCs w:val="false"/>
          <w:color w:val="0F1113"/>
          <w:sz w:val="22"/>
          <w:szCs w:val="22"/>
        </w:rPr>
        <w:t xml:space="preserve">This assessment is based on documentation, information and demonstrations provided by ProTouch Sports. Unless expressly agreed otherwise, STZA does not independently verify technical implementation, security controls, or operational practice, and findings are based on the information made available during the engagement.</w:t>
      </w:r>
    </w:p>
    <w:p>
      <w:pPr>
        <w:pStyle w:val="Heading1"/>
        <w:pBdr>
          <w:bottom w:val="single" w:color="C5A059" w:sz="6"/>
        </w:pBdr>
        <w:spacing w:after="120" w:before="240"/>
      </w:pPr>
      <w:r>
        <w:rPr>
          <w:rFonts w:ascii="Calibri" w:cs="Calibri" w:eastAsia="Calibri" w:hAnsi="Calibri"/>
          <w:b/>
          <w:bCs/>
          <w:color w:val="1A1C1E"/>
          <w:sz w:val="28"/>
          <w:szCs w:val="28"/>
        </w:rPr>
        <w:t xml:space="preserve">5. Deliverables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200"/>
      </w:tblGrid>
      <w:tr>
        <w:tc>
          <w:tcPr>
            <w:tcW w:type="dxa" w:w="600"/>
            <w:tcBorders>
              <w:top w:val="single" w:color="D4C5A9" w:sz="1"/>
              <w:left w:val="single" w:color="D4C5A9" w:sz="1"/>
              <w:bottom w:val="single" w:color="D4C5A9" w:sz="1"/>
              <w:right w:val="single" w:color="D4C5A9" w:sz="1"/>
            </w:tcBorders>
            <w:shd w:fill="1A1C1E" w:val="clear"/>
            <w:vAlign w:val="center"/>
          </w:tcPr>
          <w:p>
            <w:pPr>
              <w:spacing w:after="40" w:before="40"/>
            </w:pPr>
            <w:r>
              <w:rPr>
                <w:rFonts w:ascii="Calibri" w:cs="Calibri" w:eastAsia="Calibri" w:hAnsi="Calibri"/>
                <w:b/>
                <w:bCs/>
                <w:color w:val="FFFFFF"/>
                <w:sz w:val="20"/>
                <w:szCs w:val="20"/>
              </w:rPr>
              <w:t xml:space="preserve">#</w:t>
            </w:r>
          </w:p>
        </w:tc>
        <w:tc>
          <w:tcPr>
            <w:tcW w:type="dxa" w:w="2200"/>
            <w:tcBorders>
              <w:top w:val="single" w:color="D4C5A9" w:sz="1"/>
              <w:left w:val="single" w:color="D4C5A9" w:sz="1"/>
              <w:bottom w:val="single" w:color="D4C5A9" w:sz="1"/>
              <w:right w:val="single" w:color="D4C5A9" w:sz="1"/>
            </w:tcBorders>
            <w:shd w:fill="1A1C1E" w:val="clear"/>
            <w:vAlign w:val="center"/>
          </w:tcPr>
          <w:p>
            <w:pPr>
              <w:spacing w:after="40" w:before="40"/>
            </w:pPr>
            <w:r>
              <w:rPr>
                <w:rFonts w:ascii="Calibri" w:cs="Calibri" w:eastAsia="Calibri" w:hAnsi="Calibri"/>
                <w:b/>
                <w:bCs/>
                <w:color w:val="FFFFFF"/>
                <w:sz w:val="20"/>
                <w:szCs w:val="20"/>
              </w:rPr>
              <w:t xml:space="preserve">Deliverable</w:t>
            </w:r>
          </w:p>
        </w:tc>
        <w:tc>
          <w:tcPr>
            <w:tcW w:type="dxa" w:w="6200"/>
            <w:tcBorders>
              <w:top w:val="single" w:color="D4C5A9" w:sz="1"/>
              <w:left w:val="single" w:color="D4C5A9" w:sz="1"/>
              <w:bottom w:val="single" w:color="D4C5A9" w:sz="1"/>
              <w:right w:val="single" w:color="D4C5A9" w:sz="1"/>
            </w:tcBorders>
            <w:shd w:fill="1A1C1E" w:val="clear"/>
            <w:vAlign w:val="center"/>
          </w:tcPr>
          <w:p>
            <w:pPr>
              <w:spacing w:after="40" w:before="40"/>
            </w:pPr>
            <w:r>
              <w:rPr>
                <w:rFonts w:ascii="Calibri" w:cs="Calibri" w:eastAsia="Calibri" w:hAnsi="Calibri"/>
                <w:b/>
                <w:bCs/>
                <w:color w:val="FFFFFF"/>
                <w:sz w:val="20"/>
                <w:szCs w:val="20"/>
              </w:rPr>
              <w:t xml:space="preserve">Description</w:t>
            </w:r>
          </w:p>
        </w:tc>
      </w:tr>
      <w:tr>
        <w:tc>
          <w:tcPr>
            <w:tcW w:type="dxa" w:w="600"/>
            <w:tcBorders>
              <w:top w:val="single" w:color="D4C5A9" w:sz="1"/>
              <w:left w:val="single" w:color="D4C5A9" w:sz="1"/>
              <w:bottom w:val="single" w:color="D4C5A9" w:sz="1"/>
              <w:right w:val="single" w:color="D4C5A9" w:sz="1"/>
            </w:tcBorders>
            <w:vAlign w:val="center"/>
          </w:tcPr>
          <w:p>
            <w:pPr>
              <w:spacing w:after="40" w:before="40"/>
              <w:jc w:val="center"/>
            </w:pPr>
            <w:r>
              <w:rPr>
                <w:rFonts w:ascii="Calibri" w:cs="Calibri" w:eastAsia="Calibri" w:hAnsi="Calibri"/>
                <w:b w:val="false"/>
                <w:bCs w:val="false"/>
                <w:color w:val="0F1113"/>
                <w:sz w:val="20"/>
                <w:szCs w:val="20"/>
              </w:rPr>
              <w:t xml:space="preserve">1</w:t>
            </w:r>
          </w:p>
        </w:tc>
        <w:tc>
          <w:tcPr>
            <w:tcW w:type="dxa" w:w="2200"/>
            <w:tcBorders>
              <w:top w:val="single" w:color="D4C5A9" w:sz="1"/>
              <w:left w:val="single" w:color="D4C5A9" w:sz="1"/>
              <w:bottom w:val="single" w:color="D4C5A9" w:sz="1"/>
              <w:right w:val="single" w:color="D4C5A9" w:sz="1"/>
            </w:tcBorders>
            <w:vAlign w:val="center"/>
          </w:tcPr>
          <w:p>
            <w:pPr>
              <w:spacing w:after="40" w:before="40"/>
            </w:pPr>
            <w:r>
              <w:rPr>
                <w:rFonts w:ascii="Calibri" w:cs="Calibri" w:eastAsia="Calibri" w:hAnsi="Calibri"/>
                <w:b/>
                <w:bCs/>
                <w:color w:val="0F1113"/>
                <w:sz w:val="20"/>
                <w:szCs w:val="20"/>
              </w:rPr>
              <w:t xml:space="preserve">Findings report</w:t>
            </w:r>
          </w:p>
        </w:tc>
        <w:tc>
          <w:tcPr>
            <w:tcW w:type="dxa" w:w="6200"/>
            <w:tcBorders>
              <w:top w:val="single" w:color="D4C5A9" w:sz="1"/>
              <w:left w:val="single" w:color="D4C5A9" w:sz="1"/>
              <w:bottom w:val="single" w:color="D4C5A9" w:sz="1"/>
              <w:right w:val="single" w:color="D4C5A9" w:sz="1"/>
            </w:tcBorders>
            <w:vAlign w:val="center"/>
          </w:tcPr>
          <w:p>
            <w:pPr>
              <w:spacing w:after="40" w:before="40"/>
            </w:pPr>
            <w:r>
              <w:rPr>
                <w:rFonts w:ascii="Calibri" w:cs="Calibri" w:eastAsia="Calibri" w:hAnsi="Calibri"/>
                <w:b w:val="false"/>
                <w:bCs w:val="false"/>
                <w:color w:val="0F1113"/>
                <w:sz w:val="20"/>
                <w:szCs w:val="20"/>
              </w:rPr>
              <w:t xml:space="preserve">Structured findings by compliance domain, each rated by severity (critical / high / medium / low / observation). Cross-referenced to POPIA sections. PDPL observations and jurisdictional reach findings flagged separately.</w:t>
            </w:r>
          </w:p>
        </w:tc>
      </w:tr>
      <w:tr>
        <w:tc>
          <w:tcPr>
            <w:tcW w:type="dxa" w:w="600"/>
            <w:tcBorders>
              <w:top w:val="single" w:color="D4C5A9" w:sz="1"/>
              <w:left w:val="single" w:color="D4C5A9" w:sz="1"/>
              <w:bottom w:val="single" w:color="D4C5A9" w:sz="1"/>
              <w:right w:val="single" w:color="D4C5A9" w:sz="1"/>
            </w:tcBorders>
            <w:vAlign w:val="center"/>
          </w:tcPr>
          <w:p>
            <w:pPr>
              <w:spacing w:after="40" w:before="40"/>
              <w:jc w:val="center"/>
            </w:pPr>
            <w:r>
              <w:rPr>
                <w:rFonts w:ascii="Calibri" w:cs="Calibri" w:eastAsia="Calibri" w:hAnsi="Calibri"/>
                <w:b w:val="false"/>
                <w:bCs w:val="false"/>
                <w:color w:val="0F1113"/>
                <w:sz w:val="20"/>
                <w:szCs w:val="20"/>
              </w:rPr>
              <w:t xml:space="preserve">2</w:t>
            </w:r>
          </w:p>
        </w:tc>
        <w:tc>
          <w:tcPr>
            <w:tcW w:type="dxa" w:w="2200"/>
            <w:tcBorders>
              <w:top w:val="single" w:color="D4C5A9" w:sz="1"/>
              <w:left w:val="single" w:color="D4C5A9" w:sz="1"/>
              <w:bottom w:val="single" w:color="D4C5A9" w:sz="1"/>
              <w:right w:val="single" w:color="D4C5A9" w:sz="1"/>
            </w:tcBorders>
            <w:vAlign w:val="center"/>
          </w:tcPr>
          <w:p>
            <w:pPr>
              <w:spacing w:after="40" w:before="40"/>
            </w:pPr>
            <w:r>
              <w:rPr>
                <w:rFonts w:ascii="Calibri" w:cs="Calibri" w:eastAsia="Calibri" w:hAnsi="Calibri"/>
                <w:b/>
                <w:bCs/>
                <w:color w:val="0F1113"/>
                <w:sz w:val="20"/>
                <w:szCs w:val="20"/>
              </w:rPr>
              <w:t xml:space="preserve">Missing documents register</w:t>
            </w:r>
          </w:p>
        </w:tc>
        <w:tc>
          <w:tcPr>
            <w:tcW w:type="dxa" w:w="6200"/>
            <w:tcBorders>
              <w:top w:val="single" w:color="D4C5A9" w:sz="1"/>
              <w:left w:val="single" w:color="D4C5A9" w:sz="1"/>
              <w:bottom w:val="single" w:color="D4C5A9" w:sz="1"/>
              <w:right w:val="single" w:color="D4C5A9" w:sz="1"/>
            </w:tcBorders>
            <w:vAlign w:val="center"/>
          </w:tcPr>
          <w:p>
            <w:pPr>
              <w:spacing w:after="40" w:before="40"/>
            </w:pPr>
            <w:r>
              <w:rPr>
                <w:rFonts w:ascii="Calibri" w:cs="Calibri" w:eastAsia="Calibri" w:hAnsi="Calibri"/>
                <w:b w:val="false"/>
                <w:bCs w:val="false"/>
                <w:color w:val="0F1113"/>
                <w:sz w:val="20"/>
                <w:szCs w:val="20"/>
              </w:rPr>
              <w:t xml:space="preserve">Prioritised register of documents that should exist but were not provided, classified as mandatory, recommended, or future. Each entry notes the regulatory or governance rationale and suggested ownership (ProTouch internal, legal adviser, or future DPO/IO).</w:t>
            </w:r>
          </w:p>
        </w:tc>
      </w:tr>
      <w:tr>
        <w:tc>
          <w:tcPr>
            <w:tcW w:type="dxa" w:w="600"/>
            <w:tcBorders>
              <w:top w:val="single" w:color="D4C5A9" w:sz="1"/>
              <w:left w:val="single" w:color="D4C5A9" w:sz="1"/>
              <w:bottom w:val="single" w:color="D4C5A9" w:sz="1"/>
              <w:right w:val="single" w:color="D4C5A9" w:sz="1"/>
            </w:tcBorders>
            <w:vAlign w:val="center"/>
          </w:tcPr>
          <w:p>
            <w:pPr>
              <w:spacing w:after="40" w:before="40"/>
              <w:jc w:val="center"/>
            </w:pPr>
            <w:r>
              <w:rPr>
                <w:rFonts w:ascii="Calibri" w:cs="Calibri" w:eastAsia="Calibri" w:hAnsi="Calibri"/>
                <w:b w:val="false"/>
                <w:bCs w:val="false"/>
                <w:color w:val="0F1113"/>
                <w:sz w:val="20"/>
                <w:szCs w:val="20"/>
              </w:rPr>
              <w:t xml:space="preserve">3</w:t>
            </w:r>
          </w:p>
        </w:tc>
        <w:tc>
          <w:tcPr>
            <w:tcW w:type="dxa" w:w="2200"/>
            <w:tcBorders>
              <w:top w:val="single" w:color="D4C5A9" w:sz="1"/>
              <w:left w:val="single" w:color="D4C5A9" w:sz="1"/>
              <w:bottom w:val="single" w:color="D4C5A9" w:sz="1"/>
              <w:right w:val="single" w:color="D4C5A9" w:sz="1"/>
            </w:tcBorders>
            <w:vAlign w:val="center"/>
          </w:tcPr>
          <w:p>
            <w:pPr>
              <w:spacing w:after="40" w:before="40"/>
            </w:pPr>
            <w:r>
              <w:rPr>
                <w:rFonts w:ascii="Calibri" w:cs="Calibri" w:eastAsia="Calibri" w:hAnsi="Calibri"/>
                <w:b/>
                <w:bCs/>
                <w:color w:val="0F1113"/>
                <w:sz w:val="20"/>
                <w:szCs w:val="20"/>
              </w:rPr>
              <w:t xml:space="preserve">Remediation roadmap</w:t>
            </w:r>
          </w:p>
        </w:tc>
        <w:tc>
          <w:tcPr>
            <w:tcW w:type="dxa" w:w="6200"/>
            <w:tcBorders>
              <w:top w:val="single" w:color="D4C5A9" w:sz="1"/>
              <w:left w:val="single" w:color="D4C5A9" w:sz="1"/>
              <w:bottom w:val="single" w:color="D4C5A9" w:sz="1"/>
              <w:right w:val="single" w:color="D4C5A9" w:sz="1"/>
            </w:tcBorders>
            <w:vAlign w:val="center"/>
          </w:tcPr>
          <w:p>
            <w:pPr>
              <w:spacing w:after="40" w:before="40"/>
            </w:pPr>
            <w:r>
              <w:rPr>
                <w:rFonts w:ascii="Calibri" w:cs="Calibri" w:eastAsia="Calibri" w:hAnsi="Calibri"/>
                <w:b w:val="false"/>
                <w:bCs w:val="false"/>
                <w:color w:val="0F1113"/>
                <w:sz w:val="20"/>
                <w:szCs w:val="20"/>
              </w:rPr>
              <w:t xml:space="preserve">Prioritised action plan, sequenced by regulatory risk and effort. Distinguishes between actions ProTouch can take independently and actions requiring professional or legal input.</w:t>
            </w:r>
          </w:p>
        </w:tc>
      </w:tr>
      <w:tr>
        <w:tc>
          <w:tcPr>
            <w:tcW w:type="dxa" w:w="600"/>
            <w:tcBorders>
              <w:top w:val="single" w:color="D4C5A9" w:sz="1"/>
              <w:left w:val="single" w:color="D4C5A9" w:sz="1"/>
              <w:bottom w:val="single" w:color="D4C5A9" w:sz="1"/>
              <w:right w:val="single" w:color="D4C5A9" w:sz="1"/>
            </w:tcBorders>
            <w:vAlign w:val="center"/>
          </w:tcPr>
          <w:p>
            <w:pPr>
              <w:spacing w:after="40" w:before="40"/>
              <w:jc w:val="center"/>
            </w:pPr>
            <w:r>
              <w:rPr>
                <w:rFonts w:ascii="Calibri" w:cs="Calibri" w:eastAsia="Calibri" w:hAnsi="Calibri"/>
                <w:b w:val="false"/>
                <w:bCs w:val="false"/>
                <w:color w:val="0F1113"/>
                <w:sz w:val="20"/>
                <w:szCs w:val="20"/>
              </w:rPr>
              <w:t xml:space="preserve">4</w:t>
            </w:r>
          </w:p>
        </w:tc>
        <w:tc>
          <w:tcPr>
            <w:tcW w:type="dxa" w:w="2200"/>
            <w:tcBorders>
              <w:top w:val="single" w:color="D4C5A9" w:sz="1"/>
              <w:left w:val="single" w:color="D4C5A9" w:sz="1"/>
              <w:bottom w:val="single" w:color="D4C5A9" w:sz="1"/>
              <w:right w:val="single" w:color="D4C5A9" w:sz="1"/>
            </w:tcBorders>
            <w:vAlign w:val="center"/>
          </w:tcPr>
          <w:p>
            <w:pPr>
              <w:spacing w:after="40" w:before="40"/>
            </w:pPr>
            <w:r>
              <w:rPr>
                <w:rFonts w:ascii="Calibri" w:cs="Calibri" w:eastAsia="Calibri" w:hAnsi="Calibri"/>
                <w:b/>
                <w:bCs/>
                <w:color w:val="0F1113"/>
                <w:sz w:val="20"/>
                <w:szCs w:val="20"/>
              </w:rPr>
              <w:t xml:space="preserve">DPO/IO readiness note</w:t>
            </w:r>
          </w:p>
        </w:tc>
        <w:tc>
          <w:tcPr>
            <w:tcW w:type="dxa" w:w="6200"/>
            <w:tcBorders>
              <w:top w:val="single" w:color="D4C5A9" w:sz="1"/>
              <w:left w:val="single" w:color="D4C5A9" w:sz="1"/>
              <w:bottom w:val="single" w:color="D4C5A9" w:sz="1"/>
              <w:right w:val="single" w:color="D4C5A9" w:sz="1"/>
            </w:tcBorders>
            <w:vAlign w:val="center"/>
          </w:tcPr>
          <w:p>
            <w:pPr>
              <w:spacing w:after="40" w:before="40"/>
            </w:pPr>
            <w:r>
              <w:rPr>
                <w:rFonts w:ascii="Calibri" w:cs="Calibri" w:eastAsia="Calibri" w:hAnsi="Calibri"/>
                <w:b w:val="false"/>
                <w:bCs w:val="false"/>
                <w:color w:val="0F1113"/>
                <w:sz w:val="20"/>
                <w:szCs w:val="20"/>
              </w:rPr>
              <w:t xml:space="preserve">A short assessment of whether the organisation is ready for a formal DPO (PDPL) and IO (POPIA) appointment, and what would need to be in place before such an appointment could be considered.</w:t>
            </w:r>
          </w:p>
        </w:tc>
      </w:tr>
    </w:tbl>
    <w:p>
      <w:pPr>
        <w:spacing w:after="120" w:before="120" w:line="276"/>
        <w:jc w:val="left"/>
      </w:pPr>
      <w:r>
        <w:rPr>
          <w:rFonts w:ascii="Calibri" w:cs="Calibri" w:eastAsia="Calibri" w:hAnsi="Calibri"/>
          <w:b w:val="false"/>
          <w:bCs w:val="false"/>
          <w:i w:val="false"/>
          <w:iCs w:val="false"/>
          <w:color w:val="0F1113"/>
          <w:sz w:val="22"/>
          <w:szCs w:val="22"/>
        </w:rPr>
        <w:t xml:space="preserve">All deliverables will be provided as electronic documents (Word or PDF). One round of written comments from ProTouch is included, together with one review meeting of up to two hours; STZA will address comments and issue a final version.</w:t>
      </w:r>
    </w:p>
    <w:p>
      <w:pPr>
        <w:pStyle w:val="Heading1"/>
        <w:pBdr>
          <w:bottom w:val="single" w:color="C5A059" w:sz="6"/>
        </w:pBdr>
        <w:spacing w:after="120" w:before="240"/>
      </w:pPr>
      <w:r>
        <w:rPr>
          <w:rFonts w:ascii="Calibri" w:cs="Calibri" w:eastAsia="Calibri" w:hAnsi="Calibri"/>
          <w:b/>
          <w:bCs/>
          <w:color w:val="1A1C1E"/>
          <w:sz w:val="28"/>
          <w:szCs w:val="28"/>
        </w:rPr>
        <w:t xml:space="preserve">6. What ProTouch needs to provide</w:t>
      </w:r>
    </w:p>
    <w:p>
      <w:pPr>
        <w:spacing w:after="120" w:before="0" w:line="276"/>
        <w:jc w:val="left"/>
      </w:pPr>
      <w:r>
        <w:rPr>
          <w:rFonts w:ascii="Calibri" w:cs="Calibri" w:eastAsia="Calibri" w:hAnsi="Calibri"/>
          <w:b w:val="false"/>
          <w:bCs w:val="false"/>
          <w:i w:val="false"/>
          <w:iCs w:val="false"/>
          <w:color w:val="0F1113"/>
          <w:sz w:val="22"/>
          <w:szCs w:val="22"/>
        </w:rPr>
        <w:t xml:space="preserve">Before the assessment can commence, ProTouch should provide:</w:t>
      </w:r>
    </w:p>
    <w:p>
      <w:pPr>
        <w:pStyle w:val="ListParagraph"/>
        <w:numPr>
          <w:ilvl w:val="0"/>
          <w:numId w:val="3"/>
        </w:numPr>
        <w:spacing w:after="60"/>
        <w:ind w:left="720" w:hanging="360"/>
      </w:pPr>
      <w:r>
        <w:rPr>
          <w:rFonts w:ascii="Calibri" w:cs="Calibri" w:eastAsia="Calibri" w:hAnsi="Calibri"/>
          <w:color w:val="0F1113"/>
          <w:sz w:val="22"/>
          <w:szCs w:val="22"/>
        </w:rPr>
        <w:t xml:space="preserve">Any Data Protection Impact Assessment(s) prepared for the platform</w:t>
      </w:r>
    </w:p>
    <w:p>
      <w:pPr>
        <w:pStyle w:val="ListParagraph"/>
        <w:numPr>
          <w:ilvl w:val="0"/>
          <w:numId w:val="3"/>
        </w:numPr>
        <w:spacing w:after="60"/>
        <w:ind w:left="720" w:hanging="360"/>
      </w:pPr>
      <w:r>
        <w:rPr>
          <w:rFonts w:ascii="Calibri" w:cs="Calibri" w:eastAsia="Calibri" w:hAnsi="Calibri"/>
          <w:color w:val="0F1113"/>
          <w:sz w:val="22"/>
          <w:szCs w:val="22"/>
        </w:rPr>
        <w:t xml:space="preserve">The Blocksport AG Data Processing Agreement (referenced as updated)</w:t>
      </w:r>
    </w:p>
    <w:p>
      <w:pPr>
        <w:pStyle w:val="ListParagraph"/>
        <w:numPr>
          <w:ilvl w:val="0"/>
          <w:numId w:val="3"/>
        </w:numPr>
        <w:spacing w:after="60"/>
        <w:ind w:left="720" w:hanging="360"/>
      </w:pPr>
      <w:r>
        <w:rPr>
          <w:rFonts w:ascii="Calibri" w:cs="Calibri" w:eastAsia="Calibri" w:hAnsi="Calibri"/>
          <w:color w:val="0F1113"/>
          <w:sz w:val="22"/>
          <w:szCs w:val="22"/>
        </w:rPr>
        <w:t xml:space="preserve">Processing terms or DPAs with Apify, Anthropic, and OpenAI (or confirmation that none exist)</w:t>
      </w:r>
    </w:p>
    <w:p>
      <w:pPr>
        <w:pStyle w:val="ListParagraph"/>
        <w:numPr>
          <w:ilvl w:val="0"/>
          <w:numId w:val="3"/>
        </w:numPr>
        <w:spacing w:after="60"/>
        <w:ind w:left="720" w:hanging="360"/>
      </w:pPr>
      <w:r>
        <w:rPr>
          <w:rFonts w:ascii="Calibri" w:cs="Calibri" w:eastAsia="Calibri" w:hAnsi="Calibri"/>
          <w:color w:val="0F1113"/>
          <w:sz w:val="22"/>
          <w:szCs w:val="22"/>
        </w:rPr>
        <w:t xml:space="preserve">Information Regulator registration status — registration number or confirmation that registration has not been completed</w:t>
      </w:r>
    </w:p>
    <w:p>
      <w:pPr>
        <w:pStyle w:val="ListParagraph"/>
        <w:numPr>
          <w:ilvl w:val="0"/>
          <w:numId w:val="3"/>
        </w:numPr>
        <w:spacing w:after="60"/>
        <w:ind w:left="720" w:hanging="360"/>
      </w:pPr>
      <w:r>
        <w:rPr>
          <w:rFonts w:ascii="Calibri" w:cs="Calibri" w:eastAsia="Calibri" w:hAnsi="Calibri"/>
          <w:color w:val="0F1113"/>
          <w:sz w:val="22"/>
          <w:szCs w:val="22"/>
        </w:rPr>
        <w:t xml:space="preserve">PAIA Section 51 manual, or confirmation that one has not been prepared</w:t>
      </w:r>
    </w:p>
    <w:p>
      <w:pPr>
        <w:pStyle w:val="ListParagraph"/>
        <w:numPr>
          <w:ilvl w:val="0"/>
          <w:numId w:val="3"/>
        </w:numPr>
        <w:spacing w:after="60"/>
        <w:ind w:left="720" w:hanging="360"/>
      </w:pPr>
      <w:r>
        <w:rPr>
          <w:rFonts w:ascii="Calibri" w:cs="Calibri" w:eastAsia="Calibri" w:hAnsi="Calibri"/>
          <w:color w:val="0F1113"/>
          <w:sz w:val="22"/>
          <w:szCs w:val="22"/>
        </w:rPr>
        <w:t xml:space="preserve">Any internal data protection policies, procedures, or process notes (however informal)</w:t>
      </w:r>
    </w:p>
    <w:p>
      <w:pPr>
        <w:pStyle w:val="ListParagraph"/>
        <w:numPr>
          <w:ilvl w:val="0"/>
          <w:numId w:val="3"/>
        </w:numPr>
        <w:spacing w:after="60"/>
        <w:ind w:left="720" w:hanging="360"/>
      </w:pPr>
      <w:r>
        <w:rPr>
          <w:rFonts w:ascii="Calibri" w:cs="Calibri" w:eastAsia="Calibri" w:hAnsi="Calibri"/>
          <w:color w:val="0F1113"/>
          <w:sz w:val="22"/>
          <w:szCs w:val="22"/>
        </w:rPr>
        <w:t xml:space="preserve">Evidence or description of the under-18 athlete removal exercise</w:t>
      </w:r>
    </w:p>
    <w:p>
      <w:pPr>
        <w:pStyle w:val="ListParagraph"/>
        <w:numPr>
          <w:ilvl w:val="0"/>
          <w:numId w:val="3"/>
        </w:numPr>
        <w:spacing w:after="60"/>
        <w:ind w:left="720" w:hanging="360"/>
      </w:pPr>
      <w:r>
        <w:rPr>
          <w:rFonts w:ascii="Calibri" w:cs="Calibri" w:eastAsia="Calibri" w:hAnsi="Calibri"/>
          <w:color w:val="0F1113"/>
          <w:sz w:val="22"/>
          <w:szCs w:val="22"/>
        </w:rPr>
        <w:t xml:space="preserve">Access to the live platform for a guided walkthrough (screen-share session, approximately 30–60 minutes)</w:t>
      </w:r>
    </w:p>
    <w:p>
      <w:pPr>
        <w:spacing w:after="120" w:before="120" w:line="276"/>
        <w:jc w:val="left"/>
      </w:pPr>
      <w:r>
        <w:rPr>
          <w:rFonts w:ascii="Calibri" w:cs="Calibri" w:eastAsia="Calibri" w:hAnsi="Calibri"/>
          <w:b w:val="false"/>
          <w:bCs w:val="false"/>
          <w:i w:val="false"/>
          <w:iCs w:val="false"/>
          <w:color w:val="0F1113"/>
          <w:sz w:val="22"/>
          <w:szCs w:val="22"/>
        </w:rPr>
        <w:t xml:space="preserve">STZA will commence work within 5 business days of receiving the items above. If items are not available, the assessment will proceed on the basis of the documents already provided, and the findings report will note what could not be assessed and why.</w:t>
      </w:r>
    </w:p>
    <w:p>
      <w:pPr>
        <w:pStyle w:val="Heading1"/>
        <w:pBdr>
          <w:bottom w:val="single" w:color="C5A059" w:sz="6"/>
        </w:pBdr>
        <w:spacing w:after="120" w:before="240"/>
      </w:pPr>
      <w:r>
        <w:rPr>
          <w:rFonts w:ascii="Calibri" w:cs="Calibri" w:eastAsia="Calibri" w:hAnsi="Calibri"/>
          <w:b/>
          <w:bCs/>
          <w:color w:val="1A1C1E"/>
          <w:sz w:val="28"/>
          <w:szCs w:val="28"/>
        </w:rPr>
        <w:t xml:space="preserve">7. Fees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D4C5A9" w:sz="1"/>
              <w:left w:val="single" w:color="D4C5A9" w:sz="1"/>
              <w:bottom w:val="single" w:color="D4C5A9" w:sz="1"/>
              <w:right w:val="single" w:color="D4C5A9" w:sz="1"/>
            </w:tcBorders>
            <w:shd w:fill="1A1C1E" w:val="clear"/>
            <w:vAlign w:val="center"/>
          </w:tcPr>
          <w:p>
            <w:pPr>
              <w:spacing w:after="40" w:before="40"/>
            </w:pPr>
            <w:r>
              <w:rPr>
                <w:rFonts w:ascii="Calibri" w:cs="Calibri" w:eastAsia="Calibri" w:hAnsi="Calibri"/>
                <w:b/>
                <w:bCs/>
                <w:color w:val="FFFFFF"/>
                <w:sz w:val="20"/>
                <w:szCs w:val="20"/>
              </w:rPr>
              <w:t xml:space="preserve">Element</w:t>
            </w:r>
          </w:p>
        </w:tc>
        <w:tc>
          <w:tcPr>
            <w:tcW w:type="dxa" w:w="4500"/>
            <w:tcBorders>
              <w:top w:val="single" w:color="D4C5A9" w:sz="1"/>
              <w:left w:val="single" w:color="D4C5A9" w:sz="1"/>
              <w:bottom w:val="single" w:color="D4C5A9" w:sz="1"/>
              <w:right w:val="single" w:color="D4C5A9" w:sz="1"/>
            </w:tcBorders>
            <w:shd w:fill="1A1C1E" w:val="clear"/>
            <w:vAlign w:val="center"/>
          </w:tcPr>
          <w:p>
            <w:pPr>
              <w:spacing w:after="40" w:before="40"/>
            </w:pPr>
            <w:r>
              <w:rPr>
                <w:rFonts w:ascii="Calibri" w:cs="Calibri" w:eastAsia="Calibri" w:hAnsi="Calibri"/>
                <w:b/>
                <w:bCs/>
                <w:color w:val="FFFFFF"/>
                <w:sz w:val="20"/>
                <w:szCs w:val="20"/>
              </w:rPr>
              <w:t xml:space="preserve">Amount</w:t>
            </w:r>
          </w:p>
        </w:tc>
      </w:tr>
      <w:tr>
        <w:tc>
          <w:tcPr>
            <w:tcW w:type="dxa" w:w="4500"/>
            <w:tcBorders>
              <w:top w:val="single" w:color="D4C5A9" w:sz="1"/>
              <w:left w:val="single" w:color="D4C5A9" w:sz="1"/>
              <w:bottom w:val="single" w:color="D4C5A9" w:sz="1"/>
              <w:right w:val="single" w:color="D4C5A9" w:sz="1"/>
            </w:tcBorders>
            <w:vAlign w:val="center"/>
          </w:tcPr>
          <w:p>
            <w:pPr>
              <w:spacing w:after="40" w:before="40"/>
            </w:pPr>
            <w:r>
              <w:rPr>
                <w:rFonts w:ascii="Calibri" w:cs="Calibri" w:eastAsia="Calibri" w:hAnsi="Calibri"/>
                <w:b w:val="false"/>
                <w:bCs w:val="false"/>
                <w:color w:val="0F1113"/>
                <w:sz w:val="20"/>
                <w:szCs w:val="20"/>
              </w:rPr>
              <w:t xml:space="preserve">Fixed fee — readiness assessment</w:t>
            </w:r>
          </w:p>
        </w:tc>
        <w:tc>
          <w:tcPr>
            <w:tcW w:type="dxa" w:w="4500"/>
            <w:tcBorders>
              <w:top w:val="single" w:color="D4C5A9" w:sz="1"/>
              <w:left w:val="single" w:color="D4C5A9" w:sz="1"/>
              <w:bottom w:val="single" w:color="D4C5A9" w:sz="1"/>
              <w:right w:val="single" w:color="D4C5A9" w:sz="1"/>
            </w:tcBorders>
            <w:vAlign w:val="center"/>
          </w:tcPr>
          <w:p>
            <w:pPr>
              <w:spacing w:after="40" w:before="40"/>
            </w:pPr>
            <w:r>
              <w:rPr>
                <w:rFonts w:ascii="Calibri" w:cs="Calibri" w:eastAsia="Calibri" w:hAnsi="Calibri"/>
                <w:b/>
                <w:bCs/>
                <w:color w:val="0F1113"/>
                <w:sz w:val="20"/>
                <w:szCs w:val="20"/>
              </w:rPr>
              <w:t xml:space="preserve">GBP 2,000</w:t>
            </w:r>
          </w:p>
        </w:tc>
      </w:tr>
      <w:tr>
        <w:tc>
          <w:tcPr>
            <w:tcW w:type="dxa" w:w="4500"/>
            <w:tcBorders>
              <w:top w:val="single" w:color="D4C5A9" w:sz="1"/>
              <w:left w:val="single" w:color="D4C5A9" w:sz="1"/>
              <w:bottom w:val="single" w:color="D4C5A9" w:sz="1"/>
              <w:right w:val="single" w:color="D4C5A9" w:sz="1"/>
            </w:tcBorders>
            <w:vAlign w:val="center"/>
          </w:tcPr>
          <w:p>
            <w:pPr>
              <w:spacing w:after="40" w:before="40"/>
            </w:pPr>
            <w:r>
              <w:rPr>
                <w:rFonts w:ascii="Calibri" w:cs="Calibri" w:eastAsia="Calibri" w:hAnsi="Calibri"/>
                <w:b w:val="false"/>
                <w:bCs w:val="false"/>
                <w:color w:val="0F1113"/>
                <w:sz w:val="20"/>
                <w:szCs w:val="20"/>
              </w:rPr>
              <w:t xml:space="preserve">Payment terms</w:t>
            </w:r>
          </w:p>
        </w:tc>
        <w:tc>
          <w:tcPr>
            <w:tcW w:type="dxa" w:w="4500"/>
            <w:tcBorders>
              <w:top w:val="single" w:color="D4C5A9" w:sz="1"/>
              <w:left w:val="single" w:color="D4C5A9" w:sz="1"/>
              <w:bottom w:val="single" w:color="D4C5A9" w:sz="1"/>
              <w:right w:val="single" w:color="D4C5A9" w:sz="1"/>
            </w:tcBorders>
            <w:vAlign w:val="center"/>
          </w:tcPr>
          <w:p>
            <w:pPr>
              <w:spacing w:after="40" w:before="40"/>
            </w:pPr>
            <w:r>
              <w:rPr>
                <w:rFonts w:ascii="Calibri" w:cs="Calibri" w:eastAsia="Calibri" w:hAnsi="Calibri"/>
                <w:b w:val="false"/>
                <w:bCs w:val="false"/>
                <w:color w:val="0F1113"/>
                <w:sz w:val="20"/>
                <w:szCs w:val="20"/>
              </w:rPr>
              <w:t xml:space="preserve">50% on acceptance of this scope (GBP 1,000); 50% on delivery of the findings report (GBP 1,000)</w:t>
            </w:r>
          </w:p>
        </w:tc>
      </w:tr>
      <w:tr>
        <w:tc>
          <w:tcPr>
            <w:tcW w:type="dxa" w:w="4500"/>
            <w:tcBorders>
              <w:top w:val="single" w:color="D4C5A9" w:sz="1"/>
              <w:left w:val="single" w:color="D4C5A9" w:sz="1"/>
              <w:bottom w:val="single" w:color="D4C5A9" w:sz="1"/>
              <w:right w:val="single" w:color="D4C5A9" w:sz="1"/>
            </w:tcBorders>
            <w:vAlign w:val="center"/>
          </w:tcPr>
          <w:p>
            <w:pPr>
              <w:spacing w:after="40" w:before="40"/>
            </w:pPr>
            <w:r>
              <w:rPr>
                <w:rFonts w:ascii="Calibri" w:cs="Calibri" w:eastAsia="Calibri" w:hAnsi="Calibri"/>
                <w:b w:val="false"/>
                <w:bCs w:val="false"/>
                <w:color w:val="0F1113"/>
                <w:sz w:val="20"/>
                <w:szCs w:val="20"/>
              </w:rPr>
              <w:t xml:space="preserve">Additional work beyond the scope above</w:t>
            </w:r>
          </w:p>
        </w:tc>
        <w:tc>
          <w:tcPr>
            <w:tcW w:type="dxa" w:w="4500"/>
            <w:tcBorders>
              <w:top w:val="single" w:color="D4C5A9" w:sz="1"/>
              <w:left w:val="single" w:color="D4C5A9" w:sz="1"/>
              <w:bottom w:val="single" w:color="D4C5A9" w:sz="1"/>
              <w:right w:val="single" w:color="D4C5A9" w:sz="1"/>
            </w:tcBorders>
            <w:vAlign w:val="center"/>
          </w:tcPr>
          <w:p>
            <w:pPr>
              <w:spacing w:after="40" w:before="40"/>
            </w:pPr>
            <w:r>
              <w:rPr>
                <w:rFonts w:ascii="Calibri" w:cs="Calibri" w:eastAsia="Calibri" w:hAnsi="Calibri"/>
                <w:b w:val="false"/>
                <w:bCs w:val="false"/>
                <w:color w:val="0F1113"/>
                <w:sz w:val="20"/>
                <w:szCs w:val="20"/>
              </w:rPr>
              <w:t xml:space="preserve">GBP 550 per day, agreed in writing before commencement</w:t>
            </w:r>
          </w:p>
        </w:tc>
      </w:tr>
    </w:tbl>
    <w:p>
      <w:pPr>
        <w:spacing w:after="120" w:before="120" w:line="276"/>
        <w:jc w:val="left"/>
      </w:pPr>
      <w:r>
        <w:rPr>
          <w:rFonts w:ascii="Calibri" w:cs="Calibri" w:eastAsia="Calibri" w:hAnsi="Calibri"/>
          <w:b w:val="false"/>
          <w:bCs w:val="false"/>
          <w:i/>
          <w:iCs/>
          <w:color w:val="0F1113"/>
          <w:sz w:val="22"/>
          <w:szCs w:val="22"/>
        </w:rPr>
        <w:t xml:space="preserve">Fees are exclusive of VAT. STZA is a UK-registered entity; VAT treatment will be confirmed on invoice.</w:t>
      </w:r>
    </w:p>
    <w:p>
      <w:pPr>
        <w:pStyle w:val="Heading1"/>
        <w:pBdr>
          <w:bottom w:val="single" w:color="C5A059" w:sz="6"/>
        </w:pBdr>
        <w:spacing w:after="120" w:before="240"/>
      </w:pPr>
      <w:r>
        <w:rPr>
          <w:rFonts w:ascii="Calibri" w:cs="Calibri" w:eastAsia="Calibri" w:hAnsi="Calibri"/>
          <w:b/>
          <w:bCs/>
          <w:color w:val="1A1C1E"/>
          <w:sz w:val="28"/>
          <w:szCs w:val="28"/>
        </w:rPr>
        <w:t xml:space="preserve">8. Timeline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5800"/>
      </w:tblGrid>
      <w:tr>
        <w:tc>
          <w:tcPr>
            <w:tcW w:type="dxa" w:w="1200"/>
            <w:tcBorders>
              <w:top w:val="single" w:color="D4C5A9" w:sz="1"/>
              <w:left w:val="single" w:color="D4C5A9" w:sz="1"/>
              <w:bottom w:val="single" w:color="D4C5A9" w:sz="1"/>
              <w:right w:val="single" w:color="D4C5A9" w:sz="1"/>
            </w:tcBorders>
            <w:shd w:fill="1A1C1E" w:val="clear"/>
            <w:vAlign w:val="center"/>
          </w:tcPr>
          <w:p>
            <w:pPr>
              <w:spacing w:after="40" w:before="40"/>
            </w:pPr>
            <w:r>
              <w:rPr>
                <w:rFonts w:ascii="Calibri" w:cs="Calibri" w:eastAsia="Calibri" w:hAnsi="Calibri"/>
                <w:b/>
                <w:bCs/>
                <w:color w:val="FFFFFF"/>
                <w:sz w:val="20"/>
                <w:szCs w:val="20"/>
              </w:rPr>
              <w:t xml:space="preserve">Phase</w:t>
            </w:r>
          </w:p>
        </w:tc>
        <w:tc>
          <w:tcPr>
            <w:tcW w:type="dxa" w:w="2000"/>
            <w:tcBorders>
              <w:top w:val="single" w:color="D4C5A9" w:sz="1"/>
              <w:left w:val="single" w:color="D4C5A9" w:sz="1"/>
              <w:bottom w:val="single" w:color="D4C5A9" w:sz="1"/>
              <w:right w:val="single" w:color="D4C5A9" w:sz="1"/>
            </w:tcBorders>
            <w:shd w:fill="1A1C1E" w:val="clear"/>
            <w:vAlign w:val="center"/>
          </w:tcPr>
          <w:p>
            <w:pPr>
              <w:spacing w:after="40" w:before="40"/>
            </w:pPr>
            <w:r>
              <w:rPr>
                <w:rFonts w:ascii="Calibri" w:cs="Calibri" w:eastAsia="Calibri" w:hAnsi="Calibri"/>
                <w:b/>
                <w:bCs/>
                <w:color w:val="FFFFFF"/>
                <w:sz w:val="20"/>
                <w:szCs w:val="20"/>
              </w:rPr>
              <w:t xml:space="preserve">Timing</w:t>
            </w:r>
          </w:p>
        </w:tc>
        <w:tc>
          <w:tcPr>
            <w:tcW w:type="dxa" w:w="5800"/>
            <w:tcBorders>
              <w:top w:val="single" w:color="D4C5A9" w:sz="1"/>
              <w:left w:val="single" w:color="D4C5A9" w:sz="1"/>
              <w:bottom w:val="single" w:color="D4C5A9" w:sz="1"/>
              <w:right w:val="single" w:color="D4C5A9" w:sz="1"/>
            </w:tcBorders>
            <w:shd w:fill="1A1C1E" w:val="clear"/>
            <w:vAlign w:val="center"/>
          </w:tcPr>
          <w:p>
            <w:pPr>
              <w:spacing w:after="40" w:before="40"/>
            </w:pPr>
            <w:r>
              <w:rPr>
                <w:rFonts w:ascii="Calibri" w:cs="Calibri" w:eastAsia="Calibri" w:hAnsi="Calibri"/>
                <w:b/>
                <w:bCs/>
                <w:color w:val="FFFFFF"/>
                <w:sz w:val="20"/>
                <w:szCs w:val="20"/>
              </w:rPr>
              <w:t xml:space="preserve">Activity</w:t>
            </w:r>
          </w:p>
        </w:tc>
      </w:tr>
      <w:tr>
        <w:tc>
          <w:tcPr>
            <w:tcW w:type="dxa" w:w="1200"/>
            <w:tcBorders>
              <w:top w:val="single" w:color="D4C5A9" w:sz="1"/>
              <w:left w:val="single" w:color="D4C5A9" w:sz="1"/>
              <w:bottom w:val="single" w:color="D4C5A9" w:sz="1"/>
              <w:right w:val="single" w:color="D4C5A9" w:sz="1"/>
            </w:tcBorders>
            <w:vAlign w:val="center"/>
          </w:tcPr>
          <w:p>
            <w:pPr>
              <w:spacing w:after="40" w:before="40"/>
              <w:jc w:val="center"/>
            </w:pPr>
            <w:r>
              <w:rPr>
                <w:rFonts w:ascii="Calibri" w:cs="Calibri" w:eastAsia="Calibri" w:hAnsi="Calibri"/>
                <w:b w:val="false"/>
                <w:bCs w:val="false"/>
                <w:color w:val="0F1113"/>
                <w:sz w:val="20"/>
                <w:szCs w:val="20"/>
              </w:rPr>
              <w:t xml:space="preserve">1</w:t>
            </w:r>
          </w:p>
        </w:tc>
        <w:tc>
          <w:tcPr>
            <w:tcW w:type="dxa" w:w="2000"/>
            <w:tcBorders>
              <w:top w:val="single" w:color="D4C5A9" w:sz="1"/>
              <w:left w:val="single" w:color="D4C5A9" w:sz="1"/>
              <w:bottom w:val="single" w:color="D4C5A9" w:sz="1"/>
              <w:right w:val="single" w:color="D4C5A9" w:sz="1"/>
            </w:tcBorders>
            <w:vAlign w:val="center"/>
          </w:tcPr>
          <w:p>
            <w:pPr>
              <w:spacing w:after="40" w:before="40"/>
            </w:pPr>
            <w:r>
              <w:rPr>
                <w:rFonts w:ascii="Calibri" w:cs="Calibri" w:eastAsia="Calibri" w:hAnsi="Calibri"/>
                <w:b w:val="false"/>
                <w:bCs w:val="false"/>
                <w:color w:val="0F1113"/>
                <w:sz w:val="20"/>
                <w:szCs w:val="20"/>
              </w:rPr>
              <w:t xml:space="preserve">Week 1</w:t>
            </w:r>
          </w:p>
        </w:tc>
        <w:tc>
          <w:tcPr>
            <w:tcW w:type="dxa" w:w="5800"/>
            <w:tcBorders>
              <w:top w:val="single" w:color="D4C5A9" w:sz="1"/>
              <w:left w:val="single" w:color="D4C5A9" w:sz="1"/>
              <w:bottom w:val="single" w:color="D4C5A9" w:sz="1"/>
              <w:right w:val="single" w:color="D4C5A9" w:sz="1"/>
            </w:tcBorders>
            <w:vAlign w:val="center"/>
          </w:tcPr>
          <w:p>
            <w:pPr>
              <w:spacing w:after="40" w:before="40"/>
            </w:pPr>
            <w:r>
              <w:rPr>
                <w:rFonts w:ascii="Calibri" w:cs="Calibri" w:eastAsia="Calibri" w:hAnsi="Calibri"/>
                <w:b w:val="false"/>
                <w:bCs w:val="false"/>
                <w:color w:val="0F1113"/>
                <w:sz w:val="20"/>
                <w:szCs w:val="20"/>
              </w:rPr>
              <w:t xml:space="preserve">Receive outstanding documents; complete document review; platform walkthrough</w:t>
            </w:r>
          </w:p>
        </w:tc>
      </w:tr>
      <w:tr>
        <w:tc>
          <w:tcPr>
            <w:tcW w:type="dxa" w:w="1200"/>
            <w:tcBorders>
              <w:top w:val="single" w:color="D4C5A9" w:sz="1"/>
              <w:left w:val="single" w:color="D4C5A9" w:sz="1"/>
              <w:bottom w:val="single" w:color="D4C5A9" w:sz="1"/>
              <w:right w:val="single" w:color="D4C5A9" w:sz="1"/>
            </w:tcBorders>
            <w:vAlign w:val="center"/>
          </w:tcPr>
          <w:p>
            <w:pPr>
              <w:spacing w:after="40" w:before="40"/>
              <w:jc w:val="center"/>
            </w:pPr>
            <w:r>
              <w:rPr>
                <w:rFonts w:ascii="Calibri" w:cs="Calibri" w:eastAsia="Calibri" w:hAnsi="Calibri"/>
                <w:b w:val="false"/>
                <w:bCs w:val="false"/>
                <w:color w:val="0F1113"/>
                <w:sz w:val="20"/>
                <w:szCs w:val="20"/>
              </w:rPr>
              <w:t xml:space="preserve">2</w:t>
            </w:r>
          </w:p>
        </w:tc>
        <w:tc>
          <w:tcPr>
            <w:tcW w:type="dxa" w:w="2000"/>
            <w:tcBorders>
              <w:top w:val="single" w:color="D4C5A9" w:sz="1"/>
              <w:left w:val="single" w:color="D4C5A9" w:sz="1"/>
              <w:bottom w:val="single" w:color="D4C5A9" w:sz="1"/>
              <w:right w:val="single" w:color="D4C5A9" w:sz="1"/>
            </w:tcBorders>
            <w:vAlign w:val="center"/>
          </w:tcPr>
          <w:p>
            <w:pPr>
              <w:spacing w:after="40" w:before="40"/>
            </w:pPr>
            <w:r>
              <w:rPr>
                <w:rFonts w:ascii="Calibri" w:cs="Calibri" w:eastAsia="Calibri" w:hAnsi="Calibri"/>
                <w:b w:val="false"/>
                <w:bCs w:val="false"/>
                <w:color w:val="0F1113"/>
                <w:sz w:val="20"/>
                <w:szCs w:val="20"/>
              </w:rPr>
              <w:t xml:space="preserve">Week 2</w:t>
            </w:r>
          </w:p>
        </w:tc>
        <w:tc>
          <w:tcPr>
            <w:tcW w:type="dxa" w:w="5800"/>
            <w:tcBorders>
              <w:top w:val="single" w:color="D4C5A9" w:sz="1"/>
              <w:left w:val="single" w:color="D4C5A9" w:sz="1"/>
              <w:bottom w:val="single" w:color="D4C5A9" w:sz="1"/>
              <w:right w:val="single" w:color="D4C5A9" w:sz="1"/>
            </w:tcBorders>
            <w:vAlign w:val="center"/>
          </w:tcPr>
          <w:p>
            <w:pPr>
              <w:spacing w:after="40" w:before="40"/>
            </w:pPr>
            <w:r>
              <w:rPr>
                <w:rFonts w:ascii="Calibri" w:cs="Calibri" w:eastAsia="Calibri" w:hAnsi="Calibri"/>
                <w:b w:val="false"/>
                <w:bCs w:val="false"/>
                <w:color w:val="0F1113"/>
                <w:sz w:val="20"/>
                <w:szCs w:val="20"/>
              </w:rPr>
              <w:t xml:space="preserve">Draft findings report and remediation roadmap</w:t>
            </w:r>
          </w:p>
        </w:tc>
      </w:tr>
      <w:tr>
        <w:tc>
          <w:tcPr>
            <w:tcW w:type="dxa" w:w="1200"/>
            <w:tcBorders>
              <w:top w:val="single" w:color="D4C5A9" w:sz="1"/>
              <w:left w:val="single" w:color="D4C5A9" w:sz="1"/>
              <w:bottom w:val="single" w:color="D4C5A9" w:sz="1"/>
              <w:right w:val="single" w:color="D4C5A9" w:sz="1"/>
            </w:tcBorders>
            <w:vAlign w:val="center"/>
          </w:tcPr>
          <w:p>
            <w:pPr>
              <w:spacing w:after="40" w:before="40"/>
              <w:jc w:val="center"/>
            </w:pPr>
            <w:r>
              <w:rPr>
                <w:rFonts w:ascii="Calibri" w:cs="Calibri" w:eastAsia="Calibri" w:hAnsi="Calibri"/>
                <w:b w:val="false"/>
                <w:bCs w:val="false"/>
                <w:color w:val="0F1113"/>
                <w:sz w:val="20"/>
                <w:szCs w:val="20"/>
              </w:rPr>
              <w:t xml:space="preserve">3</w:t>
            </w:r>
          </w:p>
        </w:tc>
        <w:tc>
          <w:tcPr>
            <w:tcW w:type="dxa" w:w="2000"/>
            <w:tcBorders>
              <w:top w:val="single" w:color="D4C5A9" w:sz="1"/>
              <w:left w:val="single" w:color="D4C5A9" w:sz="1"/>
              <w:bottom w:val="single" w:color="D4C5A9" w:sz="1"/>
              <w:right w:val="single" w:color="D4C5A9" w:sz="1"/>
            </w:tcBorders>
            <w:vAlign w:val="center"/>
          </w:tcPr>
          <w:p>
            <w:pPr>
              <w:spacing w:after="40" w:before="40"/>
            </w:pPr>
            <w:r>
              <w:rPr>
                <w:rFonts w:ascii="Calibri" w:cs="Calibri" w:eastAsia="Calibri" w:hAnsi="Calibri"/>
                <w:b w:val="false"/>
                <w:bCs w:val="false"/>
                <w:color w:val="0F1113"/>
                <w:sz w:val="20"/>
                <w:szCs w:val="20"/>
              </w:rPr>
              <w:t xml:space="preserve">Week 3</w:t>
            </w:r>
          </w:p>
        </w:tc>
        <w:tc>
          <w:tcPr>
            <w:tcW w:type="dxa" w:w="5800"/>
            <w:tcBorders>
              <w:top w:val="single" w:color="D4C5A9" w:sz="1"/>
              <w:left w:val="single" w:color="D4C5A9" w:sz="1"/>
              <w:bottom w:val="single" w:color="D4C5A9" w:sz="1"/>
              <w:right w:val="single" w:color="D4C5A9" w:sz="1"/>
            </w:tcBorders>
            <w:vAlign w:val="center"/>
          </w:tcPr>
          <w:p>
            <w:pPr>
              <w:spacing w:after="40" w:before="40"/>
            </w:pPr>
            <w:r>
              <w:rPr>
                <w:rFonts w:ascii="Calibri" w:cs="Calibri" w:eastAsia="Calibri" w:hAnsi="Calibri"/>
                <w:b w:val="false"/>
                <w:bCs w:val="false"/>
                <w:color w:val="0F1113"/>
                <w:sz w:val="20"/>
                <w:szCs w:val="20"/>
              </w:rPr>
              <w:t xml:space="preserve">Deliver findings; receive ProTouch comments; issue final deliverables</w:t>
            </w:r>
          </w:p>
        </w:tc>
      </w:tr>
    </w:tbl>
    <w:p>
      <w:pPr>
        <w:spacing w:after="120" w:before="120" w:line="276"/>
        <w:jc w:val="left"/>
      </w:pPr>
      <w:r>
        <w:rPr>
          <w:rFonts w:ascii="Calibri" w:cs="Calibri" w:eastAsia="Calibri" w:hAnsi="Calibri"/>
          <w:b w:val="false"/>
          <w:bCs w:val="false"/>
          <w:i w:val="false"/>
          <w:iCs w:val="false"/>
          <w:color w:val="0F1113"/>
          <w:sz w:val="22"/>
          <w:szCs w:val="22"/>
        </w:rPr>
        <w:t xml:space="preserve">Total estimated duration: approximately 3 weeks from receipt of documents. The walkthrough session will be scheduled at a mutually convenient time during week 1.</w:t>
      </w:r>
    </w:p>
    <w:p>
      <w:pPr>
        <w:pStyle w:val="Heading1"/>
        <w:pBdr>
          <w:bottom w:val="single" w:color="C5A059" w:sz="6"/>
        </w:pBdr>
        <w:spacing w:after="120" w:before="240"/>
      </w:pPr>
      <w:r>
        <w:rPr>
          <w:rFonts w:ascii="Calibri" w:cs="Calibri" w:eastAsia="Calibri" w:hAnsi="Calibri"/>
          <w:b/>
          <w:bCs/>
          <w:color w:val="1A1C1E"/>
          <w:sz w:val="28"/>
          <w:szCs w:val="28"/>
        </w:rPr>
        <w:t xml:space="preserve">9. Confidentiality</w:t>
      </w:r>
    </w:p>
    <w:p>
      <w:pPr>
        <w:spacing w:after="120" w:before="0" w:line="276"/>
        <w:jc w:val="left"/>
      </w:pPr>
      <w:r>
        <w:rPr>
          <w:rFonts w:ascii="Calibri" w:cs="Calibri" w:eastAsia="Calibri" w:hAnsi="Calibri"/>
          <w:b w:val="false"/>
          <w:bCs w:val="false"/>
          <w:i w:val="false"/>
          <w:iCs w:val="false"/>
          <w:color w:val="0F1113"/>
          <w:sz w:val="22"/>
          <w:szCs w:val="22"/>
        </w:rPr>
        <w:t xml:space="preserve">The mutual NDA dated 26 June 2026 governs all confidential information exchanged in connection with this engagement. This scope document and all deliverables are Confidential Information for the purposes of the NDA.</w:t>
      </w:r>
    </w:p>
    <w:p>
      <w:pPr>
        <w:pStyle w:val="Heading1"/>
        <w:pBdr>
          <w:bottom w:val="single" w:color="C5A059" w:sz="6"/>
        </w:pBdr>
        <w:spacing w:after="120" w:before="240"/>
      </w:pPr>
      <w:r>
        <w:rPr>
          <w:rFonts w:ascii="Calibri" w:cs="Calibri" w:eastAsia="Calibri" w:hAnsi="Calibri"/>
          <w:b/>
          <w:bCs/>
          <w:color w:val="1A1C1E"/>
          <w:sz w:val="28"/>
          <w:szCs w:val="28"/>
        </w:rPr>
        <w:t xml:space="preserve">10. Reliance</w:t>
      </w:r>
    </w:p>
    <w:p>
      <w:pPr>
        <w:spacing w:after="120" w:before="0" w:line="276"/>
        <w:jc w:val="left"/>
      </w:pPr>
      <w:r>
        <w:rPr>
          <w:rFonts w:ascii="Calibri" w:cs="Calibri" w:eastAsia="Calibri" w:hAnsi="Calibri"/>
          <w:b w:val="false"/>
          <w:bCs w:val="false"/>
          <w:i w:val="false"/>
          <w:iCs w:val="false"/>
          <w:color w:val="0F1113"/>
          <w:sz w:val="22"/>
          <w:szCs w:val="22"/>
        </w:rPr>
        <w:t xml:space="preserve">This report is prepared solely for ProTouch Sports (Pty) Ltd for the purposes described in this engagement. It may not be relied upon by any third party without STZA’s prior written consent.</w:t>
      </w:r>
    </w:p>
    <w:p>
      <w:pPr>
        <w:pStyle w:val="Heading1"/>
        <w:pBdr>
          <w:bottom w:val="single" w:color="C5A059" w:sz="6"/>
        </w:pBdr>
        <w:spacing w:after="120" w:before="240"/>
      </w:pPr>
      <w:r>
        <w:rPr>
          <w:rFonts w:ascii="Calibri" w:cs="Calibri" w:eastAsia="Calibri" w:hAnsi="Calibri"/>
          <w:b/>
          <w:bCs/>
          <w:color w:val="1A1C1E"/>
          <w:sz w:val="28"/>
          <w:szCs w:val="28"/>
        </w:rPr>
        <w:t xml:space="preserve">11. Limitation of liability</w:t>
      </w:r>
    </w:p>
    <w:p>
      <w:pPr>
        <w:spacing w:after="120" w:before="0" w:line="276"/>
        <w:jc w:val="left"/>
      </w:pPr>
      <w:r>
        <w:rPr>
          <w:rFonts w:ascii="Calibri" w:cs="Calibri" w:eastAsia="Calibri" w:hAnsi="Calibri"/>
          <w:b/>
          <w:bCs/>
          <w:i w:val="false"/>
          <w:iCs w:val="false"/>
          <w:color w:val="0F1113"/>
          <w:sz w:val="22"/>
          <w:szCs w:val="22"/>
        </w:rPr>
        <w:t xml:space="preserve">(a) </w:t>
      </w:r>
      <w:r>
        <w:rPr>
          <w:rFonts w:ascii="Calibri" w:cs="Calibri" w:eastAsia="Calibri" w:hAnsi="Calibri"/>
          <w:b w:val="false"/>
          <w:bCs w:val="false"/>
          <w:i w:val="false"/>
          <w:iCs w:val="false"/>
          <w:color w:val="0F1113"/>
          <w:sz w:val="22"/>
          <w:szCs w:val="22"/>
        </w:rPr>
        <w:t xml:space="preserve">STZA’s total aggregate liability arising out of or in connection with this engagement, whether in contract, delict (tort), or otherwise, shall not exceed the total fees actually paid by ProTouch under this engagement.</w:t>
      </w:r>
    </w:p>
    <w:p>
      <w:pPr>
        <w:spacing w:after="120" w:before="0" w:line="276"/>
        <w:jc w:val="left"/>
      </w:pPr>
      <w:r>
        <w:rPr>
          <w:rFonts w:ascii="Calibri" w:cs="Calibri" w:eastAsia="Calibri" w:hAnsi="Calibri"/>
          <w:b/>
          <w:bCs/>
          <w:i w:val="false"/>
          <w:iCs w:val="false"/>
          <w:color w:val="0F1113"/>
          <w:sz w:val="22"/>
          <w:szCs w:val="22"/>
        </w:rPr>
        <w:t xml:space="preserve">(b) </w:t>
      </w:r>
      <w:r>
        <w:rPr>
          <w:rFonts w:ascii="Calibri" w:cs="Calibri" w:eastAsia="Calibri" w:hAnsi="Calibri"/>
          <w:b w:val="false"/>
          <w:bCs w:val="false"/>
          <w:i w:val="false"/>
          <w:iCs w:val="false"/>
          <w:color w:val="0F1113"/>
          <w:sz w:val="22"/>
          <w:szCs w:val="22"/>
        </w:rPr>
        <w:t xml:space="preserve">STZA shall not be liable for any indirect, consequential, or special loss or damage, including (without limitation) loss of profit, loss of revenue, loss of business, regulatory fines or penalties, or reputational damage.</w:t>
      </w:r>
    </w:p>
    <w:p>
      <w:pPr>
        <w:spacing w:after="120" w:before="0" w:line="276"/>
        <w:jc w:val="left"/>
      </w:pPr>
      <w:r>
        <w:rPr>
          <w:rFonts w:ascii="Calibri" w:cs="Calibri" w:eastAsia="Calibri" w:hAnsi="Calibri"/>
          <w:b/>
          <w:bCs/>
          <w:i w:val="false"/>
          <w:iCs w:val="false"/>
          <w:color w:val="0F1113"/>
          <w:sz w:val="22"/>
          <w:szCs w:val="22"/>
        </w:rPr>
        <w:t xml:space="preserve">(c) </w:t>
      </w:r>
      <w:r>
        <w:rPr>
          <w:rFonts w:ascii="Calibri" w:cs="Calibri" w:eastAsia="Calibri" w:hAnsi="Calibri"/>
          <w:b w:val="false"/>
          <w:bCs w:val="false"/>
          <w:i w:val="false"/>
          <w:iCs w:val="false"/>
          <w:color w:val="0F1113"/>
          <w:sz w:val="22"/>
          <w:szCs w:val="22"/>
        </w:rPr>
        <w:t xml:space="preserve">The deliverables are advisory only and are based on the documents and information provided by ProTouch. STZA does not warrant that the deliverables identify every compliance gap, risk, or deficiency. ProTouch remains solely responsible for its own compliance with applicable data protection law.</w:t>
      </w:r>
    </w:p>
    <w:p>
      <w:pPr>
        <w:spacing w:after="120" w:before="0" w:line="276"/>
        <w:jc w:val="left"/>
      </w:pPr>
      <w:r>
        <w:rPr>
          <w:rFonts w:ascii="Calibri" w:cs="Calibri" w:eastAsia="Calibri" w:hAnsi="Calibri"/>
          <w:b/>
          <w:bCs/>
          <w:i w:val="false"/>
          <w:iCs w:val="false"/>
          <w:color w:val="0F1113"/>
          <w:sz w:val="22"/>
          <w:szCs w:val="22"/>
        </w:rPr>
        <w:t xml:space="preserve">(d) </w:t>
      </w:r>
      <w:r>
        <w:rPr>
          <w:rFonts w:ascii="Calibri" w:cs="Calibri" w:eastAsia="Calibri" w:hAnsi="Calibri"/>
          <w:b w:val="false"/>
          <w:bCs w:val="false"/>
          <w:i w:val="false"/>
          <w:iCs w:val="false"/>
          <w:color w:val="0F1113"/>
          <w:sz w:val="22"/>
          <w:szCs w:val="22"/>
        </w:rPr>
        <w:t xml:space="preserve">Nothing in this clause excludes or limits liability for fraud, wilful misconduct, or death or personal injury caused by negligence.</w:t>
      </w:r>
    </w:p>
    <w:p>
      <w:pPr>
        <w:pStyle w:val="Heading1"/>
        <w:pBdr>
          <w:bottom w:val="single" w:color="C5A059" w:sz="6"/>
        </w:pBdr>
        <w:spacing w:after="120" w:before="240"/>
      </w:pPr>
      <w:r>
        <w:rPr>
          <w:rFonts w:ascii="Calibri" w:cs="Calibri" w:eastAsia="Calibri" w:hAnsi="Calibri"/>
          <w:b/>
          <w:bCs/>
          <w:color w:val="1A1C1E"/>
          <w:sz w:val="28"/>
          <w:szCs w:val="28"/>
        </w:rPr>
        <w:t xml:space="preserve">12. Intellectual property</w:t>
      </w:r>
    </w:p>
    <w:p>
      <w:pPr>
        <w:spacing w:after="120" w:before="0" w:line="276"/>
        <w:jc w:val="left"/>
      </w:pPr>
      <w:r>
        <w:rPr>
          <w:rFonts w:ascii="Calibri" w:cs="Calibri" w:eastAsia="Calibri" w:hAnsi="Calibri"/>
          <w:b w:val="false"/>
          <w:bCs w:val="false"/>
          <w:i w:val="false"/>
          <w:iCs w:val="false"/>
          <w:color w:val="0F1113"/>
          <w:sz w:val="22"/>
          <w:szCs w:val="22"/>
        </w:rPr>
        <w:t xml:space="preserve">ProTouch owns the deliverables produced under this engagement and may use them for internal purposes. STZA retains ownership of its underlying methodologies, frameworks, templates, and tools, including any compliance assessment engine or scoring methodology used in preparing the deliverables.</w:t>
      </w:r>
    </w:p>
    <w:p>
      <w:pPr>
        <w:pStyle w:val="Heading1"/>
        <w:pBdr>
          <w:bottom w:val="single" w:color="C5A059" w:sz="6"/>
        </w:pBdr>
        <w:spacing w:after="120" w:before="240"/>
      </w:pPr>
      <w:r>
        <w:rPr>
          <w:rFonts w:ascii="Calibri" w:cs="Calibri" w:eastAsia="Calibri" w:hAnsi="Calibri"/>
          <w:b/>
          <w:bCs/>
          <w:color w:val="1A1C1E"/>
          <w:sz w:val="28"/>
          <w:szCs w:val="28"/>
        </w:rPr>
        <w:t xml:space="preserve">13. Relationship to future engagement</w:t>
      </w:r>
    </w:p>
    <w:p>
      <w:pPr>
        <w:spacing w:after="120" w:before="0" w:line="276"/>
        <w:jc w:val="left"/>
      </w:pPr>
      <w:r>
        <w:rPr>
          <w:rFonts w:ascii="Calibri" w:cs="Calibri" w:eastAsia="Calibri" w:hAnsi="Calibri"/>
          <w:b w:val="false"/>
          <w:bCs w:val="false"/>
          <w:i w:val="false"/>
          <w:iCs w:val="false"/>
          <w:color w:val="0F1113"/>
          <w:sz w:val="22"/>
          <w:szCs w:val="22"/>
        </w:rPr>
        <w:t xml:space="preserve">This engagement is a standalone consulting engagement. It does not commit either party to a subsequent engagement, including (without limitation) a DPO appointment (PDPL), IO appointment (POPIA), ongoing retainer, or monitoring arrangement.</w:t>
      </w:r>
    </w:p>
    <w:p>
      <w:pPr>
        <w:spacing w:after="120" w:before="0" w:line="276"/>
        <w:jc w:val="left"/>
      </w:pPr>
      <w:r>
        <w:rPr>
          <w:rFonts w:ascii="Calibri" w:cs="Calibri" w:eastAsia="Calibri" w:hAnsi="Calibri"/>
          <w:b w:val="false"/>
          <w:bCs w:val="false"/>
          <w:i w:val="false"/>
          <w:iCs w:val="false"/>
          <w:color w:val="0F1113"/>
          <w:sz w:val="22"/>
          <w:szCs w:val="22"/>
        </w:rPr>
        <w:t xml:space="preserve">If both parties wish to explore a subsequent engagement, it will be the subject of a separate scope document with its own terms, including (where applicable) confirmation of professional indemnity insurance cover, supervisory authority registration, and engagement-specific service levels.</w:t>
      </w:r>
    </w:p>
    <w:p>
      <w:pPr>
        <w:pStyle w:val="Heading1"/>
        <w:pBdr>
          <w:bottom w:val="single" w:color="C5A059" w:sz="6"/>
        </w:pBdr>
        <w:spacing w:after="120" w:before="240"/>
      </w:pPr>
      <w:r>
        <w:rPr>
          <w:rFonts w:ascii="Calibri" w:cs="Calibri" w:eastAsia="Calibri" w:hAnsi="Calibri"/>
          <w:b/>
          <w:bCs/>
          <w:color w:val="1A1C1E"/>
          <w:sz w:val="28"/>
          <w:szCs w:val="28"/>
        </w:rPr>
        <w:t xml:space="preserve">14. Engagement team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D4C5A9" w:sz="1"/>
              <w:left w:val="single" w:color="D4C5A9" w:sz="1"/>
              <w:bottom w:val="single" w:color="D4C5A9" w:sz="1"/>
              <w:right w:val="single" w:color="D4C5A9" w:sz="1"/>
            </w:tcBorders>
            <w:shd w:fill="1A1C1E" w:val="clear"/>
            <w:vAlign w:val="center"/>
          </w:tcPr>
          <w:p>
            <w:pPr>
              <w:spacing w:after="40" w:before="40"/>
            </w:pPr>
            <w:r>
              <w:rPr>
                <w:rFonts w:ascii="Calibri" w:cs="Calibri" w:eastAsia="Calibri" w:hAnsi="Calibri"/>
                <w:b/>
                <w:bCs/>
                <w:color w:val="FFFFFF"/>
                <w:sz w:val="20"/>
                <w:szCs w:val="20"/>
              </w:rPr>
              <w:t xml:space="preserve">Role</w:t>
            </w:r>
          </w:p>
        </w:tc>
        <w:tc>
          <w:tcPr>
            <w:tcW w:type="dxa" w:w="6000"/>
            <w:tcBorders>
              <w:top w:val="single" w:color="D4C5A9" w:sz="1"/>
              <w:left w:val="single" w:color="D4C5A9" w:sz="1"/>
              <w:bottom w:val="single" w:color="D4C5A9" w:sz="1"/>
              <w:right w:val="single" w:color="D4C5A9" w:sz="1"/>
            </w:tcBorders>
            <w:shd w:fill="1A1C1E" w:val="clear"/>
            <w:vAlign w:val="center"/>
          </w:tcPr>
          <w:p>
            <w:pPr>
              <w:spacing w:after="40" w:before="40"/>
            </w:pPr>
            <w:r>
              <w:rPr>
                <w:rFonts w:ascii="Calibri" w:cs="Calibri" w:eastAsia="Calibri" w:hAnsi="Calibri"/>
                <w:b/>
                <w:bCs/>
                <w:color w:val="FFFFFF"/>
                <w:sz w:val="20"/>
                <w:szCs w:val="20"/>
              </w:rPr>
              <w:t xml:space="preserve">Person</w:t>
            </w:r>
          </w:p>
        </w:tc>
      </w:tr>
      <w:tr>
        <w:tc>
          <w:tcPr>
            <w:tcW w:type="dxa" w:w="3000"/>
            <w:tcBorders>
              <w:top w:val="single" w:color="D4C5A9" w:sz="1"/>
              <w:left w:val="single" w:color="D4C5A9" w:sz="1"/>
              <w:bottom w:val="single" w:color="D4C5A9" w:sz="1"/>
              <w:right w:val="single" w:color="D4C5A9" w:sz="1"/>
            </w:tcBorders>
            <w:vAlign w:val="center"/>
          </w:tcPr>
          <w:p>
            <w:pPr>
              <w:spacing w:after="40" w:before="40"/>
            </w:pPr>
            <w:r>
              <w:rPr>
                <w:rFonts w:ascii="Calibri" w:cs="Calibri" w:eastAsia="Calibri" w:hAnsi="Calibri"/>
                <w:b w:val="false"/>
                <w:bCs w:val="false"/>
                <w:color w:val="0F1113"/>
                <w:sz w:val="20"/>
                <w:szCs w:val="20"/>
              </w:rPr>
              <w:t xml:space="preserve">Engagement principal</w:t>
            </w:r>
          </w:p>
        </w:tc>
        <w:tc>
          <w:tcPr>
            <w:tcW w:type="dxa" w:w="6000"/>
            <w:tcBorders>
              <w:top w:val="single" w:color="D4C5A9" w:sz="1"/>
              <w:left w:val="single" w:color="D4C5A9" w:sz="1"/>
              <w:bottom w:val="single" w:color="D4C5A9" w:sz="1"/>
              <w:right w:val="single" w:color="D4C5A9" w:sz="1"/>
            </w:tcBorders>
            <w:vAlign w:val="center"/>
          </w:tcPr>
          <w:p>
            <w:pPr>
              <w:spacing w:after="40" w:before="40"/>
            </w:pPr>
            <w:r>
              <w:rPr>
                <w:rFonts w:ascii="Calibri" w:cs="Calibri" w:eastAsia="Calibri" w:hAnsi="Calibri"/>
                <w:b/>
                <w:bCs/>
                <w:color w:val="0F1113"/>
                <w:sz w:val="20"/>
                <w:szCs w:val="20"/>
              </w:rPr>
              <w:t xml:space="preserve">Nik Mladenovic CA(SA), Director, STZA</w:t>
            </w:r>
          </w:p>
        </w:tc>
      </w:tr>
      <w:tr>
        <w:tc>
          <w:tcPr>
            <w:tcW w:type="dxa" w:w="3000"/>
            <w:tcBorders>
              <w:top w:val="single" w:color="D4C5A9" w:sz="1"/>
              <w:left w:val="single" w:color="D4C5A9" w:sz="1"/>
              <w:bottom w:val="single" w:color="D4C5A9" w:sz="1"/>
              <w:right w:val="single" w:color="D4C5A9" w:sz="1"/>
            </w:tcBorders>
            <w:vAlign w:val="center"/>
          </w:tcPr>
          <w:p>
            <w:pPr>
              <w:spacing w:after="40" w:before="40"/>
            </w:pPr>
            <w:r>
              <w:rPr>
                <w:rFonts w:ascii="Calibri" w:cs="Calibri" w:eastAsia="Calibri" w:hAnsi="Calibri"/>
                <w:b w:val="false"/>
                <w:bCs w:val="false"/>
                <w:color w:val="0F1113"/>
                <w:sz w:val="20"/>
                <w:szCs w:val="20"/>
              </w:rPr>
              <w:t xml:space="preserve">Credentials</w:t>
            </w:r>
          </w:p>
        </w:tc>
        <w:tc>
          <w:tcPr>
            <w:tcW w:type="dxa" w:w="6000"/>
            <w:tcBorders>
              <w:top w:val="single" w:color="D4C5A9" w:sz="1"/>
              <w:left w:val="single" w:color="D4C5A9" w:sz="1"/>
              <w:bottom w:val="single" w:color="D4C5A9" w:sz="1"/>
              <w:right w:val="single" w:color="D4C5A9" w:sz="1"/>
            </w:tcBorders>
            <w:vAlign w:val="center"/>
          </w:tcPr>
          <w:p>
            <w:pPr>
              <w:spacing w:after="40" w:before="40"/>
            </w:pPr>
            <w:r>
              <w:rPr>
                <w:rFonts w:ascii="Calibri" w:cs="Calibri" w:eastAsia="Calibri" w:hAnsi="Calibri"/>
                <w:b w:val="false"/>
                <w:bCs w:val="false"/>
                <w:color w:val="0F1113"/>
                <w:sz w:val="20"/>
                <w:szCs w:val="20"/>
              </w:rPr>
              <w:t xml:space="preserve">SAICA member; Moonstone Managing POPIA; i2 Comply Advanced Online Data Protection and GDPR</w:t>
            </w:r>
          </w:p>
        </w:tc>
      </w:tr>
    </w:tbl>
    <w:p>
      <w:pPr>
        <w:pStyle w:val="Heading1"/>
        <w:pBdr>
          <w:bottom w:val="single" w:color="C5A059" w:sz="6"/>
        </w:pBdr>
        <w:spacing w:after="120" w:before="240"/>
      </w:pPr>
      <w:r>
        <w:rPr>
          <w:rFonts w:ascii="Calibri" w:cs="Calibri" w:eastAsia="Calibri" w:hAnsi="Calibri"/>
          <w:b/>
          <w:bCs/>
          <w:color w:val="1A1C1E"/>
          <w:sz w:val="28"/>
          <w:szCs w:val="28"/>
        </w:rPr>
        <w:t xml:space="preserve">15. Governing law</w:t>
      </w:r>
    </w:p>
    <w:p>
      <w:pPr>
        <w:spacing w:after="120" w:before="0" w:line="276"/>
        <w:jc w:val="left"/>
      </w:pPr>
      <w:r>
        <w:rPr>
          <w:rFonts w:ascii="Calibri" w:cs="Calibri" w:eastAsia="Calibri" w:hAnsi="Calibri"/>
          <w:b w:val="false"/>
          <w:bCs w:val="false"/>
          <w:i w:val="false"/>
          <w:iCs w:val="false"/>
          <w:color w:val="0F1113"/>
          <w:sz w:val="22"/>
          <w:szCs w:val="22"/>
        </w:rPr>
        <w:t xml:space="preserve">This engagement scope is governed by the laws of the Republic of South Africa, consistent with the governing law of the NDA between the parties.</w:t>
      </w:r>
    </w:p>
    <w:p>
      <w:pPr>
        <w:pStyle w:val="Heading1"/>
        <w:pBdr>
          <w:bottom w:val="single" w:color="C5A059" w:sz="6"/>
        </w:pBdr>
        <w:spacing w:after="120" w:before="240"/>
      </w:pPr>
      <w:r>
        <w:rPr>
          <w:rFonts w:ascii="Calibri" w:cs="Calibri" w:eastAsia="Calibri" w:hAnsi="Calibri"/>
          <w:b/>
          <w:bCs/>
          <w:color w:val="1A1C1E"/>
          <w:sz w:val="28"/>
          <w:szCs w:val="28"/>
        </w:rPr>
        <w:t xml:space="preserve">16. Acceptance</w:t>
      </w:r>
    </w:p>
    <w:p>
      <w:pPr>
        <w:spacing w:after="120" w:before="0" w:line="276"/>
        <w:jc w:val="left"/>
      </w:pPr>
      <w:r>
        <w:rPr>
          <w:rFonts w:ascii="Calibri" w:cs="Calibri" w:eastAsia="Calibri" w:hAnsi="Calibri"/>
          <w:b w:val="false"/>
          <w:bCs w:val="false"/>
          <w:i w:val="false"/>
          <w:iCs w:val="false"/>
          <w:color w:val="0F1113"/>
          <w:sz w:val="22"/>
          <w:szCs w:val="22"/>
        </w:rPr>
        <w:t xml:space="preserve">This engagement commences on written acceptance by ProTouch (email is sufficient) and payment of the first instalment.</w:t>
      </w:r>
    </w:p>
    <w:p>
      <w:pPr>
        <w:spacing w:after="200" w:before="0" w:line="276"/>
        <w:jc w:val="left"/>
      </w:pPr>
      <w:r>
        <w:rPr>
          <w:rFonts w:ascii="Calibri" w:cs="Calibri" w:eastAsia="Calibri" w:hAnsi="Calibri"/>
          <w:b w:val="false"/>
          <w:bCs w:val="false"/>
          <w:i w:val="false"/>
          <w:iCs w:val="false"/>
          <w:color w:val="0F1113"/>
          <w:sz w:val="22"/>
          <w:szCs w:val="22"/>
        </w:rPr>
        <w:t xml:space="preserve"/>
      </w:r>
    </w:p>
    <w:p>
      <w:pPr>
        <w:pBdr>
          <w:bottom w:val="single" w:color="C5A059" w:sz="6"/>
        </w:pBdr>
        <w:spacing w:after="120" w:before="120"/>
      </w:pPr>
    </w:p>
    <w:p>
      <w:pPr>
        <w:spacing w:after="40" w:before="0" w:line="276"/>
        <w:jc w:val="left"/>
      </w:pPr>
      <w:r>
        <w:rPr>
          <w:rFonts w:ascii="Calibri" w:cs="Calibri" w:eastAsia="Calibri" w:hAnsi="Calibri"/>
          <w:b/>
          <w:bCs/>
          <w:i w:val="false"/>
          <w:iCs w:val="false"/>
          <w:color w:val="0F1113"/>
          <w:sz w:val="22"/>
          <w:szCs w:val="22"/>
        </w:rPr>
        <w:t xml:space="preserve">Sports Tech Africa Limited</w:t>
      </w:r>
    </w:p>
    <w:p>
      <w:pPr>
        <w:spacing w:after="120" w:before="0" w:line="276"/>
        <w:jc w:val="left"/>
      </w:pPr>
      <w:r>
        <w:rPr>
          <w:rFonts w:ascii="Calibri" w:cs="Calibri" w:eastAsia="Calibri" w:hAnsi="Calibri"/>
          <w:b w:val="false"/>
          <w:bCs w:val="false"/>
          <w:i w:val="false"/>
          <w:iCs w:val="false"/>
          <w:color w:val="0F1113"/>
          <w:sz w:val="22"/>
          <w:szCs w:val="22"/>
        </w:rPr>
        <w:t xml:space="preserve">Companies House: 16850337</w:t>
      </w:r>
    </w:p>
    <w:p>
      <w:pPr>
        <w:spacing w:after="120" w:before="0" w:line="276"/>
        <w:jc w:val="left"/>
      </w:pPr>
      <w:r>
        <w:rPr>
          <w:rFonts w:ascii="Calibri" w:cs="Calibri" w:eastAsia="Calibri" w:hAnsi="Calibri"/>
          <w:b w:val="false"/>
          <w:bCs w:val="false"/>
          <w:i w:val="false"/>
          <w:iCs w:val="false"/>
          <w:color w:val="0F1113"/>
          <w:sz w:val="22"/>
          <w:szCs w:val="22"/>
        </w:rPr>
        <w:t xml:space="preserve">Director: Nik Mladenovic CA(SA)</w:t>
      </w:r>
    </w:p>
    <w:p>
      <w:pPr>
        <w:pBdr>
          <w:bottom w:val="single" w:color="C5A059" w:sz="6"/>
        </w:pBdr>
        <w:spacing w:after="120" w:before="120"/>
      </w:pPr>
    </w:p>
    <w:p>
      <w:pPr>
        <w:spacing w:after="120" w:before="0" w:line="276"/>
        <w:jc w:val="center"/>
      </w:pPr>
      <w:r>
        <w:rPr>
          <w:rFonts w:ascii="Calibri" w:cs="Calibri" w:eastAsia="Calibri" w:hAnsi="Calibri"/>
          <w:b w:val="false"/>
          <w:bCs w:val="false"/>
          <w:i/>
          <w:iCs/>
          <w:color w:val="8E9196"/>
          <w:sz w:val="22"/>
          <w:szCs w:val="22"/>
        </w:rPr>
        <w:t xml:space="preserve">Draft — not for distribution without review.</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E9196"/>
        <w:sz w:val="16"/>
        <w:szCs w:val="16"/>
      </w:rPr>
      <w:t xml:space="preserve">Sports Tech Africa Limited  |  Companies House 16850337  |  Page </w:t>
    </w:r>
    <w:r>
      <w:rPr>
        <w:rFonts w:ascii="Calibri" w:cs="Calibri" w:eastAsia="Calibri" w:hAnsi="Calibri"/>
        <w:color w:val="8E919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8E9196"/>
        <w:sz w:val="16"/>
        <w:szCs w:val="16"/>
      </w:rPr>
      <w:t xml:space="preserve">STZA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F111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2026-07-24T08:59:18.419Z</dcterms:created>
  <dcterms:modified xsi:type="dcterms:W3CDTF">2026-07-24T08:59:18.428Z</dcterms:modified>
</cp:coreProperties>
</file>

<file path=docProps/custom.xml><?xml version="1.0" encoding="utf-8"?>
<Properties xmlns="http://schemas.openxmlformats.org/officeDocument/2006/custom-properties" xmlns:vt="http://schemas.openxmlformats.org/officeDocument/2006/docPropsVTypes"/>
</file>