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AF80" w14:textId="2BE01027" w:rsidR="00686A68" w:rsidRPr="00D02C8C" w:rsidRDefault="00686A68" w:rsidP="00D02C8C">
      <w:pPr>
        <w:contextualSpacing/>
        <w:rPr>
          <w:sz w:val="22"/>
          <w:szCs w:val="22"/>
        </w:rPr>
      </w:pPr>
    </w:p>
    <w:p w14:paraId="16ED9918" w14:textId="77777777" w:rsidR="00686A68" w:rsidRPr="00D02C8C" w:rsidRDefault="00686A68" w:rsidP="00D02C8C">
      <w:pPr>
        <w:ind w:left="360" w:hanging="360"/>
        <w:contextualSpacing/>
        <w:rPr>
          <w:sz w:val="22"/>
          <w:szCs w:val="22"/>
        </w:rPr>
      </w:pPr>
    </w:p>
    <w:p w14:paraId="3416EE28" w14:textId="77777777" w:rsidR="00686A68" w:rsidRPr="00D02C8C" w:rsidRDefault="00686A68" w:rsidP="00D02C8C">
      <w:pPr>
        <w:ind w:left="360" w:hanging="360"/>
        <w:contextualSpacing/>
        <w:rPr>
          <w:sz w:val="22"/>
          <w:szCs w:val="22"/>
        </w:rPr>
      </w:pPr>
    </w:p>
    <w:p w14:paraId="11289EF2" w14:textId="77777777" w:rsidR="00686A68" w:rsidRPr="00852D1C" w:rsidRDefault="00686A68" w:rsidP="00D02C8C">
      <w:pPr>
        <w:ind w:left="360" w:hanging="360"/>
        <w:contextualSpacing/>
        <w:rPr>
          <w:sz w:val="22"/>
          <w:szCs w:val="22"/>
        </w:rPr>
      </w:pPr>
    </w:p>
    <w:p w14:paraId="5E6665B5" w14:textId="77777777" w:rsidR="00686A68" w:rsidRPr="00852D1C" w:rsidRDefault="00686A68" w:rsidP="00D02C8C">
      <w:pPr>
        <w:ind w:left="360" w:hanging="360"/>
        <w:contextualSpacing/>
        <w:rPr>
          <w:sz w:val="22"/>
          <w:szCs w:val="22"/>
        </w:rPr>
      </w:pPr>
    </w:p>
    <w:p w14:paraId="1958A8A6" w14:textId="77777777" w:rsidR="00686A68" w:rsidRPr="00852D1C" w:rsidRDefault="00686A68" w:rsidP="00D02C8C">
      <w:pPr>
        <w:ind w:left="360" w:hanging="360"/>
        <w:contextualSpacing/>
        <w:rPr>
          <w:sz w:val="22"/>
          <w:szCs w:val="22"/>
        </w:rPr>
      </w:pPr>
    </w:p>
    <w:p w14:paraId="794A9E40" w14:textId="37C0717A" w:rsidR="00686A68" w:rsidRDefault="00686A68" w:rsidP="00D02C8C">
      <w:pPr>
        <w:pStyle w:val="ListParagraph"/>
        <w:ind w:left="360"/>
        <w:rPr>
          <w:b/>
          <w:bCs/>
          <w:sz w:val="22"/>
          <w:szCs w:val="22"/>
        </w:rPr>
      </w:pPr>
    </w:p>
    <w:p w14:paraId="6CCE2112" w14:textId="3AD7A1E1" w:rsidR="000B4718" w:rsidRDefault="000B4718" w:rsidP="00D02C8C">
      <w:pPr>
        <w:pStyle w:val="ListParagraph"/>
        <w:ind w:left="360"/>
        <w:rPr>
          <w:b/>
          <w:bCs/>
          <w:sz w:val="22"/>
          <w:szCs w:val="22"/>
        </w:rPr>
      </w:pPr>
    </w:p>
    <w:p w14:paraId="7D6A15C4" w14:textId="69D20905" w:rsidR="000B4718" w:rsidRDefault="000B4718" w:rsidP="00D02C8C">
      <w:pPr>
        <w:pStyle w:val="ListParagraph"/>
        <w:ind w:left="360"/>
        <w:rPr>
          <w:b/>
          <w:bCs/>
          <w:sz w:val="22"/>
          <w:szCs w:val="22"/>
        </w:rPr>
      </w:pPr>
    </w:p>
    <w:p w14:paraId="39B0F8BB" w14:textId="77777777" w:rsidR="000B4718" w:rsidRPr="00852D1C" w:rsidRDefault="000B4718" w:rsidP="00D02C8C">
      <w:pPr>
        <w:pStyle w:val="ListParagraph"/>
        <w:ind w:left="360"/>
        <w:rPr>
          <w:b/>
          <w:bCs/>
          <w:sz w:val="22"/>
          <w:szCs w:val="22"/>
        </w:rPr>
      </w:pPr>
    </w:p>
    <w:p w14:paraId="3EA5F510" w14:textId="19C36FDC" w:rsidR="00686A68" w:rsidRPr="00852D1C" w:rsidRDefault="00FA6A8F" w:rsidP="00D02C8C">
      <w:pPr>
        <w:pStyle w:val="ListParagraph"/>
        <w:ind w:left="360"/>
        <w:jc w:val="center"/>
        <w:rPr>
          <w:b/>
          <w:bCs/>
          <w:sz w:val="22"/>
          <w:szCs w:val="22"/>
        </w:rPr>
      </w:pPr>
      <w:r w:rsidRPr="00852D1C">
        <w:rPr>
          <w:b/>
          <w:bCs/>
          <w:sz w:val="22"/>
          <w:szCs w:val="22"/>
        </w:rPr>
        <w:t>Final Project</w:t>
      </w:r>
      <w:r w:rsidR="00686A68" w:rsidRPr="00852D1C">
        <w:rPr>
          <w:b/>
          <w:bCs/>
          <w:sz w:val="22"/>
          <w:szCs w:val="22"/>
        </w:rPr>
        <w:t xml:space="preserve">: Multivariate </w:t>
      </w:r>
      <w:r w:rsidR="006A3167" w:rsidRPr="00852D1C">
        <w:rPr>
          <w:b/>
          <w:bCs/>
          <w:sz w:val="22"/>
          <w:szCs w:val="22"/>
        </w:rPr>
        <w:t xml:space="preserve">Analysis of </w:t>
      </w:r>
      <w:r w:rsidR="00686A68" w:rsidRPr="00852D1C">
        <w:rPr>
          <w:b/>
          <w:bCs/>
          <w:sz w:val="22"/>
          <w:szCs w:val="22"/>
        </w:rPr>
        <w:t xml:space="preserve">Performance </w:t>
      </w:r>
      <w:r w:rsidR="009B6EEC" w:rsidRPr="00852D1C">
        <w:rPr>
          <w:b/>
          <w:bCs/>
          <w:sz w:val="22"/>
          <w:szCs w:val="22"/>
        </w:rPr>
        <w:t>in Golf</w:t>
      </w:r>
    </w:p>
    <w:p w14:paraId="7FB72B5E" w14:textId="77777777" w:rsidR="00686A68" w:rsidRPr="00852D1C" w:rsidRDefault="00686A68" w:rsidP="00D02C8C">
      <w:pPr>
        <w:pStyle w:val="ListParagraph"/>
        <w:ind w:left="360"/>
        <w:jc w:val="center"/>
        <w:rPr>
          <w:b/>
          <w:bCs/>
          <w:sz w:val="22"/>
          <w:szCs w:val="22"/>
        </w:rPr>
      </w:pPr>
      <w:r w:rsidRPr="00852D1C">
        <w:rPr>
          <w:b/>
          <w:bCs/>
          <w:sz w:val="22"/>
          <w:szCs w:val="22"/>
        </w:rPr>
        <w:t>STAT 497 – Sports Analytics</w:t>
      </w:r>
    </w:p>
    <w:p w14:paraId="3107BD12" w14:textId="77777777" w:rsidR="00686A68" w:rsidRPr="00852D1C" w:rsidRDefault="00686A68" w:rsidP="00D02C8C">
      <w:pPr>
        <w:pStyle w:val="ListParagraph"/>
        <w:ind w:left="360"/>
        <w:jc w:val="center"/>
        <w:rPr>
          <w:b/>
          <w:bCs/>
          <w:sz w:val="22"/>
          <w:szCs w:val="22"/>
        </w:rPr>
      </w:pPr>
      <w:r w:rsidRPr="00852D1C">
        <w:rPr>
          <w:b/>
          <w:bCs/>
          <w:sz w:val="22"/>
          <w:szCs w:val="22"/>
        </w:rPr>
        <w:t>Dr. Joshua Wyatt Smith</w:t>
      </w:r>
    </w:p>
    <w:p w14:paraId="10ED2233" w14:textId="77777777" w:rsidR="00686A68" w:rsidRPr="00852D1C" w:rsidRDefault="00686A68" w:rsidP="00D02C8C">
      <w:pPr>
        <w:pStyle w:val="ListParagraph"/>
        <w:ind w:left="360"/>
        <w:jc w:val="center"/>
        <w:rPr>
          <w:b/>
          <w:bCs/>
          <w:sz w:val="22"/>
          <w:szCs w:val="22"/>
        </w:rPr>
      </w:pPr>
      <w:r w:rsidRPr="00852D1C">
        <w:rPr>
          <w:b/>
          <w:bCs/>
          <w:sz w:val="22"/>
          <w:szCs w:val="22"/>
        </w:rPr>
        <w:t>Nikolas Argiropoulos 40044358</w:t>
      </w:r>
    </w:p>
    <w:p w14:paraId="32712F06" w14:textId="77777777" w:rsidR="00686A68" w:rsidRPr="00852D1C" w:rsidRDefault="00686A68" w:rsidP="00D02C8C">
      <w:pPr>
        <w:pStyle w:val="ListParagraph"/>
        <w:ind w:left="360"/>
        <w:jc w:val="center"/>
        <w:rPr>
          <w:b/>
          <w:bCs/>
          <w:sz w:val="22"/>
          <w:szCs w:val="22"/>
        </w:rPr>
      </w:pPr>
      <w:r w:rsidRPr="00852D1C">
        <w:rPr>
          <w:b/>
          <w:bCs/>
          <w:sz w:val="22"/>
          <w:szCs w:val="22"/>
        </w:rPr>
        <w:t>Concordia University</w:t>
      </w:r>
    </w:p>
    <w:p w14:paraId="3B25DAA9" w14:textId="77777777" w:rsidR="00686A68" w:rsidRPr="00852D1C" w:rsidRDefault="00686A68" w:rsidP="00D02C8C">
      <w:pPr>
        <w:pStyle w:val="ListParagraph"/>
        <w:ind w:left="360"/>
        <w:rPr>
          <w:b/>
          <w:bCs/>
          <w:sz w:val="22"/>
          <w:szCs w:val="22"/>
        </w:rPr>
      </w:pPr>
    </w:p>
    <w:p w14:paraId="36426B4C" w14:textId="77777777" w:rsidR="00686A68" w:rsidRPr="00852D1C" w:rsidRDefault="00686A68" w:rsidP="00D02C8C">
      <w:pPr>
        <w:pStyle w:val="ListParagraph"/>
        <w:ind w:left="360"/>
        <w:rPr>
          <w:b/>
          <w:bCs/>
          <w:sz w:val="22"/>
          <w:szCs w:val="22"/>
        </w:rPr>
      </w:pPr>
    </w:p>
    <w:p w14:paraId="2D1B1DA6" w14:textId="77777777" w:rsidR="00686A68" w:rsidRPr="00852D1C" w:rsidRDefault="00686A68" w:rsidP="00D02C8C">
      <w:pPr>
        <w:pStyle w:val="ListParagraph"/>
        <w:ind w:left="360"/>
        <w:rPr>
          <w:b/>
          <w:bCs/>
          <w:sz w:val="22"/>
          <w:szCs w:val="22"/>
        </w:rPr>
      </w:pPr>
    </w:p>
    <w:p w14:paraId="044D3762" w14:textId="77777777" w:rsidR="00686A68" w:rsidRPr="00852D1C" w:rsidRDefault="00686A68" w:rsidP="00D02C8C">
      <w:pPr>
        <w:pStyle w:val="ListParagraph"/>
        <w:ind w:left="360"/>
        <w:rPr>
          <w:b/>
          <w:bCs/>
          <w:sz w:val="22"/>
          <w:szCs w:val="22"/>
        </w:rPr>
      </w:pPr>
    </w:p>
    <w:p w14:paraId="2152686B" w14:textId="77777777" w:rsidR="00686A68" w:rsidRPr="00852D1C" w:rsidRDefault="00686A68" w:rsidP="00D02C8C">
      <w:pPr>
        <w:pStyle w:val="ListParagraph"/>
        <w:ind w:left="360"/>
        <w:rPr>
          <w:b/>
          <w:bCs/>
          <w:sz w:val="22"/>
          <w:szCs w:val="22"/>
        </w:rPr>
      </w:pPr>
    </w:p>
    <w:p w14:paraId="717CA516" w14:textId="77777777" w:rsidR="00686A68" w:rsidRPr="00852D1C" w:rsidRDefault="00686A68" w:rsidP="00D02C8C">
      <w:pPr>
        <w:pStyle w:val="ListParagraph"/>
        <w:ind w:left="360"/>
        <w:rPr>
          <w:b/>
          <w:bCs/>
          <w:sz w:val="22"/>
          <w:szCs w:val="22"/>
        </w:rPr>
      </w:pPr>
    </w:p>
    <w:p w14:paraId="55D6437D" w14:textId="77777777" w:rsidR="00686A68" w:rsidRPr="00852D1C" w:rsidRDefault="00686A68" w:rsidP="00D02C8C">
      <w:pPr>
        <w:pStyle w:val="ListParagraph"/>
        <w:ind w:left="360"/>
        <w:rPr>
          <w:b/>
          <w:bCs/>
          <w:sz w:val="22"/>
          <w:szCs w:val="22"/>
        </w:rPr>
      </w:pPr>
    </w:p>
    <w:p w14:paraId="17E7EE0D" w14:textId="77777777" w:rsidR="00686A68" w:rsidRPr="00852D1C" w:rsidRDefault="00686A68" w:rsidP="00D02C8C">
      <w:pPr>
        <w:pStyle w:val="ListParagraph"/>
        <w:ind w:left="360"/>
        <w:rPr>
          <w:b/>
          <w:bCs/>
          <w:sz w:val="22"/>
          <w:szCs w:val="22"/>
        </w:rPr>
      </w:pPr>
    </w:p>
    <w:p w14:paraId="37A421D2" w14:textId="1E92F5A1" w:rsidR="00686A68" w:rsidRPr="00852D1C" w:rsidRDefault="00686A68" w:rsidP="00D02C8C">
      <w:pPr>
        <w:pStyle w:val="ListParagraph"/>
        <w:ind w:left="360"/>
        <w:rPr>
          <w:b/>
          <w:bCs/>
          <w:sz w:val="22"/>
          <w:szCs w:val="22"/>
        </w:rPr>
      </w:pPr>
    </w:p>
    <w:p w14:paraId="06E5EFB8" w14:textId="77777777" w:rsidR="00686A68" w:rsidRPr="00852D1C" w:rsidRDefault="00686A68" w:rsidP="00D02C8C">
      <w:pPr>
        <w:pStyle w:val="ListParagraph"/>
        <w:ind w:left="360"/>
        <w:rPr>
          <w:b/>
          <w:bCs/>
          <w:sz w:val="22"/>
          <w:szCs w:val="22"/>
        </w:rPr>
      </w:pPr>
    </w:p>
    <w:p w14:paraId="2EB23880" w14:textId="77777777" w:rsidR="00686A68" w:rsidRPr="00852D1C" w:rsidRDefault="00686A68" w:rsidP="00D02C8C">
      <w:pPr>
        <w:pStyle w:val="ListParagraph"/>
        <w:ind w:left="360"/>
        <w:rPr>
          <w:b/>
          <w:bCs/>
          <w:sz w:val="22"/>
          <w:szCs w:val="22"/>
        </w:rPr>
      </w:pPr>
    </w:p>
    <w:p w14:paraId="062E5DB8" w14:textId="77777777" w:rsidR="00686A68" w:rsidRPr="00852D1C" w:rsidRDefault="00686A68" w:rsidP="00D02C8C">
      <w:pPr>
        <w:pStyle w:val="ListParagraph"/>
        <w:ind w:left="360"/>
        <w:rPr>
          <w:b/>
          <w:bCs/>
          <w:sz w:val="22"/>
          <w:szCs w:val="22"/>
        </w:rPr>
      </w:pPr>
    </w:p>
    <w:p w14:paraId="5F830DBE" w14:textId="77777777" w:rsidR="00983440" w:rsidRDefault="00983440" w:rsidP="00983440">
      <w:pPr>
        <w:pStyle w:val="ListParagraph"/>
        <w:numPr>
          <w:ilvl w:val="0"/>
          <w:numId w:val="1"/>
        </w:numPr>
        <w:spacing w:line="240" w:lineRule="auto"/>
        <w:rPr>
          <w:b/>
          <w:bCs/>
          <w:sz w:val="22"/>
          <w:szCs w:val="22"/>
        </w:rPr>
        <w:sectPr w:rsidR="00983440" w:rsidSect="00390547">
          <w:footerReference w:type="default" r:id="rId8"/>
          <w:pgSz w:w="12240" w:h="15840"/>
          <w:pgMar w:top="1276" w:right="1440" w:bottom="1134" w:left="1440" w:header="397" w:footer="708" w:gutter="0"/>
          <w:cols w:space="708"/>
          <w:titlePg/>
          <w:docGrid w:linePitch="360"/>
        </w:sectPr>
      </w:pPr>
    </w:p>
    <w:p w14:paraId="1415A984" w14:textId="51139F7F" w:rsidR="00CD7E87" w:rsidRPr="00983440" w:rsidRDefault="000F4C29" w:rsidP="00983440">
      <w:pPr>
        <w:pStyle w:val="ListParagraph"/>
        <w:numPr>
          <w:ilvl w:val="0"/>
          <w:numId w:val="1"/>
        </w:numPr>
        <w:spacing w:line="240" w:lineRule="auto"/>
        <w:rPr>
          <w:b/>
          <w:bCs/>
          <w:sz w:val="22"/>
          <w:szCs w:val="22"/>
        </w:rPr>
      </w:pPr>
      <w:r w:rsidRPr="00983440">
        <w:rPr>
          <w:b/>
          <w:bCs/>
          <w:sz w:val="22"/>
          <w:szCs w:val="22"/>
        </w:rPr>
        <w:lastRenderedPageBreak/>
        <w:t>Introduction</w:t>
      </w:r>
    </w:p>
    <w:p w14:paraId="7A30AAE2" w14:textId="4730F133" w:rsidR="005540C5" w:rsidRPr="00983440" w:rsidRDefault="002E1318" w:rsidP="00983440">
      <w:pPr>
        <w:spacing w:line="240" w:lineRule="auto"/>
        <w:ind w:firstLine="360"/>
        <w:contextualSpacing/>
        <w:rPr>
          <w:rFonts w:eastAsiaTheme="minorEastAsia"/>
          <w:sz w:val="22"/>
          <w:szCs w:val="22"/>
        </w:rPr>
      </w:pPr>
      <w:r w:rsidRPr="00983440">
        <w:rPr>
          <w:rFonts w:eastAsiaTheme="minorEastAsia"/>
          <w:sz w:val="22"/>
          <w:szCs w:val="22"/>
        </w:rPr>
        <w:t xml:space="preserve">Over the past </w:t>
      </w:r>
      <w:r w:rsidR="00F4326A" w:rsidRPr="00983440">
        <w:rPr>
          <w:rFonts w:eastAsiaTheme="minorEastAsia"/>
          <w:sz w:val="22"/>
          <w:szCs w:val="22"/>
        </w:rPr>
        <w:t xml:space="preserve">few </w:t>
      </w:r>
      <w:r w:rsidRPr="00983440">
        <w:rPr>
          <w:rFonts w:eastAsiaTheme="minorEastAsia"/>
          <w:sz w:val="22"/>
          <w:szCs w:val="22"/>
        </w:rPr>
        <w:t>decade</w:t>
      </w:r>
      <w:r w:rsidR="00D648A6" w:rsidRPr="00983440">
        <w:rPr>
          <w:rFonts w:eastAsiaTheme="minorEastAsia"/>
          <w:sz w:val="22"/>
          <w:szCs w:val="22"/>
        </w:rPr>
        <w:t>s</w:t>
      </w:r>
      <w:r w:rsidRPr="00983440">
        <w:rPr>
          <w:rFonts w:eastAsiaTheme="minorEastAsia"/>
          <w:sz w:val="22"/>
          <w:szCs w:val="22"/>
        </w:rPr>
        <w:t>, data driven decisions have extended beyond the medical and financial world</w:t>
      </w:r>
      <w:r w:rsidR="00D01D89" w:rsidRPr="00983440">
        <w:rPr>
          <w:rFonts w:eastAsiaTheme="minorEastAsia"/>
          <w:sz w:val="22"/>
          <w:szCs w:val="22"/>
        </w:rPr>
        <w:t xml:space="preserve">. Most recently, the world of sports has benefits from the innovative developments </w:t>
      </w:r>
      <w:r w:rsidRPr="00983440">
        <w:rPr>
          <w:rFonts w:eastAsiaTheme="minorEastAsia"/>
          <w:sz w:val="22"/>
          <w:szCs w:val="22"/>
        </w:rPr>
        <w:t xml:space="preserve">(Parra et al., 2022). </w:t>
      </w:r>
      <w:r w:rsidR="00D01D89" w:rsidRPr="00983440">
        <w:rPr>
          <w:rFonts w:eastAsiaTheme="minorEastAsia"/>
          <w:sz w:val="22"/>
          <w:szCs w:val="22"/>
        </w:rPr>
        <w:t>For example, t</w:t>
      </w:r>
      <w:r w:rsidRPr="00983440">
        <w:rPr>
          <w:rFonts w:eastAsiaTheme="minorEastAsia"/>
          <w:sz w:val="22"/>
          <w:szCs w:val="22"/>
        </w:rPr>
        <w:t>he use of data and mathematical modeling to determine the best possible outcome of a match or strategy</w:t>
      </w:r>
      <w:r w:rsidR="008039C2" w:rsidRPr="00983440">
        <w:rPr>
          <w:rFonts w:eastAsiaTheme="minorEastAsia"/>
          <w:sz w:val="22"/>
          <w:szCs w:val="22"/>
        </w:rPr>
        <w:t>,</w:t>
      </w:r>
      <w:r w:rsidRPr="00983440">
        <w:rPr>
          <w:rFonts w:eastAsiaTheme="minorEastAsia"/>
          <w:sz w:val="22"/>
          <w:szCs w:val="22"/>
        </w:rPr>
        <w:t xml:space="preserve"> and player performance is</w:t>
      </w:r>
      <w:r w:rsidR="00D01D89" w:rsidRPr="00983440">
        <w:rPr>
          <w:rFonts w:eastAsiaTheme="minorEastAsia"/>
          <w:sz w:val="22"/>
          <w:szCs w:val="22"/>
        </w:rPr>
        <w:t xml:space="preserve"> a</w:t>
      </w:r>
      <w:r w:rsidRPr="00983440">
        <w:rPr>
          <w:rFonts w:eastAsiaTheme="minorEastAsia"/>
          <w:sz w:val="22"/>
          <w:szCs w:val="22"/>
        </w:rPr>
        <w:t xml:space="preserve"> fairly novel</w:t>
      </w:r>
      <w:r w:rsidR="00D01D89" w:rsidRPr="00983440">
        <w:rPr>
          <w:rFonts w:eastAsiaTheme="minorEastAsia"/>
          <w:sz w:val="22"/>
          <w:szCs w:val="22"/>
        </w:rPr>
        <w:t xml:space="preserve"> application but has yielded fruitful insights (</w:t>
      </w:r>
      <w:r w:rsidR="00D02C8C" w:rsidRPr="00983440">
        <w:rPr>
          <w:rFonts w:eastAsiaTheme="minorEastAsia"/>
          <w:sz w:val="22"/>
          <w:szCs w:val="22"/>
        </w:rPr>
        <w:t>Parra et al., 2022</w:t>
      </w:r>
      <w:r w:rsidR="00D01D89" w:rsidRPr="00983440">
        <w:rPr>
          <w:rFonts w:eastAsiaTheme="minorEastAsia"/>
          <w:sz w:val="22"/>
          <w:szCs w:val="22"/>
        </w:rPr>
        <w:t>)</w:t>
      </w:r>
      <w:r w:rsidRPr="00983440">
        <w:rPr>
          <w:rFonts w:eastAsiaTheme="minorEastAsia"/>
          <w:sz w:val="22"/>
          <w:szCs w:val="22"/>
        </w:rPr>
        <w:t xml:space="preserve">. </w:t>
      </w:r>
      <w:r w:rsidR="00D01D89" w:rsidRPr="00983440">
        <w:rPr>
          <w:rFonts w:eastAsiaTheme="minorEastAsia"/>
          <w:sz w:val="22"/>
          <w:szCs w:val="22"/>
        </w:rPr>
        <w:t xml:space="preserve">Organizations like the National Football League (NFL) </w:t>
      </w:r>
      <w:r w:rsidRPr="00983440">
        <w:rPr>
          <w:rFonts w:eastAsiaTheme="minorEastAsia"/>
          <w:sz w:val="22"/>
          <w:szCs w:val="22"/>
        </w:rPr>
        <w:t>and</w:t>
      </w:r>
      <w:r w:rsidR="00D01D89" w:rsidRPr="00983440">
        <w:rPr>
          <w:rFonts w:eastAsiaTheme="minorEastAsia"/>
          <w:sz w:val="22"/>
          <w:szCs w:val="22"/>
        </w:rPr>
        <w:t xml:space="preserve"> Major League Baseball (MLB)</w:t>
      </w:r>
      <w:r w:rsidRPr="00983440">
        <w:rPr>
          <w:rFonts w:eastAsiaTheme="minorEastAsia"/>
          <w:sz w:val="22"/>
          <w:szCs w:val="22"/>
        </w:rPr>
        <w:t xml:space="preserve"> have adapted various machine learning techniques and </w:t>
      </w:r>
      <w:r w:rsidR="00D01D89" w:rsidRPr="00983440">
        <w:rPr>
          <w:rFonts w:eastAsiaTheme="minorEastAsia"/>
          <w:sz w:val="22"/>
          <w:szCs w:val="22"/>
        </w:rPr>
        <w:t>player-based</w:t>
      </w:r>
      <w:r w:rsidRPr="00983440">
        <w:rPr>
          <w:rFonts w:eastAsiaTheme="minorEastAsia"/>
          <w:sz w:val="22"/>
          <w:szCs w:val="22"/>
        </w:rPr>
        <w:t xml:space="preserve"> statistics to quantify the players worth and skill level</w:t>
      </w:r>
      <w:r w:rsidR="00D01D89" w:rsidRPr="00983440">
        <w:rPr>
          <w:rFonts w:eastAsiaTheme="minorEastAsia"/>
          <w:sz w:val="22"/>
          <w:szCs w:val="22"/>
        </w:rPr>
        <w:t xml:space="preserve"> </w:t>
      </w:r>
      <w:r w:rsidR="00D02C8C" w:rsidRPr="00983440">
        <w:rPr>
          <w:rFonts w:eastAsiaTheme="minorEastAsia"/>
          <w:sz w:val="22"/>
          <w:szCs w:val="22"/>
        </w:rPr>
        <w:t>(Parra et al., 2022)</w:t>
      </w:r>
      <w:r w:rsidRPr="00983440">
        <w:rPr>
          <w:rFonts w:eastAsiaTheme="minorEastAsia"/>
          <w:sz w:val="22"/>
          <w:szCs w:val="22"/>
        </w:rPr>
        <w:t xml:space="preserve">. </w:t>
      </w:r>
      <w:r w:rsidR="008039C2" w:rsidRPr="00983440">
        <w:rPr>
          <w:rFonts w:eastAsiaTheme="minorEastAsia"/>
          <w:sz w:val="22"/>
          <w:szCs w:val="22"/>
        </w:rPr>
        <w:t>Through these models, coaches can aid players in improving various weakness or construct a trade to improve a particular position</w:t>
      </w:r>
      <w:r w:rsidR="00D01D89" w:rsidRPr="00983440">
        <w:rPr>
          <w:rFonts w:eastAsiaTheme="minorEastAsia"/>
          <w:sz w:val="22"/>
          <w:szCs w:val="22"/>
        </w:rPr>
        <w:t xml:space="preserve"> within the league</w:t>
      </w:r>
      <w:r w:rsidR="008039C2" w:rsidRPr="00983440">
        <w:rPr>
          <w:rFonts w:eastAsiaTheme="minorEastAsia"/>
          <w:sz w:val="22"/>
          <w:szCs w:val="22"/>
        </w:rPr>
        <w:t xml:space="preserve">. </w:t>
      </w:r>
      <w:r w:rsidR="0025316D" w:rsidRPr="00983440">
        <w:rPr>
          <w:rFonts w:eastAsiaTheme="minorEastAsia"/>
          <w:sz w:val="22"/>
          <w:szCs w:val="22"/>
        </w:rPr>
        <w:t xml:space="preserve">Unlike, the NFL and MLB, </w:t>
      </w:r>
      <w:r w:rsidR="00272E96" w:rsidRPr="00983440">
        <w:rPr>
          <w:rFonts w:eastAsiaTheme="minorEastAsia"/>
          <w:sz w:val="22"/>
          <w:szCs w:val="22"/>
        </w:rPr>
        <w:t xml:space="preserve">however, </w:t>
      </w:r>
      <w:r w:rsidR="00D01D89" w:rsidRPr="00983440">
        <w:rPr>
          <w:rFonts w:eastAsiaTheme="minorEastAsia"/>
          <w:sz w:val="22"/>
          <w:szCs w:val="22"/>
        </w:rPr>
        <w:t xml:space="preserve">the professional golf association (PGA) </w:t>
      </w:r>
      <w:r w:rsidR="0025316D" w:rsidRPr="00983440">
        <w:rPr>
          <w:rFonts w:eastAsiaTheme="minorEastAsia"/>
          <w:sz w:val="22"/>
          <w:szCs w:val="22"/>
        </w:rPr>
        <w:t>has trailed in funding and data</w:t>
      </w:r>
      <w:r w:rsidR="00D01D89" w:rsidRPr="00983440">
        <w:rPr>
          <w:rFonts w:eastAsiaTheme="minorEastAsia"/>
          <w:sz w:val="22"/>
          <w:szCs w:val="22"/>
        </w:rPr>
        <w:t xml:space="preserve"> collection efforts, which negatively affect</w:t>
      </w:r>
      <w:r w:rsidR="00272E96" w:rsidRPr="00983440">
        <w:rPr>
          <w:rFonts w:eastAsiaTheme="minorEastAsia"/>
          <w:sz w:val="22"/>
          <w:szCs w:val="22"/>
        </w:rPr>
        <w:t>s</w:t>
      </w:r>
      <w:r w:rsidR="00D01D89" w:rsidRPr="00983440">
        <w:rPr>
          <w:rFonts w:eastAsiaTheme="minorEastAsia"/>
          <w:sz w:val="22"/>
          <w:szCs w:val="22"/>
        </w:rPr>
        <w:t xml:space="preserve"> their ability</w:t>
      </w:r>
      <w:r w:rsidR="0025316D" w:rsidRPr="00983440">
        <w:rPr>
          <w:rFonts w:eastAsiaTheme="minorEastAsia"/>
          <w:sz w:val="22"/>
          <w:szCs w:val="22"/>
        </w:rPr>
        <w:t xml:space="preserve"> to produce high quality and complex </w:t>
      </w:r>
      <w:r w:rsidR="00272E96" w:rsidRPr="00983440">
        <w:rPr>
          <w:rFonts w:eastAsiaTheme="minorEastAsia"/>
          <w:sz w:val="22"/>
          <w:szCs w:val="22"/>
        </w:rPr>
        <w:t xml:space="preserve">solutions </w:t>
      </w:r>
      <w:r w:rsidR="0025316D" w:rsidRPr="00983440">
        <w:rPr>
          <w:rFonts w:eastAsiaTheme="minorEastAsia"/>
          <w:sz w:val="22"/>
          <w:szCs w:val="22"/>
        </w:rPr>
        <w:t xml:space="preserve">for their players. </w:t>
      </w:r>
      <w:r w:rsidR="008039C2" w:rsidRPr="00983440">
        <w:rPr>
          <w:rFonts w:eastAsiaTheme="minorEastAsia"/>
          <w:sz w:val="22"/>
          <w:szCs w:val="22"/>
        </w:rPr>
        <w:t xml:space="preserve">It is only within the last decade that golf adapted training aids like </w:t>
      </w:r>
      <w:proofErr w:type="spellStart"/>
      <w:r w:rsidR="008039C2" w:rsidRPr="00983440">
        <w:rPr>
          <w:rFonts w:eastAsiaTheme="minorEastAsia"/>
          <w:sz w:val="22"/>
          <w:szCs w:val="22"/>
        </w:rPr>
        <w:t>TrackMan</w:t>
      </w:r>
      <w:proofErr w:type="spellEnd"/>
      <w:r w:rsidR="008039C2" w:rsidRPr="00983440">
        <w:rPr>
          <w:rFonts w:eastAsiaTheme="minorEastAsia"/>
          <w:sz w:val="22"/>
          <w:szCs w:val="22"/>
        </w:rPr>
        <w:t xml:space="preserve"> or </w:t>
      </w:r>
      <w:proofErr w:type="spellStart"/>
      <w:r w:rsidR="008039C2" w:rsidRPr="00983440">
        <w:rPr>
          <w:rFonts w:eastAsiaTheme="minorEastAsia"/>
          <w:sz w:val="22"/>
          <w:szCs w:val="22"/>
        </w:rPr>
        <w:t>GCQuad</w:t>
      </w:r>
      <w:proofErr w:type="spellEnd"/>
      <w:r w:rsidR="008039C2" w:rsidRPr="00983440">
        <w:rPr>
          <w:rFonts w:eastAsiaTheme="minorEastAsia"/>
          <w:sz w:val="22"/>
          <w:szCs w:val="22"/>
        </w:rPr>
        <w:t xml:space="preserve"> that measure various</w:t>
      </w:r>
      <w:r w:rsidR="00B156CE" w:rsidRPr="00983440">
        <w:rPr>
          <w:rFonts w:eastAsiaTheme="minorEastAsia"/>
          <w:sz w:val="22"/>
          <w:szCs w:val="22"/>
        </w:rPr>
        <w:t xml:space="preserve"> swing</w:t>
      </w:r>
      <w:r w:rsidR="008039C2" w:rsidRPr="00983440">
        <w:rPr>
          <w:rFonts w:eastAsiaTheme="minorEastAsia"/>
          <w:sz w:val="22"/>
          <w:szCs w:val="22"/>
        </w:rPr>
        <w:t xml:space="preserve"> indicators like </w:t>
      </w:r>
      <w:r w:rsidR="008039C2" w:rsidRPr="00983440">
        <w:rPr>
          <w:rFonts w:eastAsiaTheme="minorEastAsia"/>
          <w:i/>
          <w:iCs/>
          <w:sz w:val="22"/>
          <w:szCs w:val="22"/>
        </w:rPr>
        <w:t>Smash Factor</w:t>
      </w:r>
      <w:r w:rsidR="008039C2" w:rsidRPr="00983440">
        <w:rPr>
          <w:rFonts w:eastAsiaTheme="minorEastAsia"/>
          <w:sz w:val="22"/>
          <w:szCs w:val="22"/>
        </w:rPr>
        <w:t xml:space="preserve">, </w:t>
      </w:r>
      <w:r w:rsidR="008039C2" w:rsidRPr="00983440">
        <w:rPr>
          <w:rFonts w:eastAsiaTheme="minorEastAsia"/>
          <w:i/>
          <w:iCs/>
          <w:sz w:val="22"/>
          <w:szCs w:val="22"/>
        </w:rPr>
        <w:t>Spin Rate</w:t>
      </w:r>
      <w:r w:rsidR="008039C2" w:rsidRPr="00983440">
        <w:rPr>
          <w:rFonts w:eastAsiaTheme="minorEastAsia"/>
          <w:sz w:val="22"/>
          <w:szCs w:val="22"/>
        </w:rPr>
        <w:t xml:space="preserve"> and </w:t>
      </w:r>
      <w:r w:rsidR="008039C2" w:rsidRPr="00983440">
        <w:rPr>
          <w:rFonts w:eastAsiaTheme="minorEastAsia"/>
          <w:i/>
          <w:iCs/>
          <w:sz w:val="22"/>
          <w:szCs w:val="22"/>
        </w:rPr>
        <w:t>Angle of Decent</w:t>
      </w:r>
      <w:r w:rsidR="009949FD" w:rsidRPr="00983440">
        <w:rPr>
          <w:rFonts w:eastAsiaTheme="minorEastAsia"/>
          <w:sz w:val="22"/>
          <w:szCs w:val="22"/>
        </w:rPr>
        <w:t xml:space="preserve"> with great accuracy</w:t>
      </w:r>
      <w:r w:rsidR="00D02C8C" w:rsidRPr="00983440">
        <w:rPr>
          <w:rFonts w:eastAsiaTheme="minorEastAsia"/>
          <w:sz w:val="22"/>
          <w:szCs w:val="22"/>
          <w:vertAlign w:val="superscript"/>
        </w:rPr>
        <w:t>1</w:t>
      </w:r>
      <w:r w:rsidR="008039C2" w:rsidRPr="00983440">
        <w:rPr>
          <w:rFonts w:eastAsiaTheme="minorEastAsia"/>
          <w:sz w:val="22"/>
          <w:szCs w:val="22"/>
        </w:rPr>
        <w:t xml:space="preserve">. </w:t>
      </w:r>
      <w:r w:rsidR="00B156CE" w:rsidRPr="00983440">
        <w:rPr>
          <w:rFonts w:eastAsiaTheme="minorEastAsia"/>
          <w:sz w:val="22"/>
          <w:szCs w:val="22"/>
        </w:rPr>
        <w:t>Furthermore, the complexity of performance analysis is limited to summations, averages, and proportions, like driving accuracy, average carry distance, and greens in regulation (GIR</w:t>
      </w:r>
      <w:r w:rsidR="00AF4B83" w:rsidRPr="00983440">
        <w:rPr>
          <w:rFonts w:eastAsiaTheme="minorEastAsia"/>
          <w:sz w:val="22"/>
          <w:szCs w:val="22"/>
        </w:rPr>
        <w:t>)</w:t>
      </w:r>
      <w:r w:rsidR="00D02C8C" w:rsidRPr="00983440">
        <w:rPr>
          <w:rFonts w:eastAsiaTheme="minorEastAsia"/>
          <w:sz w:val="22"/>
          <w:szCs w:val="22"/>
          <w:vertAlign w:val="superscript"/>
        </w:rPr>
        <w:t>1</w:t>
      </w:r>
      <w:r w:rsidR="00B156CE" w:rsidRPr="00983440">
        <w:rPr>
          <w:rFonts w:eastAsiaTheme="minorEastAsia"/>
          <w:sz w:val="22"/>
          <w:szCs w:val="22"/>
        </w:rPr>
        <w:t xml:space="preserve">. </w:t>
      </w:r>
      <w:r w:rsidR="00461F37" w:rsidRPr="00983440">
        <w:rPr>
          <w:rFonts w:eastAsiaTheme="minorEastAsia"/>
          <w:sz w:val="22"/>
          <w:szCs w:val="22"/>
        </w:rPr>
        <w:t>Overall, the lack of data guidance within golf is severely lacking.</w:t>
      </w:r>
    </w:p>
    <w:p w14:paraId="2B51D54E" w14:textId="5C0DBA45" w:rsidR="004F3DC6" w:rsidRPr="00983440" w:rsidRDefault="00461F37" w:rsidP="00983440">
      <w:pPr>
        <w:spacing w:line="240" w:lineRule="auto"/>
        <w:ind w:firstLine="360"/>
        <w:contextualSpacing/>
        <w:rPr>
          <w:rFonts w:eastAsiaTheme="minorEastAsia"/>
          <w:sz w:val="22"/>
          <w:szCs w:val="22"/>
        </w:rPr>
      </w:pPr>
      <w:bookmarkStart w:id="0" w:name="_Hlk121326375"/>
      <w:r w:rsidRPr="00983440">
        <w:rPr>
          <w:rFonts w:eastAsiaTheme="minorEastAsia"/>
          <w:sz w:val="22"/>
          <w:szCs w:val="22"/>
        </w:rPr>
        <w:t xml:space="preserve">The work aims to improve data drive practice within golf by using </w:t>
      </w:r>
      <w:r w:rsidR="00D648A6" w:rsidRPr="00983440">
        <w:rPr>
          <w:rFonts w:eastAsiaTheme="minorEastAsia"/>
          <w:sz w:val="22"/>
          <w:szCs w:val="22"/>
        </w:rPr>
        <w:t xml:space="preserve">event data </w:t>
      </w:r>
      <w:r w:rsidRPr="00983440">
        <w:rPr>
          <w:rFonts w:eastAsiaTheme="minorEastAsia"/>
          <w:sz w:val="22"/>
          <w:szCs w:val="22"/>
        </w:rPr>
        <w:t xml:space="preserve">gathered between the </w:t>
      </w:r>
      <w:r w:rsidR="00D648A6" w:rsidRPr="00983440">
        <w:rPr>
          <w:rFonts w:eastAsiaTheme="minorEastAsia"/>
          <w:sz w:val="22"/>
          <w:szCs w:val="22"/>
        </w:rPr>
        <w:t>2015</w:t>
      </w:r>
      <w:r w:rsidRPr="00983440">
        <w:rPr>
          <w:rFonts w:eastAsiaTheme="minorEastAsia"/>
          <w:sz w:val="22"/>
          <w:szCs w:val="22"/>
        </w:rPr>
        <w:t xml:space="preserve"> and </w:t>
      </w:r>
      <w:r w:rsidR="00D648A6" w:rsidRPr="00983440">
        <w:rPr>
          <w:rFonts w:eastAsiaTheme="minorEastAsia"/>
          <w:sz w:val="22"/>
          <w:szCs w:val="22"/>
        </w:rPr>
        <w:t>2019 PGA tour season</w:t>
      </w:r>
      <w:r w:rsidR="00DA4A4D" w:rsidRPr="00983440">
        <w:rPr>
          <w:rFonts w:eastAsiaTheme="minorEastAsia"/>
          <w:sz w:val="22"/>
          <w:szCs w:val="22"/>
        </w:rPr>
        <w:t>s</w:t>
      </w:r>
      <w:r w:rsidRPr="00983440">
        <w:rPr>
          <w:rFonts w:eastAsiaTheme="minorEastAsia"/>
          <w:sz w:val="22"/>
          <w:szCs w:val="22"/>
        </w:rPr>
        <w:t>. The goal of this work would be</w:t>
      </w:r>
      <w:r w:rsidR="00D648A6" w:rsidRPr="00983440">
        <w:rPr>
          <w:rFonts w:eastAsiaTheme="minorEastAsia"/>
          <w:sz w:val="22"/>
          <w:szCs w:val="22"/>
        </w:rPr>
        <w:t xml:space="preserve"> to</w:t>
      </w:r>
      <w:r w:rsidR="00B156CE" w:rsidRPr="00983440">
        <w:rPr>
          <w:rFonts w:eastAsiaTheme="minorEastAsia"/>
          <w:sz w:val="22"/>
          <w:szCs w:val="22"/>
        </w:rPr>
        <w:t xml:space="preserve"> conduct a performance analysis </w:t>
      </w:r>
      <w:r w:rsidR="00EF36BE" w:rsidRPr="00983440">
        <w:rPr>
          <w:rFonts w:eastAsiaTheme="minorEastAsia"/>
          <w:sz w:val="22"/>
          <w:szCs w:val="22"/>
        </w:rPr>
        <w:t xml:space="preserve">on </w:t>
      </w:r>
      <w:r w:rsidR="00D648A6" w:rsidRPr="00983440">
        <w:rPr>
          <w:rFonts w:eastAsiaTheme="minorEastAsia"/>
          <w:sz w:val="22"/>
          <w:szCs w:val="22"/>
        </w:rPr>
        <w:t xml:space="preserve">the top </w:t>
      </w:r>
      <w:r w:rsidR="006332D8" w:rsidRPr="00983440">
        <w:rPr>
          <w:rFonts w:eastAsiaTheme="minorEastAsia"/>
          <w:sz w:val="22"/>
          <w:szCs w:val="22"/>
        </w:rPr>
        <w:t xml:space="preserve">three </w:t>
      </w:r>
      <w:r w:rsidR="00EF36BE" w:rsidRPr="00983440">
        <w:rPr>
          <w:rFonts w:eastAsiaTheme="minorEastAsia"/>
          <w:sz w:val="22"/>
          <w:szCs w:val="22"/>
        </w:rPr>
        <w:t xml:space="preserve">professional </w:t>
      </w:r>
      <w:r w:rsidR="006332D8" w:rsidRPr="00983440">
        <w:rPr>
          <w:rFonts w:eastAsiaTheme="minorEastAsia"/>
          <w:sz w:val="22"/>
          <w:szCs w:val="22"/>
        </w:rPr>
        <w:t>golfers</w:t>
      </w:r>
      <w:r w:rsidR="00D648A6" w:rsidRPr="00983440">
        <w:rPr>
          <w:rFonts w:eastAsiaTheme="minorEastAsia"/>
          <w:sz w:val="22"/>
          <w:szCs w:val="22"/>
        </w:rPr>
        <w:t>. More specifically,</w:t>
      </w:r>
      <w:r w:rsidR="00B156CE" w:rsidRPr="00983440">
        <w:rPr>
          <w:rFonts w:eastAsiaTheme="minorEastAsia"/>
          <w:sz w:val="22"/>
          <w:szCs w:val="22"/>
        </w:rPr>
        <w:t xml:space="preserve"> a multivariate multiple linear regression model</w:t>
      </w:r>
      <w:r w:rsidR="00D648A6" w:rsidRPr="00983440">
        <w:rPr>
          <w:rFonts w:eastAsiaTheme="minorEastAsia"/>
          <w:sz w:val="22"/>
          <w:szCs w:val="22"/>
        </w:rPr>
        <w:t xml:space="preserve"> will be used</w:t>
      </w:r>
      <w:r w:rsidR="00B156CE" w:rsidRPr="00983440">
        <w:rPr>
          <w:rFonts w:eastAsiaTheme="minorEastAsia"/>
          <w:sz w:val="22"/>
          <w:szCs w:val="22"/>
        </w:rPr>
        <w:t xml:space="preserve"> to predict </w:t>
      </w:r>
      <w:r w:rsidR="00D648A6" w:rsidRPr="00983440">
        <w:rPr>
          <w:rFonts w:eastAsiaTheme="minorEastAsia"/>
          <w:sz w:val="22"/>
          <w:szCs w:val="22"/>
        </w:rPr>
        <w:t xml:space="preserve">three </w:t>
      </w:r>
      <w:r w:rsidR="00B156CE" w:rsidRPr="00983440">
        <w:rPr>
          <w:rFonts w:eastAsiaTheme="minorEastAsia"/>
          <w:sz w:val="22"/>
          <w:szCs w:val="22"/>
        </w:rPr>
        <w:t>key performance indicators</w:t>
      </w:r>
      <w:r w:rsidR="003A7B41" w:rsidRPr="00983440">
        <w:rPr>
          <w:rFonts w:eastAsiaTheme="minorEastAsia"/>
          <w:sz w:val="22"/>
          <w:szCs w:val="22"/>
        </w:rPr>
        <w:t xml:space="preserve"> (KPI)</w:t>
      </w:r>
      <w:r w:rsidR="00EF36BE" w:rsidRPr="00983440">
        <w:rPr>
          <w:rFonts w:eastAsiaTheme="minorEastAsia"/>
          <w:sz w:val="22"/>
          <w:szCs w:val="22"/>
        </w:rPr>
        <w:t xml:space="preserve"> </w:t>
      </w:r>
      <w:r w:rsidR="00415C17" w:rsidRPr="00983440">
        <w:rPr>
          <w:rFonts w:eastAsiaTheme="minorEastAsia"/>
          <w:sz w:val="22"/>
          <w:szCs w:val="22"/>
        </w:rPr>
        <w:t>and</w:t>
      </w:r>
      <w:r w:rsidR="00670EDE" w:rsidRPr="00983440">
        <w:rPr>
          <w:rFonts w:eastAsiaTheme="minorEastAsia"/>
          <w:sz w:val="22"/>
          <w:szCs w:val="22"/>
        </w:rPr>
        <w:t xml:space="preserve"> partial η</w:t>
      </w:r>
      <w:r w:rsidR="00670EDE" w:rsidRPr="00983440">
        <w:rPr>
          <w:rFonts w:eastAsiaTheme="minorEastAsia"/>
          <w:sz w:val="22"/>
          <w:szCs w:val="22"/>
          <w:vertAlign w:val="superscript"/>
        </w:rPr>
        <w:t>2</w:t>
      </w:r>
      <w:r w:rsidR="00415C17" w:rsidRPr="00983440">
        <w:rPr>
          <w:rFonts w:eastAsiaTheme="minorEastAsia"/>
          <w:sz w:val="22"/>
          <w:szCs w:val="22"/>
        </w:rPr>
        <w:t xml:space="preserve"> </w:t>
      </w:r>
      <w:r w:rsidR="00670EDE" w:rsidRPr="00983440">
        <w:rPr>
          <w:rFonts w:eastAsiaTheme="minorEastAsia"/>
          <w:sz w:val="22"/>
          <w:szCs w:val="22"/>
        </w:rPr>
        <w:t xml:space="preserve">will be used to </w:t>
      </w:r>
      <w:r w:rsidR="00415C17" w:rsidRPr="00983440">
        <w:rPr>
          <w:rFonts w:eastAsiaTheme="minorEastAsia"/>
          <w:sz w:val="22"/>
          <w:szCs w:val="22"/>
        </w:rPr>
        <w:t xml:space="preserve">quantify the </w:t>
      </w:r>
      <w:r w:rsidR="005F750A" w:rsidRPr="00983440">
        <w:rPr>
          <w:rFonts w:eastAsiaTheme="minorEastAsia"/>
          <w:sz w:val="22"/>
          <w:szCs w:val="22"/>
        </w:rPr>
        <w:t xml:space="preserve">proportion </w:t>
      </w:r>
      <w:r w:rsidR="00623A10" w:rsidRPr="00983440">
        <w:rPr>
          <w:rFonts w:eastAsiaTheme="minorEastAsia"/>
          <w:sz w:val="22"/>
          <w:szCs w:val="22"/>
        </w:rPr>
        <w:t xml:space="preserve">of </w:t>
      </w:r>
      <w:r w:rsidR="005F750A" w:rsidRPr="00983440">
        <w:rPr>
          <w:rFonts w:eastAsiaTheme="minorEastAsia"/>
          <w:sz w:val="22"/>
          <w:szCs w:val="22"/>
        </w:rPr>
        <w:t>variance accounted for by</w:t>
      </w:r>
      <w:r w:rsidR="00415C17" w:rsidRPr="00983440">
        <w:rPr>
          <w:rFonts w:eastAsiaTheme="minorEastAsia"/>
          <w:sz w:val="22"/>
          <w:szCs w:val="22"/>
        </w:rPr>
        <w:t xml:space="preserve"> each regressor</w:t>
      </w:r>
      <w:r w:rsidR="003A7B41" w:rsidRPr="00983440">
        <w:rPr>
          <w:rFonts w:eastAsiaTheme="minorEastAsia"/>
          <w:sz w:val="22"/>
          <w:szCs w:val="22"/>
        </w:rPr>
        <w:t xml:space="preserve"> </w:t>
      </w:r>
      <w:r w:rsidR="00623A10" w:rsidRPr="00983440">
        <w:rPr>
          <w:rFonts w:eastAsiaTheme="minorEastAsia"/>
          <w:sz w:val="22"/>
          <w:szCs w:val="22"/>
        </w:rPr>
        <w:t>in each</w:t>
      </w:r>
      <w:r w:rsidR="00D648A6" w:rsidRPr="00983440">
        <w:rPr>
          <w:rFonts w:eastAsiaTheme="minorEastAsia"/>
          <w:sz w:val="22"/>
          <w:szCs w:val="22"/>
        </w:rPr>
        <w:t xml:space="preserve"> of the</w:t>
      </w:r>
      <w:r w:rsidR="003A7B41" w:rsidRPr="00983440">
        <w:rPr>
          <w:rFonts w:eastAsiaTheme="minorEastAsia"/>
          <w:sz w:val="22"/>
          <w:szCs w:val="22"/>
        </w:rPr>
        <w:t xml:space="preserve"> KPIs</w:t>
      </w:r>
      <w:r w:rsidR="009B37DC" w:rsidRPr="00983440">
        <w:rPr>
          <w:rFonts w:eastAsiaTheme="minorEastAsia"/>
          <w:sz w:val="22"/>
          <w:szCs w:val="22"/>
        </w:rPr>
        <w:t xml:space="preserve"> and the total model</w:t>
      </w:r>
      <w:r w:rsidR="00B156CE" w:rsidRPr="00983440">
        <w:rPr>
          <w:rFonts w:eastAsiaTheme="minorEastAsia"/>
          <w:sz w:val="22"/>
          <w:szCs w:val="22"/>
        </w:rPr>
        <w:t>.</w:t>
      </w:r>
      <w:r w:rsidR="00EF36BE" w:rsidRPr="00983440">
        <w:rPr>
          <w:rFonts w:eastAsiaTheme="minorEastAsia"/>
          <w:sz w:val="22"/>
          <w:szCs w:val="22"/>
        </w:rPr>
        <w:t xml:space="preserve"> </w:t>
      </w:r>
      <w:bookmarkEnd w:id="0"/>
      <w:r w:rsidR="00D648A6" w:rsidRPr="00983440">
        <w:rPr>
          <w:rFonts w:eastAsiaTheme="minorEastAsia"/>
          <w:sz w:val="22"/>
          <w:szCs w:val="22"/>
        </w:rPr>
        <w:t>Further, model a</w:t>
      </w:r>
      <w:r w:rsidR="00EF36BE" w:rsidRPr="00983440">
        <w:rPr>
          <w:rFonts w:eastAsiaTheme="minorEastAsia"/>
          <w:sz w:val="22"/>
          <w:szCs w:val="22"/>
        </w:rPr>
        <w:t xml:space="preserve">ccuracy will </w:t>
      </w:r>
      <w:r w:rsidR="0050362A" w:rsidRPr="00983440">
        <w:rPr>
          <w:rFonts w:eastAsiaTheme="minorEastAsia"/>
          <w:sz w:val="22"/>
          <w:szCs w:val="22"/>
        </w:rPr>
        <w:t>be determined</w:t>
      </w:r>
      <w:r w:rsidR="00EF36BE" w:rsidRPr="00983440">
        <w:rPr>
          <w:rFonts w:eastAsiaTheme="minorEastAsia"/>
          <w:sz w:val="22"/>
          <w:szCs w:val="22"/>
        </w:rPr>
        <w:t xml:space="preserve"> by adj.R</w:t>
      </w:r>
      <w:r w:rsidR="00EF36BE" w:rsidRPr="00983440">
        <w:rPr>
          <w:rFonts w:eastAsiaTheme="minorEastAsia"/>
          <w:sz w:val="22"/>
          <w:szCs w:val="22"/>
          <w:vertAlign w:val="superscript"/>
        </w:rPr>
        <w:t>2</w:t>
      </w:r>
      <w:r w:rsidR="00EF36BE" w:rsidRPr="00983440">
        <w:rPr>
          <w:rFonts w:eastAsiaTheme="minorEastAsia"/>
          <w:sz w:val="22"/>
          <w:szCs w:val="22"/>
        </w:rPr>
        <w:t xml:space="preserve">, and </w:t>
      </w:r>
      <w:r w:rsidR="009B361E" w:rsidRPr="00983440">
        <w:rPr>
          <w:rFonts w:eastAsiaTheme="minorEastAsia"/>
          <w:sz w:val="22"/>
          <w:szCs w:val="22"/>
        </w:rPr>
        <w:t>mean absolute percentage error (MAPE)</w:t>
      </w:r>
      <w:r w:rsidR="00983440" w:rsidRPr="00983440">
        <w:rPr>
          <w:rFonts w:eastAsiaTheme="minorEastAsia"/>
          <w:sz w:val="22"/>
          <w:szCs w:val="22"/>
          <w:vertAlign w:val="superscript"/>
        </w:rPr>
        <w:t>2</w:t>
      </w:r>
      <w:r w:rsidR="009B361E" w:rsidRPr="00983440">
        <w:rPr>
          <w:rFonts w:eastAsiaTheme="minorEastAsia"/>
          <w:sz w:val="22"/>
          <w:szCs w:val="22"/>
        </w:rPr>
        <w:t xml:space="preserve"> </w:t>
      </w:r>
      <w:r w:rsidR="00EF36BE" w:rsidRPr="00983440">
        <w:rPr>
          <w:rFonts w:eastAsiaTheme="minorEastAsia"/>
          <w:sz w:val="22"/>
          <w:szCs w:val="22"/>
        </w:rPr>
        <w:t>(</w:t>
      </w:r>
      <w:bookmarkStart w:id="1" w:name="_Hlk117884127"/>
      <m:oMath>
        <m:sSub>
          <m:sSubPr>
            <m:ctrlPr>
              <w:rPr>
                <w:rFonts w:ascii="Cambria Math" w:eastAsiaTheme="minorEastAsia" w:hAnsi="Cambria Math"/>
                <w:i/>
                <w:sz w:val="22"/>
                <w:szCs w:val="22"/>
              </w:rPr>
            </m:ctrlPr>
          </m:sSubPr>
          <m:e>
            <m:r>
              <w:rPr>
                <w:rFonts w:ascii="Cambria Math" w:eastAsiaTheme="minorEastAsia" w:hAnsi="Cambria Math"/>
                <w:sz w:val="22"/>
                <w:szCs w:val="22"/>
              </w:rPr>
              <m:t>MAPE</m:t>
            </m:r>
          </m:e>
          <m:sub>
            <m:r>
              <w:rPr>
                <w:rFonts w:ascii="Cambria Math" w:eastAsiaTheme="minorEastAsia" w:hAnsi="Cambria Math"/>
                <w:sz w:val="22"/>
                <w:szCs w:val="22"/>
              </w:rPr>
              <m:t>i,j,k</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n</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f>
                  <m:fPr>
                    <m:ctrlPr>
                      <w:rPr>
                        <w:rFonts w:ascii="Cambria Math" w:eastAsiaTheme="minorEastAsia" w:hAnsi="Cambria Math"/>
                        <w:i/>
                        <w:sz w:val="22"/>
                        <w:szCs w:val="22"/>
                      </w:rPr>
                    </m:ctrlPr>
                  </m:fPr>
                  <m:num>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i,j,k</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i,j,k</m:t>
                            </m:r>
                          </m:sub>
                        </m:sSub>
                      </m:e>
                    </m:d>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i,j,k</m:t>
                            </m:r>
                          </m:sub>
                        </m:sSub>
                      </m:e>
                    </m:d>
                  </m:den>
                </m:f>
              </m:e>
            </m:nary>
          </m:e>
        </m:d>
        <m:r>
          <w:rPr>
            <w:rFonts w:ascii="Cambria Math" w:eastAsiaTheme="minorEastAsia" w:hAnsi="Cambria Math"/>
            <w:sz w:val="22"/>
            <w:szCs w:val="22"/>
          </w:rPr>
          <m:t>*100,</m:t>
        </m:r>
        <w:bookmarkEnd w:id="1"/>
        <m:r>
          <w:rPr>
            <w:rFonts w:ascii="Cambria Math" w:eastAsiaTheme="minorEastAsia" w:hAnsi="Cambria Math"/>
            <w:sz w:val="22"/>
            <w:szCs w:val="22"/>
          </w:rPr>
          <m:t xml:space="preserve"> </m:t>
        </m:r>
      </m:oMath>
      <w:r w:rsidR="00267CB8" w:rsidRPr="00983440">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MAPE</m:t>
            </m:r>
          </m:e>
          <m:sub>
            <m:r>
              <w:rPr>
                <w:rFonts w:ascii="Cambria Math" w:eastAsiaTheme="minorEastAsia" w:hAnsi="Cambria Math"/>
                <w:sz w:val="22"/>
                <w:szCs w:val="22"/>
              </w:rPr>
              <m:t>i,j,k</m:t>
            </m:r>
          </m:sub>
        </m:sSub>
      </m:oMath>
      <w:r w:rsidR="00267CB8" w:rsidRPr="00983440">
        <w:rPr>
          <w:rFonts w:eastAsiaTheme="minorEastAsia"/>
          <w:sz w:val="22"/>
          <w:szCs w:val="22"/>
        </w:rPr>
        <w:t xml:space="preserve"> is the </w:t>
      </w:r>
      <w:r w:rsidR="009B361E" w:rsidRPr="00983440">
        <w:rPr>
          <w:rFonts w:eastAsiaTheme="minorEastAsia"/>
          <w:sz w:val="22"/>
          <w:szCs w:val="22"/>
        </w:rPr>
        <w:t xml:space="preserve">mean absolute percentage error </w:t>
      </w:r>
      <w:r w:rsidR="00267CB8" w:rsidRPr="00983440">
        <w:rPr>
          <w:rFonts w:eastAsiaTheme="minorEastAsia"/>
          <w:sz w:val="22"/>
          <w:szCs w:val="22"/>
        </w:rPr>
        <w:t xml:space="preserve">value for the </w:t>
      </w:r>
      <m:oMath>
        <m:r>
          <w:rPr>
            <w:rFonts w:ascii="Cambria Math" w:eastAsiaTheme="minorEastAsia" w:hAnsi="Cambria Math"/>
            <w:sz w:val="22"/>
            <w:szCs w:val="22"/>
          </w:rPr>
          <m:t>i,j,k</m:t>
        </m:r>
      </m:oMath>
      <w:r w:rsidR="00267CB8" w:rsidRPr="00983440">
        <w:rPr>
          <w:rFonts w:eastAsiaTheme="minorEastAsia"/>
          <w:sz w:val="22"/>
          <w:szCs w:val="22"/>
        </w:rPr>
        <w:t xml:space="preserve"> KPI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ijk</m:t>
            </m:r>
          </m:sub>
        </m:sSub>
      </m:oMath>
      <w:r w:rsidR="00267CB8" w:rsidRPr="00983440">
        <w:rPr>
          <w:rFonts w:eastAsiaTheme="minorEastAsia"/>
          <w:sz w:val="22"/>
          <w:szCs w:val="22"/>
        </w:rPr>
        <w:t xml:space="preserve"> is the </w:t>
      </w:r>
      <w:r w:rsidR="009B361E" w:rsidRPr="00983440">
        <w:rPr>
          <w:rFonts w:eastAsiaTheme="minorEastAsia"/>
          <w:sz w:val="22"/>
          <w:szCs w:val="22"/>
        </w:rPr>
        <w:t>actual</w:t>
      </w:r>
      <w:r w:rsidR="00267CB8" w:rsidRPr="00983440">
        <w:rPr>
          <w:rFonts w:eastAsiaTheme="minorEastAsia"/>
          <w:sz w:val="22"/>
          <w:szCs w:val="22"/>
        </w:rPr>
        <w:t xml:space="preserve"> value for the </w:t>
      </w:r>
      <m:oMath>
        <m:r>
          <w:rPr>
            <w:rFonts w:ascii="Cambria Math" w:eastAsiaTheme="minorEastAsia" w:hAnsi="Cambria Math"/>
            <w:sz w:val="22"/>
            <w:szCs w:val="22"/>
          </w:rPr>
          <m:t>i,j,k</m:t>
        </m:r>
      </m:oMath>
      <w:r w:rsidR="00267CB8" w:rsidRPr="00983440">
        <w:rPr>
          <w:rFonts w:eastAsiaTheme="minorEastAsia"/>
          <w:sz w:val="22"/>
          <w:szCs w:val="22"/>
        </w:rPr>
        <w:t xml:space="preserve"> KPI</w:t>
      </w:r>
      <w:r w:rsidR="009B361E" w:rsidRPr="00983440">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ijk</m:t>
            </m:r>
          </m:sub>
        </m:sSub>
      </m:oMath>
      <w:r w:rsidR="00267CB8" w:rsidRPr="00983440">
        <w:rPr>
          <w:rFonts w:eastAsiaTheme="minorEastAsia"/>
          <w:sz w:val="22"/>
          <w:szCs w:val="22"/>
        </w:rPr>
        <w:t xml:space="preserve"> </w:t>
      </w:r>
      <w:r w:rsidR="009B361E" w:rsidRPr="00983440">
        <w:rPr>
          <w:rFonts w:eastAsiaTheme="minorEastAsia"/>
          <w:sz w:val="22"/>
          <w:szCs w:val="22"/>
        </w:rPr>
        <w:t>is the predicted value given by the model</w:t>
      </w:r>
      <w:r w:rsidR="00267CB8" w:rsidRPr="00983440">
        <w:rPr>
          <w:rFonts w:eastAsiaTheme="minorEastAsia"/>
          <w:sz w:val="22"/>
          <w:szCs w:val="22"/>
        </w:rPr>
        <w:t>.</w:t>
      </w:r>
    </w:p>
    <w:p w14:paraId="63FD4787" w14:textId="3A1C7B28" w:rsidR="0050362A" w:rsidRDefault="008039C2" w:rsidP="00983440">
      <w:pPr>
        <w:spacing w:line="240" w:lineRule="auto"/>
        <w:ind w:firstLine="360"/>
        <w:contextualSpacing/>
        <w:rPr>
          <w:rFonts w:eastAsiaTheme="minorEastAsia"/>
          <w:sz w:val="22"/>
          <w:szCs w:val="22"/>
        </w:rPr>
      </w:pPr>
      <w:r w:rsidRPr="00983440">
        <w:rPr>
          <w:rFonts w:eastAsiaTheme="minorEastAsia"/>
          <w:sz w:val="22"/>
          <w:szCs w:val="22"/>
        </w:rPr>
        <w:t>A p</w:t>
      </w:r>
      <w:r w:rsidR="0025316D" w:rsidRPr="00983440">
        <w:rPr>
          <w:rFonts w:eastAsiaTheme="minorEastAsia"/>
          <w:sz w:val="22"/>
          <w:szCs w:val="22"/>
        </w:rPr>
        <w:t xml:space="preserve">erformance analysis is characterized by defining </w:t>
      </w:r>
      <w:r w:rsidR="00DB2F8E" w:rsidRPr="00983440">
        <w:rPr>
          <w:rFonts w:eastAsiaTheme="minorEastAsia"/>
          <w:sz w:val="22"/>
          <w:szCs w:val="22"/>
        </w:rPr>
        <w:t xml:space="preserve">and analysing </w:t>
      </w:r>
      <w:r w:rsidR="0025316D" w:rsidRPr="00983440">
        <w:rPr>
          <w:rFonts w:eastAsiaTheme="minorEastAsia"/>
          <w:sz w:val="22"/>
          <w:szCs w:val="22"/>
        </w:rPr>
        <w:t>how an outcome</w:t>
      </w:r>
      <w:r w:rsidR="00D05D84" w:rsidRPr="00983440">
        <w:rPr>
          <w:rFonts w:eastAsiaTheme="minorEastAsia"/>
          <w:sz w:val="22"/>
          <w:szCs w:val="22"/>
        </w:rPr>
        <w:t xml:space="preserve"> </w:t>
      </w:r>
      <w:r w:rsidR="008651BA" w:rsidRPr="00983440">
        <w:rPr>
          <w:rFonts w:eastAsiaTheme="minorEastAsia"/>
          <w:sz w:val="22"/>
          <w:szCs w:val="22"/>
        </w:rPr>
        <w:t xml:space="preserve">or metric </w:t>
      </w:r>
      <w:r w:rsidR="00D05D84" w:rsidRPr="00983440">
        <w:rPr>
          <w:rFonts w:eastAsiaTheme="minorEastAsia"/>
          <w:sz w:val="22"/>
          <w:szCs w:val="22"/>
        </w:rPr>
        <w:t>(</w:t>
      </w:r>
      <w:r w:rsidR="00C231A2" w:rsidRPr="00983440">
        <w:rPr>
          <w:rFonts w:eastAsiaTheme="minorEastAsia"/>
          <w:sz w:val="22"/>
          <w:szCs w:val="22"/>
        </w:rPr>
        <w:t xml:space="preserve">e.g., </w:t>
      </w:r>
      <w:r w:rsidR="00662870" w:rsidRPr="00983440">
        <w:rPr>
          <w:rFonts w:eastAsiaTheme="minorEastAsia"/>
          <w:sz w:val="22"/>
          <w:szCs w:val="22"/>
        </w:rPr>
        <w:t>KPI’s</w:t>
      </w:r>
      <w:r w:rsidR="00D05D84" w:rsidRPr="00983440">
        <w:rPr>
          <w:rFonts w:eastAsiaTheme="minorEastAsia"/>
          <w:sz w:val="22"/>
          <w:szCs w:val="22"/>
        </w:rPr>
        <w:t>)</w:t>
      </w:r>
      <w:r w:rsidR="0025316D" w:rsidRPr="00983440">
        <w:rPr>
          <w:rFonts w:eastAsiaTheme="minorEastAsia"/>
          <w:sz w:val="22"/>
          <w:szCs w:val="22"/>
        </w:rPr>
        <w:t xml:space="preserve"> </w:t>
      </w:r>
      <w:r w:rsidR="00662870" w:rsidRPr="00983440">
        <w:rPr>
          <w:rFonts w:eastAsiaTheme="minorEastAsia"/>
          <w:sz w:val="22"/>
          <w:szCs w:val="22"/>
        </w:rPr>
        <w:t>are</w:t>
      </w:r>
      <w:r w:rsidR="0025316D" w:rsidRPr="00983440">
        <w:rPr>
          <w:rFonts w:eastAsiaTheme="minorEastAsia"/>
          <w:sz w:val="22"/>
          <w:szCs w:val="22"/>
        </w:rPr>
        <w:t xml:space="preserve"> attained (Hughes &amp; Bartlett, 2002)</w:t>
      </w:r>
      <w:r w:rsidR="00D05D84" w:rsidRPr="00983440">
        <w:rPr>
          <w:rFonts w:eastAsiaTheme="minorEastAsia"/>
          <w:sz w:val="22"/>
          <w:szCs w:val="22"/>
        </w:rPr>
        <w:t xml:space="preserve">. </w:t>
      </w:r>
      <w:r w:rsidR="008651BA" w:rsidRPr="00983440">
        <w:rPr>
          <w:rFonts w:eastAsiaTheme="minorEastAsia"/>
          <w:sz w:val="22"/>
          <w:szCs w:val="22"/>
        </w:rPr>
        <w:t>Traditionally, p</w:t>
      </w:r>
      <w:r w:rsidR="00150E86" w:rsidRPr="00983440">
        <w:rPr>
          <w:rFonts w:eastAsiaTheme="minorEastAsia"/>
          <w:sz w:val="22"/>
          <w:szCs w:val="22"/>
        </w:rPr>
        <w:t>erformance indicator</w:t>
      </w:r>
      <w:r w:rsidR="00D05D84" w:rsidRPr="00983440">
        <w:rPr>
          <w:rFonts w:eastAsiaTheme="minorEastAsia"/>
          <w:sz w:val="22"/>
          <w:szCs w:val="22"/>
        </w:rPr>
        <w:t>s</w:t>
      </w:r>
      <w:r w:rsidR="00DB2F8E" w:rsidRPr="00983440">
        <w:rPr>
          <w:rFonts w:eastAsiaTheme="minorEastAsia"/>
          <w:sz w:val="22"/>
          <w:szCs w:val="22"/>
        </w:rPr>
        <w:t xml:space="preserve"> were</w:t>
      </w:r>
      <w:r w:rsidR="00150E86" w:rsidRPr="00983440">
        <w:rPr>
          <w:rFonts w:eastAsiaTheme="minorEastAsia"/>
          <w:sz w:val="22"/>
          <w:szCs w:val="22"/>
        </w:rPr>
        <w:t xml:space="preserve"> </w:t>
      </w:r>
      <w:r w:rsidR="008651BA" w:rsidRPr="00983440">
        <w:rPr>
          <w:rFonts w:eastAsiaTheme="minorEastAsia"/>
          <w:sz w:val="22"/>
          <w:szCs w:val="22"/>
        </w:rPr>
        <w:t>defined and classified based of the shot’s distance to the hole, this includes carry distance</w:t>
      </w:r>
      <w:r w:rsidR="00415C17" w:rsidRPr="00983440">
        <w:rPr>
          <w:rFonts w:eastAsiaTheme="minorEastAsia"/>
          <w:sz w:val="22"/>
          <w:szCs w:val="22"/>
        </w:rPr>
        <w:t xml:space="preserve"> (</w:t>
      </w:r>
      <w:proofErr w:type="spellStart"/>
      <w:r w:rsidR="00415C17" w:rsidRPr="00983440">
        <w:rPr>
          <w:rFonts w:eastAsiaTheme="minorEastAsia"/>
          <w:sz w:val="22"/>
          <w:szCs w:val="22"/>
        </w:rPr>
        <w:t>Stöckl</w:t>
      </w:r>
      <w:proofErr w:type="spellEnd"/>
      <w:r w:rsidR="00415C17" w:rsidRPr="00983440">
        <w:rPr>
          <w:rFonts w:eastAsiaTheme="minorEastAsia"/>
          <w:sz w:val="22"/>
          <w:szCs w:val="22"/>
        </w:rPr>
        <w:t>, Lamb &amp; Lames, 2012)</w:t>
      </w:r>
      <w:r w:rsidR="008651BA" w:rsidRPr="00983440">
        <w:rPr>
          <w:rFonts w:eastAsiaTheme="minorEastAsia"/>
          <w:sz w:val="22"/>
          <w:szCs w:val="22"/>
        </w:rPr>
        <w:t>. Consequently, these indicators ignore</w:t>
      </w:r>
      <w:r w:rsidR="00415C17" w:rsidRPr="00983440">
        <w:rPr>
          <w:rFonts w:eastAsiaTheme="minorEastAsia"/>
          <w:sz w:val="22"/>
          <w:szCs w:val="22"/>
        </w:rPr>
        <w:t xml:space="preserve"> other</w:t>
      </w:r>
      <w:r w:rsidR="008651BA" w:rsidRPr="00983440">
        <w:rPr>
          <w:rFonts w:eastAsiaTheme="minorEastAsia"/>
          <w:sz w:val="22"/>
          <w:szCs w:val="22"/>
        </w:rPr>
        <w:t xml:space="preserve"> </w:t>
      </w:r>
      <w:r w:rsidR="00DB2F8E" w:rsidRPr="00983440">
        <w:rPr>
          <w:rFonts w:eastAsiaTheme="minorEastAsia"/>
          <w:sz w:val="22"/>
          <w:szCs w:val="22"/>
        </w:rPr>
        <w:t>important</w:t>
      </w:r>
      <w:r w:rsidR="00415C17" w:rsidRPr="00983440">
        <w:rPr>
          <w:rFonts w:eastAsiaTheme="minorEastAsia"/>
          <w:sz w:val="22"/>
          <w:szCs w:val="22"/>
        </w:rPr>
        <w:t xml:space="preserve"> and contributing</w:t>
      </w:r>
      <w:r w:rsidR="00DB2F8E" w:rsidRPr="00983440">
        <w:rPr>
          <w:rFonts w:eastAsiaTheme="minorEastAsia"/>
          <w:sz w:val="22"/>
          <w:szCs w:val="22"/>
        </w:rPr>
        <w:t xml:space="preserve"> factors</w:t>
      </w:r>
      <w:r w:rsidR="00415C17" w:rsidRPr="00983440">
        <w:rPr>
          <w:rFonts w:eastAsiaTheme="minorEastAsia"/>
          <w:sz w:val="22"/>
          <w:szCs w:val="22"/>
        </w:rPr>
        <w:t>/indicators</w:t>
      </w:r>
      <w:r w:rsidR="00DB2F8E" w:rsidRPr="00983440">
        <w:rPr>
          <w:rFonts w:eastAsiaTheme="minorEastAsia"/>
          <w:sz w:val="22"/>
          <w:szCs w:val="22"/>
        </w:rPr>
        <w:t xml:space="preserve"> that can </w:t>
      </w:r>
      <w:r w:rsidR="00415C17" w:rsidRPr="00983440">
        <w:rPr>
          <w:rFonts w:eastAsiaTheme="minorEastAsia"/>
          <w:sz w:val="22"/>
          <w:szCs w:val="22"/>
        </w:rPr>
        <w:t>lead</w:t>
      </w:r>
      <w:r w:rsidR="00DB2F8E" w:rsidRPr="00983440">
        <w:rPr>
          <w:rFonts w:eastAsiaTheme="minorEastAsia"/>
          <w:sz w:val="22"/>
          <w:szCs w:val="22"/>
        </w:rPr>
        <w:t xml:space="preserve"> to a victory</w:t>
      </w:r>
      <w:r w:rsidR="00150E86" w:rsidRPr="00983440">
        <w:rPr>
          <w:rFonts w:eastAsiaTheme="minorEastAsia"/>
          <w:sz w:val="22"/>
          <w:szCs w:val="22"/>
        </w:rPr>
        <w:t>.</w:t>
      </w:r>
      <w:r w:rsidR="00D05D84" w:rsidRPr="00983440">
        <w:rPr>
          <w:rFonts w:eastAsiaTheme="minorEastAsia"/>
          <w:sz w:val="22"/>
          <w:szCs w:val="22"/>
        </w:rPr>
        <w:t xml:space="preserve"> </w:t>
      </w:r>
      <w:r w:rsidR="00150E86" w:rsidRPr="00983440">
        <w:rPr>
          <w:rFonts w:eastAsiaTheme="minorEastAsia"/>
          <w:sz w:val="22"/>
          <w:szCs w:val="22"/>
        </w:rPr>
        <w:t>As</w:t>
      </w:r>
      <w:r w:rsidR="00757587" w:rsidRPr="00983440">
        <w:rPr>
          <w:rFonts w:eastAsiaTheme="minorEastAsia"/>
          <w:sz w:val="22"/>
          <w:szCs w:val="22"/>
        </w:rPr>
        <w:t xml:space="preserve"> </w:t>
      </w:r>
      <w:r w:rsidR="008F0A81" w:rsidRPr="00983440">
        <w:rPr>
          <w:rFonts w:eastAsiaTheme="minorEastAsia"/>
          <w:sz w:val="22"/>
          <w:szCs w:val="22"/>
        </w:rPr>
        <w:t>Arnold Palmer</w:t>
      </w:r>
      <w:r w:rsidR="00150E86" w:rsidRPr="00983440">
        <w:rPr>
          <w:rFonts w:eastAsiaTheme="minorEastAsia"/>
          <w:sz w:val="22"/>
          <w:szCs w:val="22"/>
        </w:rPr>
        <w:t xml:space="preserve"> once</w:t>
      </w:r>
      <w:r w:rsidR="00DB2F8E" w:rsidRPr="00983440">
        <w:rPr>
          <w:rFonts w:eastAsiaTheme="minorEastAsia"/>
          <w:sz w:val="22"/>
          <w:szCs w:val="22"/>
        </w:rPr>
        <w:t xml:space="preserve"> </w:t>
      </w:r>
      <w:r w:rsidR="006075C9" w:rsidRPr="00983440">
        <w:rPr>
          <w:rFonts w:eastAsiaTheme="minorEastAsia"/>
          <w:sz w:val="22"/>
          <w:szCs w:val="22"/>
        </w:rPr>
        <w:t>stated,</w:t>
      </w:r>
      <w:r w:rsidR="008F0A81" w:rsidRPr="00983440">
        <w:rPr>
          <w:rFonts w:eastAsiaTheme="minorEastAsia"/>
          <w:sz w:val="22"/>
          <w:szCs w:val="22"/>
        </w:rPr>
        <w:t xml:space="preserve"> </w:t>
      </w:r>
      <w:r w:rsidR="00C64FFA" w:rsidRPr="00983440">
        <w:rPr>
          <w:rFonts w:eastAsiaTheme="minorEastAsia"/>
          <w:sz w:val="22"/>
          <w:szCs w:val="22"/>
        </w:rPr>
        <w:t>“</w:t>
      </w:r>
      <w:r w:rsidR="00757587" w:rsidRPr="00983440">
        <w:rPr>
          <w:rFonts w:eastAsiaTheme="minorEastAsia"/>
          <w:sz w:val="22"/>
          <w:szCs w:val="22"/>
        </w:rPr>
        <w:t>Golf is deceptively simple and endlessly complicated</w:t>
      </w:r>
      <w:r w:rsidR="00C64FFA" w:rsidRPr="00983440">
        <w:rPr>
          <w:rFonts w:eastAsiaTheme="minorEastAsia"/>
          <w:sz w:val="22"/>
          <w:szCs w:val="22"/>
        </w:rPr>
        <w:t xml:space="preserve"> </w:t>
      </w:r>
      <w:r w:rsidR="00DB2F8E" w:rsidRPr="00983440">
        <w:rPr>
          <w:rFonts w:eastAsiaTheme="minorEastAsia"/>
          <w:sz w:val="22"/>
          <w:szCs w:val="22"/>
        </w:rPr>
        <w:t>[…]</w:t>
      </w:r>
      <w:r w:rsidR="00C64FFA" w:rsidRPr="00983440">
        <w:rPr>
          <w:rFonts w:eastAsiaTheme="minorEastAsia"/>
          <w:sz w:val="22"/>
          <w:szCs w:val="22"/>
        </w:rPr>
        <w:t>”</w:t>
      </w:r>
      <w:r w:rsidR="00C64FFA" w:rsidRPr="00983440">
        <w:rPr>
          <w:rFonts w:eastAsiaTheme="minorEastAsia"/>
          <w:i/>
          <w:iCs/>
          <w:sz w:val="22"/>
          <w:szCs w:val="22"/>
        </w:rPr>
        <w:t xml:space="preserve"> </w:t>
      </w:r>
      <w:r w:rsidR="00150E86" w:rsidRPr="00983440">
        <w:rPr>
          <w:rFonts w:eastAsiaTheme="minorEastAsia"/>
          <w:sz w:val="22"/>
          <w:szCs w:val="22"/>
        </w:rPr>
        <w:t>due to the endlessly complicated nature of golf, a univariate analysis cannot detect the unique variability of each performance indicator</w:t>
      </w:r>
      <w:r w:rsidR="0050362A" w:rsidRPr="00983440">
        <w:rPr>
          <w:rFonts w:eastAsiaTheme="minorEastAsia"/>
          <w:sz w:val="22"/>
          <w:szCs w:val="22"/>
        </w:rPr>
        <w:t xml:space="preserve"> within a multivariate framework</w:t>
      </w:r>
      <w:r w:rsidR="00150E86" w:rsidRPr="00983440">
        <w:rPr>
          <w:rFonts w:eastAsiaTheme="minorEastAsia"/>
          <w:sz w:val="22"/>
          <w:szCs w:val="22"/>
        </w:rPr>
        <w:t>.</w:t>
      </w:r>
      <w:r w:rsidR="00DB2F8E" w:rsidRPr="00983440">
        <w:rPr>
          <w:rFonts w:eastAsiaTheme="minorEastAsia"/>
          <w:sz w:val="22"/>
          <w:szCs w:val="22"/>
        </w:rPr>
        <w:t xml:space="preserve"> The ability for player</w:t>
      </w:r>
      <w:r w:rsidR="0050362A" w:rsidRPr="00983440">
        <w:rPr>
          <w:rFonts w:eastAsiaTheme="minorEastAsia"/>
          <w:sz w:val="22"/>
          <w:szCs w:val="22"/>
        </w:rPr>
        <w:t>s</w:t>
      </w:r>
      <w:r w:rsidR="00DB2F8E" w:rsidRPr="00983440">
        <w:rPr>
          <w:rFonts w:eastAsiaTheme="minorEastAsia"/>
          <w:sz w:val="22"/>
          <w:szCs w:val="22"/>
        </w:rPr>
        <w:t xml:space="preserve"> to quantify the amount of variability </w:t>
      </w:r>
      <w:r w:rsidR="0050362A" w:rsidRPr="00983440">
        <w:rPr>
          <w:rFonts w:eastAsiaTheme="minorEastAsia"/>
          <w:sz w:val="22"/>
          <w:szCs w:val="22"/>
        </w:rPr>
        <w:t>that</w:t>
      </w:r>
      <w:r w:rsidR="00415C17" w:rsidRPr="00983440">
        <w:rPr>
          <w:rFonts w:eastAsiaTheme="minorEastAsia"/>
          <w:sz w:val="22"/>
          <w:szCs w:val="22"/>
        </w:rPr>
        <w:t xml:space="preserve"> </w:t>
      </w:r>
      <w:r w:rsidR="00DB2F8E" w:rsidRPr="00983440">
        <w:rPr>
          <w:rFonts w:eastAsiaTheme="minorEastAsia"/>
          <w:sz w:val="22"/>
          <w:szCs w:val="22"/>
        </w:rPr>
        <w:t xml:space="preserve">driving distance </w:t>
      </w:r>
      <w:r w:rsidR="00C64FFA" w:rsidRPr="00983440">
        <w:rPr>
          <w:rFonts w:eastAsiaTheme="minorEastAsia"/>
          <w:sz w:val="22"/>
          <w:szCs w:val="22"/>
        </w:rPr>
        <w:t>compared to</w:t>
      </w:r>
      <w:r w:rsidR="00DB2F8E" w:rsidRPr="00983440">
        <w:rPr>
          <w:rFonts w:eastAsiaTheme="minorEastAsia"/>
          <w:sz w:val="22"/>
          <w:szCs w:val="22"/>
        </w:rPr>
        <w:t xml:space="preserve"> driving accuracy</w:t>
      </w:r>
      <w:r w:rsidR="0050362A" w:rsidRPr="00983440">
        <w:rPr>
          <w:rFonts w:eastAsiaTheme="minorEastAsia"/>
          <w:sz w:val="22"/>
          <w:szCs w:val="22"/>
        </w:rPr>
        <w:t xml:space="preserve"> is accounted for</w:t>
      </w:r>
      <w:r w:rsidR="00DB2F8E" w:rsidRPr="00983440">
        <w:rPr>
          <w:rFonts w:eastAsiaTheme="minorEastAsia"/>
          <w:sz w:val="22"/>
          <w:szCs w:val="22"/>
        </w:rPr>
        <w:t xml:space="preserve"> in GIR</w:t>
      </w:r>
      <w:r w:rsidR="000F220D" w:rsidRPr="00983440">
        <w:rPr>
          <w:rFonts w:eastAsiaTheme="minorEastAsia"/>
          <w:sz w:val="22"/>
          <w:szCs w:val="22"/>
        </w:rPr>
        <w:t xml:space="preserve">, enables the </w:t>
      </w:r>
      <w:r w:rsidR="00E7322E" w:rsidRPr="00983440">
        <w:rPr>
          <w:rFonts w:eastAsiaTheme="minorEastAsia"/>
          <w:sz w:val="22"/>
          <w:szCs w:val="22"/>
        </w:rPr>
        <w:t>professional</w:t>
      </w:r>
      <w:r w:rsidR="000F220D" w:rsidRPr="00983440">
        <w:rPr>
          <w:rFonts w:eastAsiaTheme="minorEastAsia"/>
          <w:sz w:val="22"/>
          <w:szCs w:val="22"/>
        </w:rPr>
        <w:t xml:space="preserve"> to strategize distance over accuracy or vise-versa, possibly leading to lower scores.</w:t>
      </w:r>
      <w:r w:rsidR="006075C9" w:rsidRPr="00983440">
        <w:rPr>
          <w:rFonts w:eastAsiaTheme="minorEastAsia"/>
          <w:sz w:val="22"/>
          <w:szCs w:val="22"/>
        </w:rPr>
        <w:t xml:space="preserve"> In addition, since golf is comprised of multiple shot</w:t>
      </w:r>
      <w:r w:rsidR="00C64FFA" w:rsidRPr="00983440">
        <w:rPr>
          <w:rFonts w:eastAsiaTheme="minorEastAsia"/>
          <w:sz w:val="22"/>
          <w:szCs w:val="22"/>
        </w:rPr>
        <w:t>s</w:t>
      </w:r>
      <w:r w:rsidR="006075C9" w:rsidRPr="00983440">
        <w:rPr>
          <w:rFonts w:eastAsiaTheme="minorEastAsia"/>
          <w:sz w:val="22"/>
          <w:szCs w:val="22"/>
        </w:rPr>
        <w:t>,</w:t>
      </w:r>
      <w:r w:rsidR="00C64FFA" w:rsidRPr="00983440">
        <w:rPr>
          <w:rFonts w:eastAsiaTheme="minorEastAsia"/>
          <w:sz w:val="22"/>
          <w:szCs w:val="22"/>
        </w:rPr>
        <w:t xml:space="preserve"> in which</w:t>
      </w:r>
      <w:r w:rsidR="006075C9" w:rsidRPr="00983440">
        <w:rPr>
          <w:rFonts w:eastAsiaTheme="minorEastAsia"/>
          <w:sz w:val="22"/>
          <w:szCs w:val="22"/>
        </w:rPr>
        <w:t xml:space="preserve"> each </w:t>
      </w:r>
      <w:r w:rsidR="00E7322E" w:rsidRPr="00983440">
        <w:rPr>
          <w:rFonts w:eastAsiaTheme="minorEastAsia"/>
          <w:sz w:val="22"/>
          <w:szCs w:val="22"/>
        </w:rPr>
        <w:t>shot</w:t>
      </w:r>
      <w:r w:rsidR="006075C9" w:rsidRPr="00983440">
        <w:rPr>
          <w:rFonts w:eastAsiaTheme="minorEastAsia"/>
          <w:sz w:val="22"/>
          <w:szCs w:val="22"/>
        </w:rPr>
        <w:t xml:space="preserve"> </w:t>
      </w:r>
      <w:r w:rsidR="00C64FFA" w:rsidRPr="00983440">
        <w:rPr>
          <w:rFonts w:eastAsiaTheme="minorEastAsia"/>
          <w:sz w:val="22"/>
          <w:szCs w:val="22"/>
        </w:rPr>
        <w:t xml:space="preserve">is </w:t>
      </w:r>
      <w:r w:rsidR="006075C9" w:rsidRPr="00983440">
        <w:rPr>
          <w:rFonts w:eastAsiaTheme="minorEastAsia"/>
          <w:sz w:val="22"/>
          <w:szCs w:val="22"/>
        </w:rPr>
        <w:t>more difficult and complex than the next</w:t>
      </w:r>
      <w:r w:rsidR="00C64FFA" w:rsidRPr="00983440">
        <w:rPr>
          <w:rFonts w:eastAsiaTheme="minorEastAsia"/>
          <w:sz w:val="22"/>
          <w:szCs w:val="22"/>
        </w:rPr>
        <w:t xml:space="preserve"> due to angle change, terrain factors, etc.,</w:t>
      </w:r>
      <w:r w:rsidR="006075C9" w:rsidRPr="00983440">
        <w:rPr>
          <w:rFonts w:eastAsiaTheme="minorEastAsia"/>
          <w:sz w:val="22"/>
          <w:szCs w:val="22"/>
        </w:rPr>
        <w:t xml:space="preserve"> </w:t>
      </w:r>
      <w:r w:rsidR="00E7322E" w:rsidRPr="00983440">
        <w:rPr>
          <w:rFonts w:eastAsiaTheme="minorEastAsia"/>
          <w:sz w:val="22"/>
          <w:szCs w:val="22"/>
        </w:rPr>
        <w:t>a</w:t>
      </w:r>
      <w:r w:rsidR="006075C9" w:rsidRPr="00983440">
        <w:rPr>
          <w:rFonts w:eastAsiaTheme="minorEastAsia"/>
          <w:sz w:val="22"/>
          <w:szCs w:val="22"/>
        </w:rPr>
        <w:t xml:space="preserve"> multivariate analysis is needed to account for the </w:t>
      </w:r>
      <w:r w:rsidR="00C64FFA" w:rsidRPr="00983440">
        <w:rPr>
          <w:rFonts w:eastAsiaTheme="minorEastAsia"/>
          <w:sz w:val="22"/>
          <w:szCs w:val="22"/>
        </w:rPr>
        <w:t xml:space="preserve">variable </w:t>
      </w:r>
      <w:r w:rsidR="006075C9" w:rsidRPr="00983440">
        <w:rPr>
          <w:rFonts w:eastAsiaTheme="minorEastAsia"/>
          <w:sz w:val="22"/>
          <w:szCs w:val="22"/>
        </w:rPr>
        <w:t>nature of golf.</w:t>
      </w:r>
    </w:p>
    <w:p w14:paraId="71AD7B14" w14:textId="77777777" w:rsidR="00B26F11" w:rsidRPr="00983440" w:rsidRDefault="00B26F11" w:rsidP="00983440">
      <w:pPr>
        <w:spacing w:line="240" w:lineRule="auto"/>
        <w:ind w:firstLine="360"/>
        <w:contextualSpacing/>
        <w:rPr>
          <w:rFonts w:eastAsiaTheme="minorEastAsia"/>
          <w:sz w:val="22"/>
          <w:szCs w:val="22"/>
        </w:rPr>
      </w:pPr>
    </w:p>
    <w:p w14:paraId="694F3A93" w14:textId="4483CC2D" w:rsidR="008C3D90" w:rsidRPr="00983440" w:rsidRDefault="008C3D90" w:rsidP="00983440">
      <w:pPr>
        <w:pStyle w:val="ListParagraph"/>
        <w:numPr>
          <w:ilvl w:val="0"/>
          <w:numId w:val="1"/>
        </w:numPr>
        <w:spacing w:line="240" w:lineRule="auto"/>
        <w:rPr>
          <w:b/>
          <w:bCs/>
          <w:sz w:val="22"/>
          <w:szCs w:val="22"/>
        </w:rPr>
      </w:pPr>
      <w:r w:rsidRPr="00983440">
        <w:rPr>
          <w:b/>
          <w:bCs/>
          <w:sz w:val="22"/>
          <w:szCs w:val="22"/>
        </w:rPr>
        <w:t>Literature review</w:t>
      </w:r>
    </w:p>
    <w:p w14:paraId="7571FD1E" w14:textId="2757AE65" w:rsidR="00B156CE" w:rsidRDefault="00ED4333" w:rsidP="00983440">
      <w:pPr>
        <w:spacing w:line="240" w:lineRule="auto"/>
        <w:ind w:firstLine="360"/>
        <w:contextualSpacing/>
        <w:rPr>
          <w:sz w:val="22"/>
          <w:szCs w:val="22"/>
        </w:rPr>
      </w:pPr>
      <w:r w:rsidRPr="00983440">
        <w:rPr>
          <w:sz w:val="22"/>
          <w:szCs w:val="22"/>
        </w:rPr>
        <w:t xml:space="preserve">As a golfer, one must incorporate various elements of their environment, skill level and angle to green </w:t>
      </w:r>
      <w:r w:rsidR="00E36F6D" w:rsidRPr="00983440">
        <w:rPr>
          <w:sz w:val="22"/>
          <w:szCs w:val="22"/>
        </w:rPr>
        <w:t>on</w:t>
      </w:r>
      <w:r w:rsidRPr="00983440">
        <w:rPr>
          <w:sz w:val="22"/>
          <w:szCs w:val="22"/>
        </w:rPr>
        <w:t xml:space="preserve"> every shot. The body of research </w:t>
      </w:r>
      <w:r w:rsidR="009D506E" w:rsidRPr="00983440">
        <w:rPr>
          <w:sz w:val="22"/>
          <w:szCs w:val="22"/>
        </w:rPr>
        <w:t>current</w:t>
      </w:r>
      <w:r w:rsidRPr="00983440">
        <w:rPr>
          <w:sz w:val="22"/>
          <w:szCs w:val="22"/>
        </w:rPr>
        <w:t>ly focus on descriptive and univariate analysis of specific aspects of golf. Bro</w:t>
      </w:r>
      <w:r w:rsidR="00B50D07" w:rsidRPr="00983440">
        <w:rPr>
          <w:sz w:val="22"/>
          <w:szCs w:val="22"/>
        </w:rPr>
        <w:t>a</w:t>
      </w:r>
      <w:r w:rsidRPr="00983440">
        <w:rPr>
          <w:sz w:val="22"/>
          <w:szCs w:val="22"/>
        </w:rPr>
        <w:t>die (201</w:t>
      </w:r>
      <w:r w:rsidR="00B50D07" w:rsidRPr="00983440">
        <w:rPr>
          <w:sz w:val="22"/>
          <w:szCs w:val="22"/>
        </w:rPr>
        <w:t>2</w:t>
      </w:r>
      <w:r w:rsidRPr="00983440">
        <w:rPr>
          <w:sz w:val="22"/>
          <w:szCs w:val="22"/>
        </w:rPr>
        <w:t xml:space="preserve">) conducted a study assessing </w:t>
      </w:r>
      <w:r w:rsidR="002E4DCA" w:rsidRPr="00983440">
        <w:rPr>
          <w:sz w:val="22"/>
          <w:szCs w:val="22"/>
        </w:rPr>
        <w:t xml:space="preserve">professional </w:t>
      </w:r>
      <w:r w:rsidR="008A5226" w:rsidRPr="00983440">
        <w:rPr>
          <w:sz w:val="22"/>
          <w:szCs w:val="22"/>
        </w:rPr>
        <w:t>golfers’</w:t>
      </w:r>
      <w:r w:rsidRPr="00983440">
        <w:rPr>
          <w:sz w:val="22"/>
          <w:szCs w:val="22"/>
        </w:rPr>
        <w:t xml:space="preserve"> performance </w:t>
      </w:r>
      <w:r w:rsidR="002E4DCA" w:rsidRPr="00983440">
        <w:rPr>
          <w:sz w:val="22"/>
          <w:szCs w:val="22"/>
        </w:rPr>
        <w:t>based on strokes gained. The analysis partitioned stokes gained in</w:t>
      </w:r>
      <w:r w:rsidR="006332D8" w:rsidRPr="00983440">
        <w:rPr>
          <w:sz w:val="22"/>
          <w:szCs w:val="22"/>
        </w:rPr>
        <w:t>to</w:t>
      </w:r>
      <w:r w:rsidR="002E4DCA" w:rsidRPr="00983440">
        <w:rPr>
          <w:sz w:val="22"/>
          <w:szCs w:val="22"/>
        </w:rPr>
        <w:t xml:space="preserve"> three main categories: long game (which is classified as shots greater than 100 yards from the pin), short game</w:t>
      </w:r>
      <w:r w:rsidR="008A5226" w:rsidRPr="00983440">
        <w:rPr>
          <w:sz w:val="22"/>
          <w:szCs w:val="22"/>
        </w:rPr>
        <w:t xml:space="preserve"> </w:t>
      </w:r>
      <w:r w:rsidR="002E4DCA" w:rsidRPr="00983440">
        <w:rPr>
          <w:sz w:val="22"/>
          <w:szCs w:val="22"/>
        </w:rPr>
        <w:t>(shots within 100 yards from the pin) and putting (Bro</w:t>
      </w:r>
      <w:r w:rsidR="00B50D07" w:rsidRPr="00983440">
        <w:rPr>
          <w:sz w:val="22"/>
          <w:szCs w:val="22"/>
        </w:rPr>
        <w:t>a</w:t>
      </w:r>
      <w:r w:rsidR="002E4DCA" w:rsidRPr="00983440">
        <w:rPr>
          <w:sz w:val="22"/>
          <w:szCs w:val="22"/>
        </w:rPr>
        <w:t>die, 201</w:t>
      </w:r>
      <w:r w:rsidR="00B50D07" w:rsidRPr="00983440">
        <w:rPr>
          <w:sz w:val="22"/>
          <w:szCs w:val="22"/>
        </w:rPr>
        <w:t>2</w:t>
      </w:r>
      <w:r w:rsidR="002E4DCA" w:rsidRPr="00983440">
        <w:rPr>
          <w:sz w:val="22"/>
          <w:szCs w:val="22"/>
        </w:rPr>
        <w:t xml:space="preserve">). The results suggest that if the distance to the hole is less than 15 yards or greater than 34 yards, sand shots have larger average stroke than shots from the rough. </w:t>
      </w:r>
      <w:r w:rsidR="00DC77F7" w:rsidRPr="00983440">
        <w:rPr>
          <w:sz w:val="22"/>
          <w:szCs w:val="22"/>
        </w:rPr>
        <w:t>Bro</w:t>
      </w:r>
      <w:r w:rsidR="00B50D07" w:rsidRPr="00983440">
        <w:rPr>
          <w:sz w:val="22"/>
          <w:szCs w:val="22"/>
        </w:rPr>
        <w:t>a</w:t>
      </w:r>
      <w:r w:rsidR="00DC77F7" w:rsidRPr="00983440">
        <w:rPr>
          <w:sz w:val="22"/>
          <w:szCs w:val="22"/>
        </w:rPr>
        <w:t>die (201</w:t>
      </w:r>
      <w:r w:rsidR="00B50D07" w:rsidRPr="00983440">
        <w:rPr>
          <w:sz w:val="22"/>
          <w:szCs w:val="22"/>
        </w:rPr>
        <w:t>2</w:t>
      </w:r>
      <w:r w:rsidR="00DC77F7" w:rsidRPr="00983440">
        <w:rPr>
          <w:sz w:val="22"/>
          <w:szCs w:val="22"/>
        </w:rPr>
        <w:t xml:space="preserve">) further suggests that </w:t>
      </w:r>
      <w:r w:rsidR="006332D8" w:rsidRPr="00983440">
        <w:rPr>
          <w:sz w:val="22"/>
          <w:szCs w:val="22"/>
        </w:rPr>
        <w:t xml:space="preserve">one-putts occur 50% of the time within 8-feet and the </w:t>
      </w:r>
      <w:r w:rsidR="00DC77F7" w:rsidRPr="00983440">
        <w:rPr>
          <w:sz w:val="22"/>
          <w:szCs w:val="22"/>
        </w:rPr>
        <w:t>three-putt probability follows an exponential curve, suggesting that the further the putt</w:t>
      </w:r>
      <w:r w:rsidR="00C64FFA" w:rsidRPr="00983440">
        <w:rPr>
          <w:sz w:val="22"/>
          <w:szCs w:val="22"/>
        </w:rPr>
        <w:t>,</w:t>
      </w:r>
      <w:r w:rsidR="00DC77F7" w:rsidRPr="00983440">
        <w:rPr>
          <w:sz w:val="22"/>
          <w:szCs w:val="22"/>
        </w:rPr>
        <w:t xml:space="preserve"> the more likely to three-putt. </w:t>
      </w:r>
      <w:r w:rsidR="00C64FFA" w:rsidRPr="00983440">
        <w:rPr>
          <w:sz w:val="22"/>
          <w:szCs w:val="22"/>
        </w:rPr>
        <w:t>One limitation of this work</w:t>
      </w:r>
      <w:r w:rsidR="00902204" w:rsidRPr="00983440">
        <w:rPr>
          <w:sz w:val="22"/>
          <w:szCs w:val="22"/>
        </w:rPr>
        <w:t>,</w:t>
      </w:r>
      <w:r w:rsidR="00C64FFA" w:rsidRPr="00983440">
        <w:rPr>
          <w:sz w:val="22"/>
          <w:szCs w:val="22"/>
        </w:rPr>
        <w:t xml:space="preserve"> however, </w:t>
      </w:r>
      <w:r w:rsidR="0052074F" w:rsidRPr="00983440">
        <w:rPr>
          <w:sz w:val="22"/>
          <w:szCs w:val="22"/>
        </w:rPr>
        <w:t xml:space="preserve">is </w:t>
      </w:r>
      <w:r w:rsidR="00C64FFA" w:rsidRPr="00983440">
        <w:rPr>
          <w:sz w:val="22"/>
          <w:szCs w:val="22"/>
        </w:rPr>
        <w:t xml:space="preserve">that the analysis is merely </w:t>
      </w:r>
      <w:r w:rsidR="0052074F" w:rsidRPr="00983440">
        <w:rPr>
          <w:sz w:val="22"/>
          <w:szCs w:val="22"/>
        </w:rPr>
        <w:t>descriptive and not predictive</w:t>
      </w:r>
      <w:r w:rsidR="00C64FFA" w:rsidRPr="00983440">
        <w:rPr>
          <w:sz w:val="22"/>
          <w:szCs w:val="22"/>
        </w:rPr>
        <w:t xml:space="preserve"> in nature</w:t>
      </w:r>
      <w:r w:rsidR="0052074F" w:rsidRPr="00983440">
        <w:rPr>
          <w:sz w:val="22"/>
          <w:szCs w:val="22"/>
        </w:rPr>
        <w:t xml:space="preserve">. </w:t>
      </w:r>
      <w:r w:rsidR="00DC77F7" w:rsidRPr="00983440">
        <w:rPr>
          <w:sz w:val="22"/>
          <w:szCs w:val="22"/>
        </w:rPr>
        <w:t xml:space="preserve">Chamberlain (2017) </w:t>
      </w:r>
      <w:r w:rsidR="00B5397F" w:rsidRPr="00983440">
        <w:rPr>
          <w:sz w:val="22"/>
          <w:szCs w:val="22"/>
        </w:rPr>
        <w:t xml:space="preserve">examined key components of professional golfer games to predict which aspects and skill are needed to succeed on the PGA tour. </w:t>
      </w:r>
      <w:r w:rsidR="00902204" w:rsidRPr="00983440">
        <w:rPr>
          <w:sz w:val="22"/>
          <w:szCs w:val="22"/>
        </w:rPr>
        <w:t xml:space="preserve">Using a </w:t>
      </w:r>
      <w:r w:rsidR="004F415E" w:rsidRPr="00983440">
        <w:rPr>
          <w:sz w:val="22"/>
          <w:szCs w:val="22"/>
        </w:rPr>
        <w:t>K Nearest Neighbours (KNN) classifier</w:t>
      </w:r>
      <w:r w:rsidR="00902204" w:rsidRPr="00983440">
        <w:rPr>
          <w:sz w:val="22"/>
          <w:szCs w:val="22"/>
        </w:rPr>
        <w:t xml:space="preserve"> and a multiple </w:t>
      </w:r>
      <w:r w:rsidR="00902204" w:rsidRPr="00983440">
        <w:rPr>
          <w:sz w:val="22"/>
          <w:szCs w:val="22"/>
        </w:rPr>
        <w:lastRenderedPageBreak/>
        <w:t>linear regression (MLR), the author was able to predict</w:t>
      </w:r>
      <w:r w:rsidR="004F415E" w:rsidRPr="00983440">
        <w:rPr>
          <w:sz w:val="22"/>
          <w:szCs w:val="22"/>
        </w:rPr>
        <w:t xml:space="preserve"> </w:t>
      </w:r>
      <w:r w:rsidR="00902204" w:rsidRPr="00983440">
        <w:rPr>
          <w:sz w:val="22"/>
          <w:szCs w:val="22"/>
        </w:rPr>
        <w:t>76% of golfers who placed between 31</w:t>
      </w:r>
      <w:r w:rsidR="00902204" w:rsidRPr="00983440">
        <w:rPr>
          <w:sz w:val="22"/>
          <w:szCs w:val="22"/>
          <w:vertAlign w:val="superscript"/>
        </w:rPr>
        <w:t>st</w:t>
      </w:r>
      <w:r w:rsidR="00902204" w:rsidRPr="00983440">
        <w:rPr>
          <w:sz w:val="22"/>
          <w:szCs w:val="22"/>
        </w:rPr>
        <w:t xml:space="preserve"> and last place. </w:t>
      </w:r>
      <w:r w:rsidR="00901A46" w:rsidRPr="00983440">
        <w:rPr>
          <w:sz w:val="22"/>
          <w:szCs w:val="22"/>
        </w:rPr>
        <w:t>Additionally, t</w:t>
      </w:r>
      <w:r w:rsidR="004F415E" w:rsidRPr="00983440">
        <w:rPr>
          <w:sz w:val="22"/>
          <w:szCs w:val="22"/>
        </w:rPr>
        <w:t>he ML</w:t>
      </w:r>
      <w:r w:rsidR="006B5718" w:rsidRPr="00983440">
        <w:rPr>
          <w:sz w:val="22"/>
          <w:szCs w:val="22"/>
        </w:rPr>
        <w:t>R</w:t>
      </w:r>
      <w:r w:rsidR="004F415E" w:rsidRPr="00983440">
        <w:rPr>
          <w:sz w:val="22"/>
          <w:szCs w:val="22"/>
        </w:rPr>
        <w:t xml:space="preserve"> model predicted that </w:t>
      </w:r>
      <w:r w:rsidR="00901A46" w:rsidRPr="00983440">
        <w:rPr>
          <w:sz w:val="22"/>
          <w:szCs w:val="22"/>
        </w:rPr>
        <w:t>one golfer</w:t>
      </w:r>
      <w:r w:rsidR="004F415E" w:rsidRPr="00983440">
        <w:rPr>
          <w:sz w:val="22"/>
          <w:szCs w:val="22"/>
        </w:rPr>
        <w:t xml:space="preserve"> would finish 19</w:t>
      </w:r>
      <w:r w:rsidR="004F415E" w:rsidRPr="00983440">
        <w:rPr>
          <w:sz w:val="22"/>
          <w:szCs w:val="22"/>
          <w:vertAlign w:val="superscript"/>
        </w:rPr>
        <w:t>th</w:t>
      </w:r>
      <w:r w:rsidR="004F415E" w:rsidRPr="00983440">
        <w:rPr>
          <w:sz w:val="22"/>
          <w:szCs w:val="22"/>
        </w:rPr>
        <w:t>, he placed 22</w:t>
      </w:r>
      <w:r w:rsidR="004F415E" w:rsidRPr="00983440">
        <w:rPr>
          <w:sz w:val="22"/>
          <w:szCs w:val="22"/>
          <w:vertAlign w:val="superscript"/>
        </w:rPr>
        <w:t>nd</w:t>
      </w:r>
      <w:r w:rsidR="004F415E" w:rsidRPr="00983440">
        <w:rPr>
          <w:sz w:val="22"/>
          <w:szCs w:val="22"/>
          <w:vertAlign w:val="superscript"/>
        </w:rPr>
        <w:softHyphen/>
      </w:r>
      <w:r w:rsidR="004F415E" w:rsidRPr="00983440">
        <w:rPr>
          <w:sz w:val="22"/>
          <w:szCs w:val="22"/>
        </w:rPr>
        <w:t xml:space="preserve"> (Chamberlain, 2017)</w:t>
      </w:r>
      <w:r w:rsidR="004F415E" w:rsidRPr="00983440">
        <w:rPr>
          <w:sz w:val="22"/>
          <w:szCs w:val="22"/>
          <w:vertAlign w:val="superscript"/>
        </w:rPr>
        <w:t xml:space="preserve"> </w:t>
      </w:r>
      <w:r w:rsidR="004F415E" w:rsidRPr="00983440">
        <w:rPr>
          <w:sz w:val="22"/>
          <w:szCs w:val="22"/>
        </w:rPr>
        <w:t xml:space="preserve">. </w:t>
      </w:r>
      <w:r w:rsidR="005B07C3" w:rsidRPr="00983440">
        <w:rPr>
          <w:sz w:val="22"/>
          <w:szCs w:val="22"/>
        </w:rPr>
        <w:t>Chamberlain’s (2017) work</w:t>
      </w:r>
      <w:r w:rsidR="004F415E" w:rsidRPr="00983440">
        <w:rPr>
          <w:sz w:val="22"/>
          <w:szCs w:val="22"/>
        </w:rPr>
        <w:t xml:space="preserve"> introduce</w:t>
      </w:r>
      <w:r w:rsidR="005B07C3" w:rsidRPr="00983440">
        <w:rPr>
          <w:sz w:val="22"/>
          <w:szCs w:val="22"/>
        </w:rPr>
        <w:t>d</w:t>
      </w:r>
      <w:r w:rsidR="004F415E" w:rsidRPr="00983440">
        <w:rPr>
          <w:sz w:val="22"/>
          <w:szCs w:val="22"/>
        </w:rPr>
        <w:t xml:space="preserve"> machine learning and predictive modeling, </w:t>
      </w:r>
      <w:r w:rsidR="005B07C3" w:rsidRPr="00983440">
        <w:rPr>
          <w:sz w:val="22"/>
          <w:szCs w:val="22"/>
        </w:rPr>
        <w:t>albeit</w:t>
      </w:r>
      <w:r w:rsidR="004F415E" w:rsidRPr="00983440">
        <w:rPr>
          <w:sz w:val="22"/>
          <w:szCs w:val="22"/>
        </w:rPr>
        <w:t xml:space="preserve"> in univariate form</w:t>
      </w:r>
      <w:r w:rsidR="0052074F" w:rsidRPr="00983440">
        <w:rPr>
          <w:sz w:val="22"/>
          <w:szCs w:val="22"/>
        </w:rPr>
        <w:t xml:space="preserve">. </w:t>
      </w:r>
      <w:r w:rsidR="006949AC" w:rsidRPr="00983440">
        <w:rPr>
          <w:sz w:val="22"/>
          <w:szCs w:val="22"/>
        </w:rPr>
        <w:t>There is a clear gap in the literature where multivariate analys</w:t>
      </w:r>
      <w:r w:rsidR="002A5EFB" w:rsidRPr="00983440">
        <w:rPr>
          <w:sz w:val="22"/>
          <w:szCs w:val="22"/>
        </w:rPr>
        <w:t>es are</w:t>
      </w:r>
      <w:r w:rsidR="006949AC" w:rsidRPr="00983440">
        <w:rPr>
          <w:sz w:val="22"/>
          <w:szCs w:val="22"/>
        </w:rPr>
        <w:t xml:space="preserve"> needed. This project </w:t>
      </w:r>
      <w:r w:rsidR="002A5EFB" w:rsidRPr="00983440">
        <w:rPr>
          <w:sz w:val="22"/>
          <w:szCs w:val="22"/>
        </w:rPr>
        <w:t xml:space="preserve">aims </w:t>
      </w:r>
      <w:r w:rsidR="006949AC" w:rsidRPr="00983440">
        <w:rPr>
          <w:sz w:val="22"/>
          <w:szCs w:val="22"/>
        </w:rPr>
        <w:t>to add to the current body of literature by implement</w:t>
      </w:r>
      <w:r w:rsidR="00DA002B" w:rsidRPr="00983440">
        <w:rPr>
          <w:sz w:val="22"/>
          <w:szCs w:val="22"/>
        </w:rPr>
        <w:t>ing</w:t>
      </w:r>
      <w:r w:rsidR="006949AC" w:rsidRPr="00983440">
        <w:rPr>
          <w:sz w:val="22"/>
          <w:szCs w:val="22"/>
        </w:rPr>
        <w:t xml:space="preserve"> a multivariate predictive model </w:t>
      </w:r>
      <w:r w:rsidR="00DA002B" w:rsidRPr="00983440">
        <w:rPr>
          <w:sz w:val="22"/>
          <w:szCs w:val="22"/>
        </w:rPr>
        <w:t>and measur</w:t>
      </w:r>
      <w:r w:rsidR="000805DD" w:rsidRPr="00983440">
        <w:rPr>
          <w:sz w:val="22"/>
          <w:szCs w:val="22"/>
        </w:rPr>
        <w:t>e</w:t>
      </w:r>
      <w:r w:rsidR="00DA002B" w:rsidRPr="00983440">
        <w:rPr>
          <w:sz w:val="22"/>
          <w:szCs w:val="22"/>
        </w:rPr>
        <w:t xml:space="preserve"> the unique variation of each regressor on each KPI to suggest skill and game improvements.</w:t>
      </w:r>
      <w:r w:rsidR="000805DD" w:rsidRPr="00983440">
        <w:rPr>
          <w:sz w:val="22"/>
          <w:szCs w:val="22"/>
        </w:rPr>
        <w:t xml:space="preserve"> Furthermore, a descriptive comparison between the top 3 PGA Tour players and the field will be completed to suggest possible skill improvement for the average PGA Tour player.</w:t>
      </w:r>
    </w:p>
    <w:p w14:paraId="69CA238B" w14:textId="77777777" w:rsidR="00B26F11" w:rsidRPr="00983440" w:rsidRDefault="00B26F11" w:rsidP="00983440">
      <w:pPr>
        <w:spacing w:line="240" w:lineRule="auto"/>
        <w:ind w:firstLine="360"/>
        <w:contextualSpacing/>
        <w:rPr>
          <w:sz w:val="22"/>
          <w:szCs w:val="22"/>
        </w:rPr>
      </w:pPr>
    </w:p>
    <w:p w14:paraId="0A2213E2" w14:textId="6CB149DF" w:rsidR="008C3D90" w:rsidRPr="00983440" w:rsidRDefault="00863628" w:rsidP="00983440">
      <w:pPr>
        <w:pStyle w:val="ListParagraph"/>
        <w:numPr>
          <w:ilvl w:val="0"/>
          <w:numId w:val="1"/>
        </w:numPr>
        <w:spacing w:line="240" w:lineRule="auto"/>
        <w:rPr>
          <w:rFonts w:eastAsiaTheme="minorEastAsia"/>
          <w:b/>
          <w:bCs/>
          <w:sz w:val="22"/>
          <w:szCs w:val="22"/>
        </w:rPr>
      </w:pPr>
      <w:r w:rsidRPr="00983440">
        <w:rPr>
          <w:rFonts w:eastAsiaTheme="minorEastAsia"/>
          <w:b/>
          <w:bCs/>
          <w:sz w:val="22"/>
          <w:szCs w:val="22"/>
        </w:rPr>
        <w:t>Methodology</w:t>
      </w:r>
    </w:p>
    <w:p w14:paraId="7197474D" w14:textId="04927DA4" w:rsidR="007473A2" w:rsidRPr="00983440" w:rsidRDefault="007473A2" w:rsidP="00983440">
      <w:pPr>
        <w:pStyle w:val="ListParagraph"/>
        <w:numPr>
          <w:ilvl w:val="1"/>
          <w:numId w:val="1"/>
        </w:numPr>
        <w:spacing w:line="240" w:lineRule="auto"/>
        <w:rPr>
          <w:rFonts w:eastAsiaTheme="minorEastAsia"/>
          <w:b/>
          <w:bCs/>
          <w:sz w:val="22"/>
          <w:szCs w:val="22"/>
        </w:rPr>
      </w:pPr>
      <w:r w:rsidRPr="00983440">
        <w:rPr>
          <w:rFonts w:eastAsiaTheme="minorEastAsia"/>
          <w:b/>
          <w:bCs/>
          <w:sz w:val="22"/>
          <w:szCs w:val="22"/>
        </w:rPr>
        <w:t xml:space="preserve">Data </w:t>
      </w:r>
      <w:r w:rsidR="00B97017" w:rsidRPr="00983440">
        <w:rPr>
          <w:rFonts w:eastAsiaTheme="minorEastAsia"/>
          <w:b/>
          <w:bCs/>
          <w:sz w:val="22"/>
          <w:szCs w:val="22"/>
        </w:rPr>
        <w:t>collection</w:t>
      </w:r>
    </w:p>
    <w:p w14:paraId="49B209D1" w14:textId="49DC7D4A" w:rsidR="00863628" w:rsidRPr="00983440" w:rsidRDefault="007473A2" w:rsidP="00983440">
      <w:pPr>
        <w:spacing w:line="240" w:lineRule="auto"/>
        <w:ind w:firstLine="432"/>
        <w:contextualSpacing/>
        <w:rPr>
          <w:rFonts w:eastAsiaTheme="minorEastAsia"/>
          <w:sz w:val="22"/>
          <w:szCs w:val="22"/>
        </w:rPr>
      </w:pPr>
      <w:r w:rsidRPr="00983440">
        <w:rPr>
          <w:rFonts w:eastAsiaTheme="minorEastAsia"/>
          <w:sz w:val="22"/>
          <w:szCs w:val="22"/>
        </w:rPr>
        <w:t>Data for this project was obtained from the PGA Tour website (</w:t>
      </w:r>
      <w:proofErr w:type="spellStart"/>
      <w:r w:rsidRPr="00983440">
        <w:rPr>
          <w:rFonts w:eastAsiaTheme="minorEastAsia"/>
          <w:sz w:val="22"/>
          <w:szCs w:val="22"/>
        </w:rPr>
        <w:t>n.d</w:t>
      </w:r>
      <w:proofErr w:type="spellEnd"/>
      <w:r w:rsidRPr="00983440">
        <w:rPr>
          <w:rFonts w:eastAsiaTheme="minorEastAsia"/>
          <w:sz w:val="22"/>
          <w:szCs w:val="22"/>
        </w:rPr>
        <w:t>) and Choi (2020) Kaggle account. The combination of both datasets totals to greater than 1000 metrics varying from off the tee metrics like driving distance, average score on a par 3, 4 and 5, to earning/point totals.</w:t>
      </w:r>
      <w:r w:rsidR="00B97017" w:rsidRPr="00983440">
        <w:rPr>
          <w:rFonts w:eastAsiaTheme="minorEastAsia"/>
          <w:sz w:val="22"/>
          <w:szCs w:val="22"/>
        </w:rPr>
        <w:t xml:space="preserve"> </w:t>
      </w:r>
      <w:r w:rsidR="003524C6" w:rsidRPr="00983440">
        <w:rPr>
          <w:rFonts w:eastAsiaTheme="minorEastAsia"/>
          <w:sz w:val="22"/>
          <w:szCs w:val="22"/>
        </w:rPr>
        <w:t xml:space="preserve">The PGA tour website offers data for both the season and per event totals/averages, to increase the power and sample size </w:t>
      </w:r>
      <w:r w:rsidR="002D3D6B" w:rsidRPr="00983440">
        <w:rPr>
          <w:rFonts w:eastAsiaTheme="minorEastAsia"/>
          <w:sz w:val="22"/>
          <w:szCs w:val="22"/>
        </w:rPr>
        <w:t>for</w:t>
      </w:r>
      <w:r w:rsidR="003524C6" w:rsidRPr="00983440">
        <w:rPr>
          <w:rFonts w:eastAsiaTheme="minorEastAsia"/>
          <w:sz w:val="22"/>
          <w:szCs w:val="22"/>
        </w:rPr>
        <w:t xml:space="preserve"> the analysis</w:t>
      </w:r>
      <w:r w:rsidR="002D3D6B" w:rsidRPr="00983440">
        <w:rPr>
          <w:rFonts w:eastAsiaTheme="minorEastAsia"/>
          <w:sz w:val="22"/>
          <w:szCs w:val="22"/>
        </w:rPr>
        <w:t>,</w:t>
      </w:r>
      <w:r w:rsidR="003524C6" w:rsidRPr="00983440">
        <w:rPr>
          <w:rFonts w:eastAsiaTheme="minorEastAsia"/>
          <w:sz w:val="22"/>
          <w:szCs w:val="22"/>
        </w:rPr>
        <w:t xml:space="preserve"> </w:t>
      </w:r>
      <w:r w:rsidR="002D3D6B" w:rsidRPr="00983440">
        <w:rPr>
          <w:rFonts w:eastAsiaTheme="minorEastAsia"/>
          <w:sz w:val="22"/>
          <w:szCs w:val="22"/>
        </w:rPr>
        <w:t>yearly</w:t>
      </w:r>
      <w:r w:rsidR="003524C6" w:rsidRPr="00983440">
        <w:rPr>
          <w:rFonts w:eastAsiaTheme="minorEastAsia"/>
          <w:sz w:val="22"/>
          <w:szCs w:val="22"/>
        </w:rPr>
        <w:t xml:space="preserve"> data will be used. </w:t>
      </w:r>
      <w:r w:rsidR="00E7322E" w:rsidRPr="00983440">
        <w:rPr>
          <w:rFonts w:eastAsiaTheme="minorEastAsia"/>
          <w:sz w:val="22"/>
          <w:szCs w:val="22"/>
        </w:rPr>
        <w:t xml:space="preserve">Data from the PGA tour website will be downloaded and imported to Excel and combined with Choi’s data. </w:t>
      </w:r>
      <w:r w:rsidR="00B97017" w:rsidRPr="00983440">
        <w:rPr>
          <w:rFonts w:eastAsiaTheme="minorEastAsia"/>
          <w:sz w:val="22"/>
          <w:szCs w:val="22"/>
        </w:rPr>
        <w:t xml:space="preserve">Once the variables of interest are collected into </w:t>
      </w:r>
      <w:r w:rsidR="00E7322E" w:rsidRPr="00983440">
        <w:rPr>
          <w:rFonts w:eastAsiaTheme="minorEastAsia"/>
          <w:sz w:val="22"/>
          <w:szCs w:val="22"/>
        </w:rPr>
        <w:t xml:space="preserve">a </w:t>
      </w:r>
      <w:r w:rsidR="00B97017" w:rsidRPr="00983440">
        <w:rPr>
          <w:rFonts w:eastAsiaTheme="minorEastAsia"/>
          <w:sz w:val="22"/>
          <w:szCs w:val="22"/>
        </w:rPr>
        <w:t xml:space="preserve">CSV file, </w:t>
      </w:r>
      <w:r w:rsidR="003524C6" w:rsidRPr="00983440">
        <w:rPr>
          <w:rFonts w:eastAsiaTheme="minorEastAsia"/>
          <w:sz w:val="22"/>
          <w:szCs w:val="22"/>
        </w:rPr>
        <w:t xml:space="preserve">the file will be imported </w:t>
      </w:r>
      <w:r w:rsidR="002D3D6B" w:rsidRPr="00983440">
        <w:rPr>
          <w:rFonts w:eastAsiaTheme="minorEastAsia"/>
          <w:sz w:val="22"/>
          <w:szCs w:val="22"/>
        </w:rPr>
        <w:t>to R-Studio</w:t>
      </w:r>
      <w:r w:rsidR="002A5EFB" w:rsidRPr="00983440">
        <w:rPr>
          <w:rFonts w:eastAsiaTheme="minorEastAsia"/>
          <w:sz w:val="22"/>
          <w:szCs w:val="22"/>
        </w:rPr>
        <w:t xml:space="preserve"> (version 2022.07.2+576)</w:t>
      </w:r>
      <w:r w:rsidR="002D3D6B" w:rsidRPr="00983440">
        <w:rPr>
          <w:rFonts w:eastAsiaTheme="minorEastAsia"/>
          <w:sz w:val="22"/>
          <w:szCs w:val="22"/>
        </w:rPr>
        <w:t xml:space="preserve"> </w:t>
      </w:r>
      <w:r w:rsidR="003524C6" w:rsidRPr="00983440">
        <w:rPr>
          <w:rFonts w:eastAsiaTheme="minorEastAsia"/>
          <w:sz w:val="22"/>
          <w:szCs w:val="22"/>
        </w:rPr>
        <w:t xml:space="preserve">for </w:t>
      </w:r>
      <w:r w:rsidR="002D3D6B" w:rsidRPr="00983440">
        <w:rPr>
          <w:rFonts w:eastAsiaTheme="minorEastAsia"/>
          <w:sz w:val="22"/>
          <w:szCs w:val="22"/>
        </w:rPr>
        <w:t xml:space="preserve">data wrangling, </w:t>
      </w:r>
      <w:r w:rsidR="003524C6" w:rsidRPr="00983440">
        <w:rPr>
          <w:rFonts w:eastAsiaTheme="minorEastAsia"/>
          <w:sz w:val="22"/>
          <w:szCs w:val="22"/>
        </w:rPr>
        <w:t>descriptive</w:t>
      </w:r>
      <w:r w:rsidR="0065769A" w:rsidRPr="00983440">
        <w:rPr>
          <w:rFonts w:eastAsiaTheme="minorEastAsia"/>
          <w:sz w:val="22"/>
          <w:szCs w:val="22"/>
        </w:rPr>
        <w:t>,</w:t>
      </w:r>
      <w:r w:rsidR="003524C6" w:rsidRPr="00983440">
        <w:rPr>
          <w:rFonts w:eastAsiaTheme="minorEastAsia"/>
          <w:sz w:val="22"/>
          <w:szCs w:val="22"/>
        </w:rPr>
        <w:t xml:space="preserve"> and </w:t>
      </w:r>
      <w:r w:rsidR="00E7322E" w:rsidRPr="00983440">
        <w:rPr>
          <w:rFonts w:eastAsiaTheme="minorEastAsia"/>
          <w:sz w:val="22"/>
          <w:szCs w:val="22"/>
        </w:rPr>
        <w:t>predictive</w:t>
      </w:r>
      <w:r w:rsidR="003524C6" w:rsidRPr="00983440">
        <w:rPr>
          <w:rFonts w:eastAsiaTheme="minorEastAsia"/>
          <w:sz w:val="22"/>
          <w:szCs w:val="22"/>
        </w:rPr>
        <w:t xml:space="preserve"> analys</w:t>
      </w:r>
      <w:r w:rsidR="0065769A" w:rsidRPr="00983440">
        <w:rPr>
          <w:rFonts w:eastAsiaTheme="minorEastAsia"/>
          <w:sz w:val="22"/>
          <w:szCs w:val="22"/>
        </w:rPr>
        <w:t>e</w:t>
      </w:r>
      <w:r w:rsidR="003524C6" w:rsidRPr="00983440">
        <w:rPr>
          <w:rFonts w:eastAsiaTheme="minorEastAsia"/>
          <w:sz w:val="22"/>
          <w:szCs w:val="22"/>
        </w:rPr>
        <w:t>s.</w:t>
      </w:r>
      <w:r w:rsidR="006332D8" w:rsidRPr="00983440">
        <w:rPr>
          <w:rFonts w:eastAsiaTheme="minorEastAsia"/>
          <w:sz w:val="22"/>
          <w:szCs w:val="22"/>
        </w:rPr>
        <w:t xml:space="preserve"> </w:t>
      </w:r>
      <w:r w:rsidR="00A37F70" w:rsidRPr="00983440">
        <w:rPr>
          <w:rFonts w:eastAsiaTheme="minorEastAsia"/>
          <w:sz w:val="22"/>
          <w:szCs w:val="22"/>
        </w:rPr>
        <w:t>Lastly, the analys</w:t>
      </w:r>
      <w:r w:rsidR="00414B0A" w:rsidRPr="00983440">
        <w:rPr>
          <w:rFonts w:eastAsiaTheme="minorEastAsia"/>
          <w:sz w:val="22"/>
          <w:szCs w:val="22"/>
        </w:rPr>
        <w:t>e</w:t>
      </w:r>
      <w:r w:rsidR="00A37F70" w:rsidRPr="00983440">
        <w:rPr>
          <w:rFonts w:eastAsiaTheme="minorEastAsia"/>
          <w:sz w:val="22"/>
          <w:szCs w:val="22"/>
        </w:rPr>
        <w:t xml:space="preserve">s </w:t>
      </w:r>
      <w:r w:rsidR="009B20E9" w:rsidRPr="00983440">
        <w:rPr>
          <w:rFonts w:eastAsiaTheme="minorEastAsia"/>
          <w:sz w:val="22"/>
          <w:szCs w:val="22"/>
        </w:rPr>
        <w:t>will</w:t>
      </w:r>
      <w:r w:rsidR="00A37F70" w:rsidRPr="00983440">
        <w:rPr>
          <w:rFonts w:eastAsiaTheme="minorEastAsia"/>
          <w:sz w:val="22"/>
          <w:szCs w:val="22"/>
        </w:rPr>
        <w:t xml:space="preserve"> include</w:t>
      </w:r>
      <w:r w:rsidR="009B20E9" w:rsidRPr="00983440">
        <w:rPr>
          <w:rFonts w:eastAsiaTheme="minorEastAsia"/>
          <w:sz w:val="22"/>
          <w:szCs w:val="22"/>
        </w:rPr>
        <w:t xml:space="preserve"> data from</w:t>
      </w:r>
      <w:r w:rsidR="000805DD" w:rsidRPr="00983440">
        <w:rPr>
          <w:rFonts w:eastAsiaTheme="minorEastAsia"/>
          <w:sz w:val="22"/>
          <w:szCs w:val="22"/>
        </w:rPr>
        <w:t xml:space="preserve"> all eligible</w:t>
      </w:r>
      <w:r w:rsidR="00863628" w:rsidRPr="00983440">
        <w:rPr>
          <w:rFonts w:eastAsiaTheme="minorEastAsia"/>
          <w:sz w:val="22"/>
          <w:szCs w:val="22"/>
        </w:rPr>
        <w:t xml:space="preserve"> </w:t>
      </w:r>
      <w:r w:rsidR="009B20E9" w:rsidRPr="00983440">
        <w:rPr>
          <w:rFonts w:eastAsiaTheme="minorEastAsia"/>
          <w:sz w:val="22"/>
          <w:szCs w:val="22"/>
        </w:rPr>
        <w:t>professional golfer</w:t>
      </w:r>
      <w:r w:rsidR="00E7322E" w:rsidRPr="00983440">
        <w:rPr>
          <w:rFonts w:eastAsiaTheme="minorEastAsia"/>
          <w:sz w:val="22"/>
          <w:szCs w:val="22"/>
        </w:rPr>
        <w:t>s</w:t>
      </w:r>
      <w:r w:rsidR="009B20E9" w:rsidRPr="00983440">
        <w:rPr>
          <w:rFonts w:eastAsiaTheme="minorEastAsia"/>
          <w:sz w:val="22"/>
          <w:szCs w:val="22"/>
        </w:rPr>
        <w:t xml:space="preserve"> between the years of 201</w:t>
      </w:r>
      <w:r w:rsidR="00E36F6D" w:rsidRPr="00983440">
        <w:rPr>
          <w:rFonts w:eastAsiaTheme="minorEastAsia"/>
          <w:sz w:val="22"/>
          <w:szCs w:val="22"/>
        </w:rPr>
        <w:t>5</w:t>
      </w:r>
      <w:r w:rsidR="00086F9D" w:rsidRPr="00983440">
        <w:rPr>
          <w:rFonts w:eastAsiaTheme="minorEastAsia"/>
          <w:sz w:val="22"/>
          <w:szCs w:val="22"/>
        </w:rPr>
        <w:t xml:space="preserve"> and </w:t>
      </w:r>
      <w:r w:rsidR="009B20E9" w:rsidRPr="00983440">
        <w:rPr>
          <w:rFonts w:eastAsiaTheme="minorEastAsia"/>
          <w:sz w:val="22"/>
          <w:szCs w:val="22"/>
        </w:rPr>
        <w:t>2019.</w:t>
      </w:r>
    </w:p>
    <w:p w14:paraId="100B5BD0" w14:textId="77777777" w:rsidR="00863628" w:rsidRPr="00983440" w:rsidRDefault="00863628" w:rsidP="00983440">
      <w:pPr>
        <w:pStyle w:val="ListParagraph"/>
        <w:numPr>
          <w:ilvl w:val="1"/>
          <w:numId w:val="1"/>
        </w:numPr>
        <w:spacing w:line="240" w:lineRule="auto"/>
        <w:rPr>
          <w:rFonts w:eastAsiaTheme="minorEastAsia"/>
          <w:b/>
          <w:bCs/>
          <w:sz w:val="22"/>
          <w:szCs w:val="22"/>
        </w:rPr>
      </w:pPr>
      <w:r w:rsidRPr="00983440">
        <w:rPr>
          <w:rFonts w:eastAsiaTheme="minorEastAsia"/>
          <w:b/>
          <w:bCs/>
          <w:sz w:val="22"/>
          <w:szCs w:val="22"/>
        </w:rPr>
        <w:t>Variables of interest</w:t>
      </w:r>
    </w:p>
    <w:p w14:paraId="4BCB50F1" w14:textId="71A18239" w:rsidR="00863628" w:rsidRPr="00983440" w:rsidRDefault="00863628" w:rsidP="00983440">
      <w:pPr>
        <w:spacing w:line="240" w:lineRule="auto"/>
        <w:ind w:firstLine="432"/>
        <w:rPr>
          <w:sz w:val="22"/>
          <w:szCs w:val="22"/>
        </w:rPr>
      </w:pPr>
      <w:r w:rsidRPr="00983440">
        <w:rPr>
          <w:rFonts w:eastAsiaTheme="minorEastAsia"/>
          <w:sz w:val="22"/>
          <w:szCs w:val="22"/>
        </w:rPr>
        <w:t>The</w:t>
      </w:r>
      <w:r w:rsidR="009E5666" w:rsidRPr="00983440">
        <w:rPr>
          <w:rFonts w:eastAsiaTheme="minorEastAsia"/>
          <w:sz w:val="22"/>
          <w:szCs w:val="22"/>
        </w:rPr>
        <w:t>re are eight</w:t>
      </w:r>
      <w:r w:rsidRPr="00983440">
        <w:rPr>
          <w:rFonts w:eastAsiaTheme="minorEastAsia"/>
          <w:sz w:val="22"/>
          <w:szCs w:val="22"/>
        </w:rPr>
        <w:t xml:space="preserve"> variables of interest that are included in the descriptive and inferential analysis</w:t>
      </w:r>
      <w:r w:rsidR="009E5666" w:rsidRPr="00983440">
        <w:rPr>
          <w:rFonts w:eastAsiaTheme="minorEastAsia"/>
          <w:sz w:val="22"/>
          <w:szCs w:val="22"/>
        </w:rPr>
        <w:t>. The variables are</w:t>
      </w:r>
      <w:r w:rsidR="00B77C2D" w:rsidRPr="00983440">
        <w:rPr>
          <w:rFonts w:eastAsiaTheme="minorEastAsia"/>
          <w:sz w:val="22"/>
          <w:szCs w:val="22"/>
        </w:rPr>
        <w:t xml:space="preserve"> listed and</w:t>
      </w:r>
      <w:r w:rsidR="009E5666" w:rsidRPr="00983440">
        <w:rPr>
          <w:rFonts w:eastAsiaTheme="minorEastAsia"/>
          <w:sz w:val="22"/>
          <w:szCs w:val="22"/>
        </w:rPr>
        <w:t xml:space="preserve"> defined as follows</w:t>
      </w:r>
      <w:r w:rsidR="00150520" w:rsidRPr="00983440">
        <w:rPr>
          <w:rFonts w:eastAsiaTheme="minorEastAsia"/>
          <w:sz w:val="22"/>
          <w:szCs w:val="22"/>
        </w:rPr>
        <w:t>:</w:t>
      </w:r>
      <w:r w:rsidR="009E5666" w:rsidRPr="00983440">
        <w:rPr>
          <w:rFonts w:eastAsiaTheme="minorEastAsia"/>
          <w:sz w:val="22"/>
          <w:szCs w:val="22"/>
        </w:rPr>
        <w:t xml:space="preserve"> </w:t>
      </w:r>
      <w:r w:rsidR="009E5666" w:rsidRPr="00983440">
        <w:rPr>
          <w:rFonts w:eastAsiaTheme="minorEastAsia"/>
          <w:i/>
          <w:iCs/>
          <w:sz w:val="22"/>
          <w:szCs w:val="22"/>
        </w:rPr>
        <w:t>greens in regulation (GIR</w:t>
      </w:r>
      <w:r w:rsidR="00150520" w:rsidRPr="00983440">
        <w:rPr>
          <w:rFonts w:eastAsiaTheme="minorEastAsia"/>
          <w:sz w:val="22"/>
          <w:szCs w:val="22"/>
        </w:rPr>
        <w:t xml:space="preserve">; </w:t>
      </w:r>
      <w:r w:rsidR="009E5666" w:rsidRPr="00983440">
        <w:rPr>
          <w:rFonts w:eastAsiaTheme="minorEastAsia"/>
          <w:sz w:val="22"/>
          <w:szCs w:val="22"/>
        </w:rPr>
        <w:t>the percentage of green’s hit that may lead to a birdie or eagle within a season</w:t>
      </w:r>
      <w:r w:rsidR="00150520" w:rsidRPr="00983440">
        <w:rPr>
          <w:rFonts w:eastAsiaTheme="minorEastAsia"/>
          <w:sz w:val="22"/>
          <w:szCs w:val="22"/>
        </w:rPr>
        <w:t xml:space="preserve">), </w:t>
      </w:r>
      <w:r w:rsidR="00325F90" w:rsidRPr="00983440">
        <w:rPr>
          <w:rFonts w:eastAsiaTheme="minorEastAsia"/>
          <w:sz w:val="22"/>
          <w:szCs w:val="22"/>
        </w:rPr>
        <w:t xml:space="preserve"> </w:t>
      </w:r>
      <w:r w:rsidR="00325F90" w:rsidRPr="00983440">
        <w:rPr>
          <w:rFonts w:eastAsiaTheme="minorEastAsia"/>
          <w:i/>
          <w:iCs/>
          <w:sz w:val="22"/>
          <w:szCs w:val="22"/>
        </w:rPr>
        <w:t>bogey average (BA</w:t>
      </w:r>
      <w:r w:rsidR="00150520" w:rsidRPr="00983440">
        <w:rPr>
          <w:rFonts w:eastAsiaTheme="minorEastAsia"/>
          <w:sz w:val="22"/>
          <w:szCs w:val="22"/>
        </w:rPr>
        <w:t xml:space="preserve">; </w:t>
      </w:r>
      <w:r w:rsidR="00325F90" w:rsidRPr="00983440">
        <w:rPr>
          <w:rFonts w:eastAsiaTheme="minorEastAsia"/>
          <w:sz w:val="22"/>
          <w:szCs w:val="22"/>
        </w:rPr>
        <w:t>the average number of bogey’s per round in a season</w:t>
      </w:r>
      <w:r w:rsidR="00150520" w:rsidRPr="00983440">
        <w:rPr>
          <w:rFonts w:eastAsiaTheme="minorEastAsia"/>
          <w:sz w:val="22"/>
          <w:szCs w:val="22"/>
        </w:rPr>
        <w:t xml:space="preserve">), </w:t>
      </w:r>
      <w:r w:rsidR="00325F90" w:rsidRPr="00983440">
        <w:rPr>
          <w:rFonts w:eastAsiaTheme="minorEastAsia"/>
          <w:i/>
          <w:iCs/>
          <w:sz w:val="22"/>
          <w:szCs w:val="22"/>
        </w:rPr>
        <w:t>scoring average (SA</w:t>
      </w:r>
      <w:r w:rsidR="00150520" w:rsidRPr="00983440">
        <w:rPr>
          <w:rFonts w:eastAsiaTheme="minorEastAsia"/>
          <w:sz w:val="22"/>
          <w:szCs w:val="22"/>
        </w:rPr>
        <w:t xml:space="preserve">; </w:t>
      </w:r>
      <w:r w:rsidR="00325F90" w:rsidRPr="00983440">
        <w:rPr>
          <w:rFonts w:eastAsiaTheme="minorEastAsia"/>
          <w:sz w:val="22"/>
          <w:szCs w:val="22"/>
        </w:rPr>
        <w:t xml:space="preserve">the total strokes </w:t>
      </w:r>
      <w:r w:rsidR="00325F90" w:rsidRPr="00983440">
        <w:rPr>
          <w:rFonts w:eastAsiaTheme="minorEastAsia"/>
          <w:sz w:val="22"/>
          <w:szCs w:val="22"/>
        </w:rPr>
        <w:t>gained divided by the total rounds played</w:t>
      </w:r>
      <w:r w:rsidR="00150520" w:rsidRPr="00983440">
        <w:rPr>
          <w:rFonts w:eastAsiaTheme="minorEastAsia"/>
          <w:sz w:val="22"/>
          <w:szCs w:val="22"/>
        </w:rPr>
        <w:t xml:space="preserve">), </w:t>
      </w:r>
      <w:r w:rsidR="00325F90" w:rsidRPr="00983440">
        <w:rPr>
          <w:rFonts w:eastAsiaTheme="minorEastAsia"/>
          <w:i/>
          <w:iCs/>
          <w:sz w:val="22"/>
          <w:szCs w:val="22"/>
        </w:rPr>
        <w:t>driving distance (D</w:t>
      </w:r>
      <w:r w:rsidR="00150520" w:rsidRPr="00983440">
        <w:rPr>
          <w:rFonts w:eastAsiaTheme="minorEastAsia"/>
          <w:i/>
          <w:iCs/>
          <w:sz w:val="22"/>
          <w:szCs w:val="22"/>
        </w:rPr>
        <w:t>D</w:t>
      </w:r>
      <w:r w:rsidR="00150520" w:rsidRPr="00983440">
        <w:rPr>
          <w:rFonts w:eastAsiaTheme="minorEastAsia"/>
          <w:sz w:val="22"/>
          <w:szCs w:val="22"/>
        </w:rPr>
        <w:t xml:space="preserve">; </w:t>
      </w:r>
      <w:r w:rsidR="00325F90" w:rsidRPr="00983440">
        <w:rPr>
          <w:sz w:val="22"/>
          <w:szCs w:val="22"/>
        </w:rPr>
        <w:t>the approximate summation of carry and roll distance from the tee-box</w:t>
      </w:r>
      <w:r w:rsidR="00494517" w:rsidRPr="00983440">
        <w:rPr>
          <w:sz w:val="22"/>
          <w:szCs w:val="22"/>
        </w:rPr>
        <w:t>)</w:t>
      </w:r>
      <w:r w:rsidR="00325F90" w:rsidRPr="00983440">
        <w:rPr>
          <w:sz w:val="22"/>
          <w:szCs w:val="22"/>
        </w:rPr>
        <w:t xml:space="preserve">, </w:t>
      </w:r>
      <w:r w:rsidR="00325F90" w:rsidRPr="00983440">
        <w:rPr>
          <w:i/>
          <w:iCs/>
          <w:sz w:val="22"/>
          <w:szCs w:val="22"/>
        </w:rPr>
        <w:t>driving accuracy (DA</w:t>
      </w:r>
      <w:r w:rsidR="00494517" w:rsidRPr="00983440">
        <w:rPr>
          <w:i/>
          <w:iCs/>
          <w:sz w:val="22"/>
          <w:szCs w:val="22"/>
        </w:rPr>
        <w:t>;</w:t>
      </w:r>
      <w:r w:rsidR="00325F90" w:rsidRPr="00983440">
        <w:rPr>
          <w:sz w:val="22"/>
          <w:szCs w:val="22"/>
        </w:rPr>
        <w:t xml:space="preserve"> the amount of fairways hit divided by the total amount of fairways expressed as a percentage</w:t>
      </w:r>
      <w:r w:rsidR="00494517" w:rsidRPr="00983440">
        <w:rPr>
          <w:sz w:val="22"/>
          <w:szCs w:val="22"/>
        </w:rPr>
        <w:t>)</w:t>
      </w:r>
      <w:r w:rsidR="00325F90" w:rsidRPr="00983440">
        <w:rPr>
          <w:sz w:val="22"/>
          <w:szCs w:val="22"/>
        </w:rPr>
        <w:t xml:space="preserve">, </w:t>
      </w:r>
      <w:r w:rsidR="00494517" w:rsidRPr="00983440">
        <w:rPr>
          <w:i/>
          <w:iCs/>
          <w:sz w:val="22"/>
          <w:szCs w:val="22"/>
        </w:rPr>
        <w:t>a</w:t>
      </w:r>
      <w:r w:rsidR="00325F90" w:rsidRPr="00983440">
        <w:rPr>
          <w:i/>
          <w:iCs/>
          <w:sz w:val="22"/>
          <w:szCs w:val="22"/>
        </w:rPr>
        <w:t>pproaches from less than 100 yards (APLH</w:t>
      </w:r>
      <w:r w:rsidR="00494517" w:rsidRPr="00983440">
        <w:rPr>
          <w:i/>
          <w:iCs/>
          <w:sz w:val="22"/>
          <w:szCs w:val="22"/>
        </w:rPr>
        <w:t xml:space="preserve">; </w:t>
      </w:r>
      <w:r w:rsidR="00325F90" w:rsidRPr="00983440">
        <w:rPr>
          <w:sz w:val="22"/>
          <w:szCs w:val="22"/>
        </w:rPr>
        <w:t>t</w:t>
      </w:r>
      <w:r w:rsidR="00325F90" w:rsidRPr="00983440">
        <w:rPr>
          <w:color w:val="000000"/>
          <w:sz w:val="22"/>
          <w:szCs w:val="22"/>
          <w:shd w:val="clear" w:color="auto" w:fill="FFFFFF"/>
        </w:rPr>
        <w:t>he average distance between the ball and the hole (in feet) when a player's approach is hit from a distance less than 100 yards</w:t>
      </w:r>
      <w:r w:rsidR="00494517" w:rsidRPr="00983440">
        <w:rPr>
          <w:color w:val="000000"/>
          <w:sz w:val="22"/>
          <w:szCs w:val="22"/>
          <w:shd w:val="clear" w:color="auto" w:fill="FFFFFF"/>
        </w:rPr>
        <w:t>)</w:t>
      </w:r>
      <w:r w:rsidR="00325F90" w:rsidRPr="00983440">
        <w:rPr>
          <w:color w:val="000000"/>
          <w:sz w:val="22"/>
          <w:szCs w:val="22"/>
          <w:shd w:val="clear" w:color="auto" w:fill="FFFFFF"/>
        </w:rPr>
        <w:t xml:space="preserve">, </w:t>
      </w:r>
      <w:r w:rsidR="00494517" w:rsidRPr="00983440">
        <w:rPr>
          <w:i/>
          <w:iCs/>
          <w:sz w:val="22"/>
          <w:szCs w:val="22"/>
        </w:rPr>
        <w:t xml:space="preserve">approaches </w:t>
      </w:r>
      <w:r w:rsidR="00325F90" w:rsidRPr="00983440">
        <w:rPr>
          <w:i/>
          <w:iCs/>
          <w:sz w:val="22"/>
          <w:szCs w:val="22"/>
        </w:rPr>
        <w:t>from greater than 100 yards (APGH</w:t>
      </w:r>
      <w:r w:rsidR="00494517" w:rsidRPr="00983440">
        <w:rPr>
          <w:sz w:val="22"/>
          <w:szCs w:val="22"/>
        </w:rPr>
        <w:t xml:space="preserve">; </w:t>
      </w:r>
      <w:r w:rsidR="00325F90" w:rsidRPr="00983440">
        <w:rPr>
          <w:sz w:val="22"/>
          <w:szCs w:val="22"/>
        </w:rPr>
        <w:t>t</w:t>
      </w:r>
      <w:r w:rsidR="00325F90" w:rsidRPr="00983440">
        <w:rPr>
          <w:color w:val="000000"/>
          <w:sz w:val="22"/>
          <w:szCs w:val="22"/>
          <w:shd w:val="clear" w:color="auto" w:fill="FFFFFF"/>
        </w:rPr>
        <w:t>he average distance between the ball and the hole (in feet) when a player's approach is hit from a distance greater than 100 yards, lastly</w:t>
      </w:r>
      <w:r w:rsidR="00494517" w:rsidRPr="00983440">
        <w:rPr>
          <w:color w:val="000000"/>
          <w:sz w:val="22"/>
          <w:szCs w:val="22"/>
          <w:shd w:val="clear" w:color="auto" w:fill="FFFFFF"/>
        </w:rPr>
        <w:t>), and</w:t>
      </w:r>
      <w:r w:rsidR="00325F90" w:rsidRPr="00983440">
        <w:rPr>
          <w:color w:val="000000"/>
          <w:sz w:val="22"/>
          <w:szCs w:val="22"/>
          <w:shd w:val="clear" w:color="auto" w:fill="FFFFFF"/>
        </w:rPr>
        <w:t xml:space="preserve"> </w:t>
      </w:r>
      <w:r w:rsidR="00325F90" w:rsidRPr="00983440">
        <w:rPr>
          <w:rFonts w:eastAsiaTheme="minorEastAsia"/>
          <w:i/>
          <w:iCs/>
          <w:sz w:val="22"/>
          <w:szCs w:val="22"/>
        </w:rPr>
        <w:t>top 10 finishes</w:t>
      </w:r>
      <w:r w:rsidR="00494517" w:rsidRPr="00983440">
        <w:rPr>
          <w:rFonts w:eastAsiaTheme="minorEastAsia"/>
          <w:i/>
          <w:iCs/>
          <w:sz w:val="22"/>
          <w:szCs w:val="22"/>
        </w:rPr>
        <w:t xml:space="preserve"> </w:t>
      </w:r>
      <w:r w:rsidR="00494517" w:rsidRPr="00983440">
        <w:rPr>
          <w:rFonts w:eastAsiaTheme="minorEastAsia"/>
          <w:sz w:val="22"/>
          <w:szCs w:val="22"/>
        </w:rPr>
        <w:t>(</w:t>
      </w:r>
      <w:r w:rsidR="00325F90" w:rsidRPr="00983440">
        <w:rPr>
          <w:rFonts w:eastAsiaTheme="minorEastAsia"/>
          <w:sz w:val="22"/>
          <w:szCs w:val="22"/>
        </w:rPr>
        <w:t>the summation of all the events a player ranks within the top 10 in a given tournament within a season</w:t>
      </w:r>
      <w:r w:rsidR="00494517" w:rsidRPr="00983440">
        <w:rPr>
          <w:rFonts w:eastAsiaTheme="minorEastAsia"/>
          <w:sz w:val="22"/>
          <w:szCs w:val="22"/>
        </w:rPr>
        <w:t>)</w:t>
      </w:r>
      <w:r w:rsidR="00325F90" w:rsidRPr="00983440">
        <w:rPr>
          <w:sz w:val="22"/>
          <w:szCs w:val="22"/>
        </w:rPr>
        <w:t>.</w:t>
      </w:r>
      <w:r w:rsidR="00325F90" w:rsidRPr="00983440">
        <w:rPr>
          <w:rFonts w:eastAsiaTheme="minorEastAsia"/>
          <w:sz w:val="22"/>
          <w:szCs w:val="22"/>
        </w:rPr>
        <w:t xml:space="preserve"> </w:t>
      </w:r>
      <w:r w:rsidR="009E5666" w:rsidRPr="00983440">
        <w:rPr>
          <w:rFonts w:eastAsiaTheme="minorEastAsia"/>
          <w:sz w:val="22"/>
          <w:szCs w:val="22"/>
        </w:rPr>
        <w:t>The first seven variables are continuous, and last variable is ordinal</w:t>
      </w:r>
      <w:r w:rsidR="00983440" w:rsidRPr="00983440">
        <w:rPr>
          <w:rFonts w:eastAsiaTheme="minorEastAsia"/>
          <w:sz w:val="22"/>
          <w:szCs w:val="22"/>
          <w:vertAlign w:val="superscript"/>
        </w:rPr>
        <w:t>1</w:t>
      </w:r>
      <w:r w:rsidR="009E5666" w:rsidRPr="00983440">
        <w:rPr>
          <w:rFonts w:eastAsiaTheme="minorEastAsia"/>
          <w:sz w:val="22"/>
          <w:szCs w:val="22"/>
        </w:rPr>
        <w:t>.</w:t>
      </w:r>
      <w:r w:rsidRPr="00983440">
        <w:rPr>
          <w:rFonts w:eastAsiaTheme="minorEastAsia"/>
          <w:sz w:val="22"/>
          <w:szCs w:val="22"/>
        </w:rPr>
        <w:t xml:space="preserve"> (Choi, 2020):</w:t>
      </w:r>
    </w:p>
    <w:p w14:paraId="4C66AB93" w14:textId="77777777" w:rsidR="00147405" w:rsidRPr="00983440" w:rsidRDefault="00147405" w:rsidP="00983440">
      <w:pPr>
        <w:pStyle w:val="ListParagraph"/>
        <w:numPr>
          <w:ilvl w:val="1"/>
          <w:numId w:val="1"/>
        </w:numPr>
        <w:spacing w:line="240" w:lineRule="auto"/>
        <w:rPr>
          <w:rFonts w:eastAsiaTheme="minorEastAsia"/>
          <w:b/>
          <w:bCs/>
          <w:sz w:val="22"/>
          <w:szCs w:val="22"/>
        </w:rPr>
      </w:pPr>
      <w:r w:rsidRPr="00983440">
        <w:rPr>
          <w:rFonts w:eastAsiaTheme="minorEastAsia"/>
          <w:b/>
          <w:bCs/>
          <w:sz w:val="22"/>
          <w:szCs w:val="22"/>
        </w:rPr>
        <w:t>Data analysis</w:t>
      </w:r>
    </w:p>
    <w:p w14:paraId="31B74135" w14:textId="0AC276F2" w:rsidR="00147405" w:rsidRDefault="00147405" w:rsidP="00983440">
      <w:pPr>
        <w:spacing w:line="240" w:lineRule="auto"/>
        <w:ind w:firstLine="360"/>
        <w:rPr>
          <w:rFonts w:eastAsiaTheme="minorEastAsia"/>
          <w:sz w:val="22"/>
          <w:szCs w:val="22"/>
        </w:rPr>
      </w:pPr>
      <w:r w:rsidRPr="00983440">
        <w:rPr>
          <w:rFonts w:eastAsiaTheme="minorEastAsia"/>
          <w:sz w:val="22"/>
          <w:szCs w:val="22"/>
        </w:rPr>
        <w:t>Prior to descriptive and inferential analysis, data cleaning</w:t>
      </w:r>
      <w:r w:rsidR="00E34FFF" w:rsidRPr="00983440">
        <w:rPr>
          <w:rFonts w:eastAsiaTheme="minorEastAsia"/>
          <w:sz w:val="22"/>
          <w:szCs w:val="22"/>
        </w:rPr>
        <w:t>,</w:t>
      </w:r>
      <w:r w:rsidRPr="00983440">
        <w:rPr>
          <w:rFonts w:eastAsiaTheme="minorEastAsia"/>
          <w:sz w:val="22"/>
          <w:szCs w:val="22"/>
        </w:rPr>
        <w:t xml:space="preserve"> normality</w:t>
      </w:r>
      <w:r w:rsidR="00E34FFF" w:rsidRPr="00983440">
        <w:rPr>
          <w:rFonts w:eastAsiaTheme="minorEastAsia"/>
          <w:sz w:val="22"/>
          <w:szCs w:val="22"/>
        </w:rPr>
        <w:t xml:space="preserve"> and assumptions</w:t>
      </w:r>
      <w:r w:rsidRPr="00983440">
        <w:rPr>
          <w:rFonts w:eastAsiaTheme="minorEastAsia"/>
          <w:sz w:val="22"/>
          <w:szCs w:val="22"/>
        </w:rPr>
        <w:t xml:space="preserve"> checks will be conducted. If the data is non-normally distributed a logarithm or square-root transform will be completed. </w:t>
      </w:r>
      <w:r w:rsidR="00B47112" w:rsidRPr="00983440">
        <w:rPr>
          <w:rFonts w:eastAsiaTheme="minorEastAsia"/>
          <w:sz w:val="22"/>
          <w:szCs w:val="22"/>
        </w:rPr>
        <w:t xml:space="preserve">Two-tailed significance of 0.05 was adopted for all the statistical tests. During the data cleaning process, </w:t>
      </w:r>
      <w:r w:rsidR="009B6BA7" w:rsidRPr="00983440">
        <w:rPr>
          <w:rFonts w:eastAsiaTheme="minorEastAsia"/>
          <w:sz w:val="22"/>
          <w:szCs w:val="22"/>
        </w:rPr>
        <w:t>PGA professional</w:t>
      </w:r>
      <w:r w:rsidR="007826BA" w:rsidRPr="00983440">
        <w:rPr>
          <w:rFonts w:eastAsiaTheme="minorEastAsia"/>
          <w:sz w:val="22"/>
          <w:szCs w:val="22"/>
        </w:rPr>
        <w:t>s</w:t>
      </w:r>
      <w:r w:rsidR="009B6BA7" w:rsidRPr="00983440">
        <w:rPr>
          <w:rFonts w:eastAsiaTheme="minorEastAsia"/>
          <w:sz w:val="22"/>
          <w:szCs w:val="22"/>
        </w:rPr>
        <w:t xml:space="preserve"> with greater than six missing values among the variables of interest were removed. Mean imputation, was used to fill in the remaining two missing data points for a complete dataset. </w:t>
      </w:r>
      <w:r w:rsidRPr="00983440">
        <w:rPr>
          <w:rFonts w:eastAsiaTheme="minorEastAsia"/>
          <w:sz w:val="22"/>
          <w:szCs w:val="22"/>
        </w:rPr>
        <w:t>Descriptive statistics will be conducted on all variables. A correlation matrix will measure the association between</w:t>
      </w:r>
      <w:r w:rsidR="00863628" w:rsidRPr="00983440">
        <w:rPr>
          <w:rFonts w:eastAsiaTheme="minorEastAsia"/>
          <w:sz w:val="22"/>
          <w:szCs w:val="22"/>
        </w:rPr>
        <w:t xml:space="preserve"> the variables of interest to measure multicollinearity. </w:t>
      </w:r>
      <w:r w:rsidR="0054055D" w:rsidRPr="00983440">
        <w:rPr>
          <w:rFonts w:eastAsiaTheme="minorEastAsia"/>
          <w:sz w:val="22"/>
          <w:szCs w:val="22"/>
        </w:rPr>
        <w:t xml:space="preserve">The data will have a 70/30 split between training and test, to reduce bias within the model. </w:t>
      </w:r>
      <w:r w:rsidRPr="00983440">
        <w:rPr>
          <w:rFonts w:eastAsiaTheme="minorEastAsia"/>
          <w:sz w:val="22"/>
          <w:szCs w:val="22"/>
        </w:rPr>
        <w:t xml:space="preserve">The construction of the multivariate model will be composed of DD, DA, APLH and APGH regressed on GIR, BA and SA. The multivariate multiple regression formula is calculated as follows </w:t>
      </w:r>
      <m:oMath>
        <m:sSub>
          <m:sSubPr>
            <m:ctrlPr>
              <w:rPr>
                <w:rFonts w:ascii="Cambria Math" w:eastAsiaTheme="minorEastAsia" w:hAnsi="Cambria Math"/>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r>
              <m:rPr>
                <m:sty m:val="p"/>
              </m:rPr>
              <w:rPr>
                <w:rFonts w:ascii="Cambria Math" w:eastAsiaTheme="minorEastAsia" w:hAnsi="Cambria Math"/>
                <w:sz w:val="22"/>
                <w:szCs w:val="22"/>
              </w:rPr>
              <m:t>,</m:t>
            </m:r>
            <m:r>
              <w:rPr>
                <w:rFonts w:ascii="Cambria Math" w:eastAsiaTheme="minorEastAsia" w:hAnsi="Cambria Math"/>
                <w:sz w:val="22"/>
                <w:szCs w:val="22"/>
              </w:rPr>
              <m:t>k</m:t>
            </m:r>
          </m:sub>
        </m:sSub>
        <m:r>
          <m:rPr>
            <m:sty m:val="p"/>
          </m:rPr>
          <w:rPr>
            <w:rFonts w:ascii="Cambria Math" w:eastAsiaTheme="minorEastAsia" w:hAnsi="Cambria Math"/>
            <w:sz w:val="22"/>
            <w:szCs w:val="22"/>
          </w:rPr>
          <m:t xml:space="preserve">= </m:t>
        </m:r>
        <m:sSub>
          <m:sSubPr>
            <m:ctrlPr>
              <w:rPr>
                <w:rFonts w:ascii="Cambria Math" w:eastAsiaTheme="minorEastAsia" w:hAnsi="Cambria Math"/>
                <w:sz w:val="22"/>
                <w:szCs w:val="22"/>
              </w:rPr>
            </m:ctrlPr>
          </m:sSubPr>
          <m:e>
            <m:sSub>
              <m:sSubPr>
                <m:ctrlPr>
                  <w:rPr>
                    <w:rFonts w:ascii="Cambria Math" w:eastAsiaTheme="minorEastAsia" w:hAnsi="Cambria Math"/>
                    <w:sz w:val="22"/>
                    <w:szCs w:val="22"/>
                  </w:rPr>
                </m:ctrlPr>
              </m:sSubPr>
              <m:e>
                <m:r>
                  <w:rPr>
                    <w:rFonts w:ascii="Cambria Math" w:eastAsiaTheme="minorEastAsia" w:hAnsi="Cambria Math"/>
                    <w:sz w:val="22"/>
                    <w:szCs w:val="22"/>
                  </w:rPr>
                  <m:t>β</m:t>
                </m:r>
              </m:e>
              <m:sub>
                <m:r>
                  <m:rPr>
                    <m:sty m:val="p"/>
                  </m:rPr>
                  <w:rPr>
                    <w:rFonts w:ascii="Cambria Math" w:eastAsiaTheme="minorEastAsia" w:hAnsi="Cambria Math"/>
                    <w:sz w:val="22"/>
                    <w:szCs w:val="22"/>
                  </w:rPr>
                  <m:t>1,</m:t>
                </m:r>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r>
                  <m:rPr>
                    <m:sty m:val="p"/>
                  </m:rPr>
                  <w:rPr>
                    <w:rFonts w:ascii="Cambria Math" w:eastAsiaTheme="minorEastAsia" w:hAnsi="Cambria Math"/>
                    <w:sz w:val="22"/>
                    <w:szCs w:val="22"/>
                  </w:rPr>
                  <m:t>,</m:t>
                </m:r>
                <m:r>
                  <w:rPr>
                    <w:rFonts w:ascii="Cambria Math" w:eastAsiaTheme="minorEastAsia" w:hAnsi="Cambria Math"/>
                    <w:sz w:val="22"/>
                    <w:szCs w:val="22"/>
                  </w:rPr>
                  <m:t>k</m:t>
                </m:r>
              </m:sub>
            </m:sSub>
            <m:r>
              <w:rPr>
                <w:rFonts w:ascii="Cambria Math" w:eastAsiaTheme="minorEastAsia" w:hAnsi="Cambria Math"/>
                <w:sz w:val="22"/>
                <w:szCs w:val="22"/>
              </w:rPr>
              <m:t>DD</m:t>
            </m:r>
          </m:e>
          <m:sub>
            <m:r>
              <m:rPr>
                <m:sty m:val="p"/>
              </m:rPr>
              <w:rPr>
                <w:rFonts w:ascii="Cambria Math" w:eastAsiaTheme="minorEastAsia" w:hAnsi="Cambria Math"/>
                <w:sz w:val="22"/>
                <w:szCs w:val="22"/>
              </w:rPr>
              <m:t>1</m:t>
            </m:r>
          </m:sub>
        </m:sSub>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sSub>
              <m:sSubPr>
                <m:ctrlPr>
                  <w:rPr>
                    <w:rFonts w:ascii="Cambria Math" w:eastAsiaTheme="minorEastAsia" w:hAnsi="Cambria Math"/>
                    <w:sz w:val="22"/>
                    <w:szCs w:val="22"/>
                  </w:rPr>
                </m:ctrlPr>
              </m:sSubPr>
              <m:e>
                <m:r>
                  <w:rPr>
                    <w:rFonts w:ascii="Cambria Math" w:eastAsiaTheme="minorEastAsia" w:hAnsi="Cambria Math"/>
                    <w:sz w:val="22"/>
                    <w:szCs w:val="22"/>
                  </w:rPr>
                  <m:t>β</m:t>
                </m:r>
              </m:e>
              <m:sub>
                <m:r>
                  <m:rPr>
                    <m:sty m:val="p"/>
                  </m:rPr>
                  <w:rPr>
                    <w:rFonts w:ascii="Cambria Math" w:eastAsiaTheme="minorEastAsia" w:hAnsi="Cambria Math"/>
                    <w:sz w:val="22"/>
                    <w:szCs w:val="22"/>
                  </w:rPr>
                  <m:t>2,</m:t>
                </m:r>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r>
                  <m:rPr>
                    <m:sty m:val="p"/>
                  </m:rPr>
                  <w:rPr>
                    <w:rFonts w:ascii="Cambria Math" w:eastAsiaTheme="minorEastAsia" w:hAnsi="Cambria Math"/>
                    <w:sz w:val="22"/>
                    <w:szCs w:val="22"/>
                  </w:rPr>
                  <m:t>,</m:t>
                </m:r>
                <m:r>
                  <w:rPr>
                    <w:rFonts w:ascii="Cambria Math" w:eastAsiaTheme="minorEastAsia" w:hAnsi="Cambria Math"/>
                    <w:sz w:val="22"/>
                    <w:szCs w:val="22"/>
                  </w:rPr>
                  <m:t>k</m:t>
                </m:r>
              </m:sub>
            </m:sSub>
            <m:r>
              <w:rPr>
                <w:rFonts w:ascii="Cambria Math" w:eastAsiaTheme="minorEastAsia" w:hAnsi="Cambria Math"/>
                <w:sz w:val="22"/>
                <w:szCs w:val="22"/>
              </w:rPr>
              <m:t>DA</m:t>
            </m:r>
          </m:e>
          <m:sub>
            <m:r>
              <m:rPr>
                <m:sty m:val="p"/>
              </m:rPr>
              <w:rPr>
                <w:rFonts w:ascii="Cambria Math" w:eastAsiaTheme="minorEastAsia" w:hAnsi="Cambria Math"/>
                <w:sz w:val="22"/>
                <w:szCs w:val="22"/>
              </w:rPr>
              <m:t>2</m:t>
            </m:r>
          </m:sub>
        </m:sSub>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sSub>
              <m:sSubPr>
                <m:ctrlPr>
                  <w:rPr>
                    <w:rFonts w:ascii="Cambria Math" w:eastAsiaTheme="minorEastAsia" w:hAnsi="Cambria Math"/>
                    <w:sz w:val="22"/>
                    <w:szCs w:val="22"/>
                  </w:rPr>
                </m:ctrlPr>
              </m:sSubPr>
              <m:e>
                <m:r>
                  <w:rPr>
                    <w:rFonts w:ascii="Cambria Math" w:eastAsiaTheme="minorEastAsia" w:hAnsi="Cambria Math"/>
                    <w:sz w:val="22"/>
                    <w:szCs w:val="22"/>
                  </w:rPr>
                  <m:t>β</m:t>
                </m:r>
              </m:e>
              <m:sub>
                <m:r>
                  <m:rPr>
                    <m:sty m:val="p"/>
                  </m:rPr>
                  <w:rPr>
                    <w:rFonts w:ascii="Cambria Math" w:eastAsiaTheme="minorEastAsia" w:hAnsi="Cambria Math"/>
                    <w:sz w:val="22"/>
                    <w:szCs w:val="22"/>
                  </w:rPr>
                  <m:t>3,</m:t>
                </m:r>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r>
                  <m:rPr>
                    <m:sty m:val="p"/>
                  </m:rPr>
                  <w:rPr>
                    <w:rFonts w:ascii="Cambria Math" w:eastAsiaTheme="minorEastAsia" w:hAnsi="Cambria Math"/>
                    <w:sz w:val="22"/>
                    <w:szCs w:val="22"/>
                  </w:rPr>
                  <m:t>,</m:t>
                </m:r>
                <m:r>
                  <w:rPr>
                    <w:rFonts w:ascii="Cambria Math" w:eastAsiaTheme="minorEastAsia" w:hAnsi="Cambria Math"/>
                    <w:sz w:val="22"/>
                    <w:szCs w:val="22"/>
                  </w:rPr>
                  <m:t>k</m:t>
                </m:r>
              </m:sub>
            </m:sSub>
            <m:r>
              <w:rPr>
                <w:rFonts w:ascii="Cambria Math" w:eastAsiaTheme="minorEastAsia" w:hAnsi="Cambria Math"/>
                <w:sz w:val="22"/>
                <w:szCs w:val="22"/>
              </w:rPr>
              <m:t>APLH</m:t>
            </m:r>
          </m:e>
          <m:sub>
            <m:r>
              <m:rPr>
                <m:sty m:val="p"/>
              </m:rPr>
              <w:rPr>
                <w:rFonts w:ascii="Cambria Math" w:eastAsiaTheme="minorEastAsia" w:hAnsi="Cambria Math"/>
                <w:sz w:val="22"/>
                <w:szCs w:val="22"/>
              </w:rPr>
              <m:t>3</m:t>
            </m:r>
          </m:sub>
        </m:sSub>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sSub>
              <m:sSubPr>
                <m:ctrlPr>
                  <w:rPr>
                    <w:rFonts w:ascii="Cambria Math" w:eastAsiaTheme="minorEastAsia" w:hAnsi="Cambria Math"/>
                    <w:sz w:val="22"/>
                    <w:szCs w:val="22"/>
                  </w:rPr>
                </m:ctrlPr>
              </m:sSubPr>
              <m:e>
                <m:r>
                  <w:rPr>
                    <w:rFonts w:ascii="Cambria Math" w:eastAsiaTheme="minorEastAsia" w:hAnsi="Cambria Math"/>
                    <w:sz w:val="22"/>
                    <w:szCs w:val="22"/>
                  </w:rPr>
                  <m:t>β</m:t>
                </m:r>
              </m:e>
              <m:sub>
                <m:r>
                  <m:rPr>
                    <m:sty m:val="p"/>
                  </m:rPr>
                  <w:rPr>
                    <w:rFonts w:ascii="Cambria Math" w:eastAsiaTheme="minorEastAsia" w:hAnsi="Cambria Math"/>
                    <w:sz w:val="22"/>
                    <w:szCs w:val="22"/>
                  </w:rPr>
                  <m:t>4,</m:t>
                </m:r>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r>
                  <m:rPr>
                    <m:sty m:val="p"/>
                  </m:rPr>
                  <w:rPr>
                    <w:rFonts w:ascii="Cambria Math" w:eastAsiaTheme="minorEastAsia" w:hAnsi="Cambria Math"/>
                    <w:sz w:val="22"/>
                    <w:szCs w:val="22"/>
                  </w:rPr>
                  <m:t>,</m:t>
                </m:r>
                <m:r>
                  <w:rPr>
                    <w:rFonts w:ascii="Cambria Math" w:eastAsiaTheme="minorEastAsia" w:hAnsi="Cambria Math"/>
                    <w:sz w:val="22"/>
                    <w:szCs w:val="22"/>
                  </w:rPr>
                  <m:t>k</m:t>
                </m:r>
              </m:sub>
            </m:sSub>
            <m:r>
              <w:rPr>
                <w:rFonts w:ascii="Cambria Math" w:eastAsiaTheme="minorEastAsia" w:hAnsi="Cambria Math"/>
                <w:sz w:val="22"/>
                <w:szCs w:val="22"/>
              </w:rPr>
              <m:t>APGH</m:t>
            </m:r>
          </m:e>
          <m:sub>
            <m:r>
              <m:rPr>
                <m:sty m:val="p"/>
              </m:rPr>
              <w:rPr>
                <w:rFonts w:ascii="Cambria Math" w:eastAsiaTheme="minorEastAsia" w:hAnsi="Cambria Math"/>
                <w:sz w:val="22"/>
                <w:szCs w:val="22"/>
              </w:rPr>
              <m:t>4</m:t>
            </m:r>
          </m:sub>
        </m:sSub>
      </m:oMath>
      <w:r w:rsidRPr="00983440">
        <w:rPr>
          <w:rFonts w:eastAsiaTheme="minorEastAsia"/>
          <w:sz w:val="22"/>
          <w:szCs w:val="22"/>
        </w:rPr>
        <w:t xml:space="preserve">, where </w:t>
      </w:r>
      <m:oMath>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GIR</m:t>
        </m:r>
        <m:r>
          <m:rPr>
            <m:sty m:val="p"/>
          </m:rPr>
          <w:rPr>
            <w:rFonts w:ascii="Cambria Math" w:eastAsiaTheme="minorEastAsia" w:hAnsi="Cambria Math"/>
            <w:sz w:val="22"/>
            <w:szCs w:val="22"/>
          </w:rPr>
          <m:t xml:space="preserve">,  </m:t>
        </m:r>
        <m:r>
          <w:rPr>
            <w:rFonts w:ascii="Cambria Math" w:eastAsiaTheme="minorEastAsia" w:hAnsi="Cambria Math"/>
            <w:sz w:val="22"/>
            <w:szCs w:val="22"/>
          </w:rPr>
          <m:t>j</m:t>
        </m:r>
        <m:r>
          <m:rPr>
            <m:sty m:val="p"/>
          </m:rPr>
          <w:rPr>
            <w:rFonts w:ascii="Cambria Math" w:eastAsiaTheme="minorEastAsia" w:hAnsi="Cambria Math"/>
            <w:sz w:val="22"/>
            <w:szCs w:val="22"/>
          </w:rPr>
          <m:t>=</m:t>
        </m:r>
        <m:r>
          <w:rPr>
            <w:rFonts w:ascii="Cambria Math" w:eastAsiaTheme="minorEastAsia" w:hAnsi="Cambria Math"/>
            <w:sz w:val="22"/>
            <w:szCs w:val="22"/>
          </w:rPr>
          <m:t>BA</m:t>
        </m:r>
        <m:r>
          <m:rPr>
            <m:sty m:val="p"/>
          </m:rPr>
          <w:rPr>
            <w:rFonts w:ascii="Cambria Math" w:eastAsiaTheme="minorEastAsia" w:hAnsi="Cambria Math"/>
            <w:sz w:val="22"/>
            <w:szCs w:val="22"/>
          </w:rPr>
          <m:t xml:space="preserve"> </m:t>
        </m:r>
        <m:r>
          <w:rPr>
            <w:rFonts w:ascii="Cambria Math" w:eastAsiaTheme="minorEastAsia" w:hAnsi="Cambria Math"/>
            <w:sz w:val="22"/>
            <w:szCs w:val="22"/>
          </w:rPr>
          <m:t>and</m:t>
        </m:r>
        <m:r>
          <m:rPr>
            <m:sty m:val="p"/>
          </m:rPr>
          <w:rPr>
            <w:rFonts w:ascii="Cambria Math" w:eastAsiaTheme="minorEastAsia" w:hAnsi="Cambria Math"/>
            <w:sz w:val="22"/>
            <w:szCs w:val="22"/>
          </w:rPr>
          <m:t xml:space="preserve"> </m:t>
        </m:r>
        <m:r>
          <w:rPr>
            <w:rFonts w:ascii="Cambria Math" w:eastAsiaTheme="minorEastAsia" w:hAnsi="Cambria Math"/>
            <w:sz w:val="22"/>
            <w:szCs w:val="22"/>
          </w:rPr>
          <m:t>k</m:t>
        </m:r>
        <m:r>
          <m:rPr>
            <m:sty m:val="p"/>
          </m:rPr>
          <w:rPr>
            <w:rFonts w:ascii="Cambria Math" w:eastAsiaTheme="minorEastAsia" w:hAnsi="Cambria Math"/>
            <w:sz w:val="22"/>
            <w:szCs w:val="22"/>
          </w:rPr>
          <m:t>=</m:t>
        </m:r>
        <m:r>
          <w:rPr>
            <w:rFonts w:ascii="Cambria Math" w:eastAsiaTheme="minorEastAsia" w:hAnsi="Cambria Math"/>
            <w:sz w:val="22"/>
            <w:szCs w:val="22"/>
          </w:rPr>
          <m:t>SA</m:t>
        </m:r>
      </m:oMath>
      <w:r w:rsidRPr="00983440">
        <w:rPr>
          <w:rFonts w:eastAsiaTheme="minorEastAsia"/>
          <w:sz w:val="22"/>
          <w:szCs w:val="22"/>
        </w:rPr>
        <w:t xml:space="preserve">. Lastly, </w:t>
      </w:r>
      <w:r w:rsidR="009B37DC" w:rsidRPr="00983440">
        <w:rPr>
          <w:rFonts w:eastAsiaTheme="minorEastAsia"/>
          <w:sz w:val="22"/>
          <w:szCs w:val="22"/>
        </w:rPr>
        <w:t>partial η</w:t>
      </w:r>
      <w:r w:rsidR="009B37DC" w:rsidRPr="00983440">
        <w:rPr>
          <w:rFonts w:eastAsiaTheme="minorEastAsia"/>
          <w:sz w:val="22"/>
          <w:szCs w:val="22"/>
          <w:vertAlign w:val="superscript"/>
        </w:rPr>
        <w:t>2</w:t>
      </w:r>
      <w:r w:rsidR="009B37DC" w:rsidRPr="00983440">
        <w:rPr>
          <w:rFonts w:eastAsiaTheme="minorEastAsia"/>
          <w:sz w:val="22"/>
          <w:szCs w:val="22"/>
        </w:rPr>
        <w:t xml:space="preserve"> </w:t>
      </w:r>
      <w:r w:rsidRPr="00983440">
        <w:rPr>
          <w:rFonts w:eastAsiaTheme="minorEastAsia"/>
          <w:sz w:val="22"/>
          <w:szCs w:val="22"/>
        </w:rPr>
        <w:t xml:space="preserve">of the </w:t>
      </w:r>
      <w:r w:rsidR="009515D8" w:rsidRPr="00983440">
        <w:rPr>
          <w:rFonts w:eastAsiaTheme="minorEastAsia"/>
          <w:sz w:val="22"/>
          <w:szCs w:val="22"/>
        </w:rPr>
        <w:t xml:space="preserve">regression </w:t>
      </w:r>
      <w:r w:rsidR="009B37DC" w:rsidRPr="00983440">
        <w:rPr>
          <w:rFonts w:eastAsiaTheme="minorEastAsia"/>
          <w:sz w:val="22"/>
          <w:szCs w:val="22"/>
        </w:rPr>
        <w:t>model</w:t>
      </w:r>
      <w:r w:rsidRPr="00983440">
        <w:rPr>
          <w:rFonts w:eastAsiaTheme="minorEastAsia"/>
          <w:sz w:val="22"/>
          <w:szCs w:val="22"/>
        </w:rPr>
        <w:t xml:space="preserve"> will quantify the variation accounted for by each regressor on </w:t>
      </w:r>
      <w:r w:rsidR="000357F5" w:rsidRPr="00983440">
        <w:rPr>
          <w:rFonts w:eastAsiaTheme="minorEastAsia"/>
          <w:sz w:val="22"/>
          <w:szCs w:val="22"/>
        </w:rPr>
        <w:t xml:space="preserve">the multivariate </w:t>
      </w:r>
      <w:r w:rsidRPr="00983440">
        <w:rPr>
          <w:rFonts w:eastAsiaTheme="minorEastAsia"/>
          <w:sz w:val="22"/>
          <w:szCs w:val="22"/>
        </w:rPr>
        <w:t>dependent variable</w:t>
      </w:r>
      <w:r w:rsidR="000357F5" w:rsidRPr="00983440">
        <w:rPr>
          <w:rFonts w:eastAsiaTheme="minorEastAsia"/>
          <w:sz w:val="22"/>
          <w:szCs w:val="22"/>
        </w:rPr>
        <w:t xml:space="preserve"> and will quantify the variation accounted for by each regressor on each unique dependent variable. Results of the partial η</w:t>
      </w:r>
      <w:r w:rsidR="000357F5" w:rsidRPr="00983440">
        <w:rPr>
          <w:rFonts w:eastAsiaTheme="minorEastAsia"/>
          <w:sz w:val="22"/>
          <w:szCs w:val="22"/>
          <w:vertAlign w:val="superscript"/>
        </w:rPr>
        <w:t>2</w:t>
      </w:r>
      <w:r w:rsidR="000357F5" w:rsidRPr="00983440">
        <w:rPr>
          <w:rFonts w:eastAsiaTheme="minorEastAsia"/>
          <w:sz w:val="22"/>
          <w:szCs w:val="22"/>
        </w:rPr>
        <w:t xml:space="preserve"> can </w:t>
      </w:r>
      <w:r w:rsidR="00670EDE" w:rsidRPr="00983440">
        <w:rPr>
          <w:rFonts w:eastAsiaTheme="minorEastAsia"/>
          <w:sz w:val="22"/>
          <w:szCs w:val="22"/>
        </w:rPr>
        <w:t xml:space="preserve">suggest as to which </w:t>
      </w:r>
      <w:r w:rsidR="00B317AC" w:rsidRPr="00983440">
        <w:rPr>
          <w:rFonts w:eastAsiaTheme="minorEastAsia"/>
          <w:sz w:val="22"/>
          <w:szCs w:val="22"/>
        </w:rPr>
        <w:lastRenderedPageBreak/>
        <w:t>skills</w:t>
      </w:r>
      <w:r w:rsidR="00670EDE" w:rsidRPr="00983440">
        <w:rPr>
          <w:rFonts w:eastAsiaTheme="minorEastAsia"/>
          <w:sz w:val="22"/>
          <w:szCs w:val="22"/>
        </w:rPr>
        <w:t xml:space="preserve"> PGA tour professionals should improve to lower their bogey and scoring </w:t>
      </w:r>
      <w:proofErr w:type="gramStart"/>
      <w:r w:rsidR="00852D1C" w:rsidRPr="00983440">
        <w:rPr>
          <w:rFonts w:eastAsiaTheme="minorEastAsia"/>
          <w:sz w:val="22"/>
          <w:szCs w:val="22"/>
        </w:rPr>
        <w:t>average, and</w:t>
      </w:r>
      <w:proofErr w:type="gramEnd"/>
      <w:r w:rsidR="00670EDE" w:rsidRPr="00983440">
        <w:rPr>
          <w:rFonts w:eastAsiaTheme="minorEastAsia"/>
          <w:sz w:val="22"/>
          <w:szCs w:val="22"/>
        </w:rPr>
        <w:t xml:space="preserve"> increase GIR.</w:t>
      </w:r>
    </w:p>
    <w:p w14:paraId="6159E785" w14:textId="77777777" w:rsidR="00B26F11" w:rsidRPr="00983440" w:rsidRDefault="00B26F11" w:rsidP="00983440">
      <w:pPr>
        <w:spacing w:line="240" w:lineRule="auto"/>
        <w:ind w:firstLine="360"/>
        <w:rPr>
          <w:rFonts w:eastAsiaTheme="minorEastAsia"/>
          <w:sz w:val="22"/>
          <w:szCs w:val="22"/>
        </w:rPr>
      </w:pPr>
    </w:p>
    <w:p w14:paraId="4C8ADA94" w14:textId="0F0A835F" w:rsidR="00147405" w:rsidRPr="00983440" w:rsidRDefault="00147405" w:rsidP="00983440">
      <w:pPr>
        <w:pStyle w:val="ListParagraph"/>
        <w:numPr>
          <w:ilvl w:val="0"/>
          <w:numId w:val="1"/>
        </w:numPr>
        <w:spacing w:line="240" w:lineRule="auto"/>
        <w:rPr>
          <w:rFonts w:eastAsiaTheme="minorEastAsia"/>
          <w:b/>
          <w:bCs/>
          <w:sz w:val="22"/>
          <w:szCs w:val="22"/>
        </w:rPr>
      </w:pPr>
      <w:r w:rsidRPr="00983440">
        <w:rPr>
          <w:rFonts w:eastAsiaTheme="minorEastAsia"/>
          <w:b/>
          <w:bCs/>
          <w:sz w:val="22"/>
          <w:szCs w:val="22"/>
        </w:rPr>
        <w:t>Results</w:t>
      </w:r>
    </w:p>
    <w:p w14:paraId="3804D1DC" w14:textId="0F84A620" w:rsidR="006B1775" w:rsidRPr="00983440" w:rsidRDefault="006B1775" w:rsidP="00983440">
      <w:pPr>
        <w:spacing w:line="240" w:lineRule="auto"/>
        <w:ind w:firstLine="360"/>
        <w:rPr>
          <w:rFonts w:eastAsiaTheme="minorEastAsia"/>
          <w:sz w:val="22"/>
          <w:szCs w:val="22"/>
        </w:rPr>
      </w:pPr>
      <w:r w:rsidRPr="00983440">
        <w:rPr>
          <w:rFonts w:eastAsiaTheme="minorEastAsia"/>
          <w:sz w:val="22"/>
          <w:szCs w:val="22"/>
        </w:rPr>
        <w:t>Prior to data cleaning, 1367 observations and 30 variables were included in the Kaggle dataset (Choi, 2020). Post data cleaning, only 10 variables where kept</w:t>
      </w:r>
      <w:r w:rsidR="00F61B32" w:rsidRPr="00983440">
        <w:rPr>
          <w:rFonts w:eastAsiaTheme="minorEastAsia"/>
          <w:sz w:val="22"/>
          <w:szCs w:val="22"/>
        </w:rPr>
        <w:t>. Additionally, 31% (</w:t>
      </w:r>
      <w:r w:rsidRPr="00983440">
        <w:rPr>
          <w:rFonts w:eastAsiaTheme="minorEastAsia"/>
          <w:sz w:val="22"/>
          <w:szCs w:val="22"/>
        </w:rPr>
        <w:t>427/1367</w:t>
      </w:r>
      <w:r w:rsidR="00F61B32" w:rsidRPr="00983440">
        <w:rPr>
          <w:rFonts w:eastAsiaTheme="minorEastAsia"/>
          <w:sz w:val="22"/>
          <w:szCs w:val="22"/>
        </w:rPr>
        <w:t xml:space="preserve">) </w:t>
      </w:r>
      <w:r w:rsidRPr="00983440">
        <w:rPr>
          <w:rFonts w:eastAsiaTheme="minorEastAsia"/>
          <w:sz w:val="22"/>
          <w:szCs w:val="22"/>
        </w:rPr>
        <w:t>of PGA profession</w:t>
      </w:r>
      <w:r w:rsidR="00F61B32" w:rsidRPr="00983440">
        <w:rPr>
          <w:rFonts w:eastAsiaTheme="minorEastAsia"/>
          <w:sz w:val="22"/>
          <w:szCs w:val="22"/>
        </w:rPr>
        <w:t>als</w:t>
      </w:r>
      <w:r w:rsidRPr="00983440">
        <w:rPr>
          <w:rFonts w:eastAsiaTheme="minorEastAsia"/>
          <w:sz w:val="22"/>
          <w:szCs w:val="22"/>
        </w:rPr>
        <w:t xml:space="preserve"> had greater than six missing values, thus they were removed from the analysis</w:t>
      </w:r>
      <w:r w:rsidR="00F61B32" w:rsidRPr="00983440">
        <w:rPr>
          <w:rFonts w:eastAsiaTheme="minorEastAsia"/>
          <w:sz w:val="22"/>
          <w:szCs w:val="22"/>
        </w:rPr>
        <w:t xml:space="preserve">. Overall, the </w:t>
      </w:r>
      <w:r w:rsidR="001F5E96" w:rsidRPr="00983440">
        <w:rPr>
          <w:rFonts w:eastAsiaTheme="minorEastAsia"/>
          <w:sz w:val="22"/>
          <w:szCs w:val="22"/>
        </w:rPr>
        <w:t xml:space="preserve">total sample </w:t>
      </w:r>
      <w:r w:rsidR="00F61B32" w:rsidRPr="00983440">
        <w:rPr>
          <w:rFonts w:eastAsiaTheme="minorEastAsia"/>
          <w:sz w:val="22"/>
          <w:szCs w:val="22"/>
        </w:rPr>
        <w:t xml:space="preserve">included </w:t>
      </w:r>
      <w:r w:rsidR="001F5E96" w:rsidRPr="00983440">
        <w:rPr>
          <w:rFonts w:eastAsiaTheme="minorEastAsia"/>
          <w:sz w:val="22"/>
          <w:szCs w:val="22"/>
        </w:rPr>
        <w:t>940</w:t>
      </w:r>
      <w:r w:rsidR="00F61B32" w:rsidRPr="00983440">
        <w:rPr>
          <w:rFonts w:eastAsiaTheme="minorEastAsia"/>
          <w:sz w:val="22"/>
          <w:szCs w:val="22"/>
        </w:rPr>
        <w:t xml:space="preserve"> complete</w:t>
      </w:r>
      <w:r w:rsidR="001F5E96" w:rsidRPr="00983440">
        <w:rPr>
          <w:rFonts w:eastAsiaTheme="minorEastAsia"/>
          <w:sz w:val="22"/>
          <w:szCs w:val="22"/>
        </w:rPr>
        <w:t xml:space="preserve"> observations</w:t>
      </w:r>
      <w:r w:rsidRPr="00983440">
        <w:rPr>
          <w:rFonts w:eastAsiaTheme="minorEastAsia"/>
          <w:sz w:val="22"/>
          <w:szCs w:val="22"/>
        </w:rPr>
        <w:t>. Mean imputation was completed on two variables for two separate tour players.</w:t>
      </w:r>
      <w:r w:rsidR="00B2454B" w:rsidRPr="00983440">
        <w:rPr>
          <w:rFonts w:eastAsiaTheme="minorEastAsia"/>
          <w:sz w:val="22"/>
          <w:szCs w:val="22"/>
        </w:rPr>
        <w:t xml:space="preserve"> Residual analysis suggests that most variables of interest were not normally distributed </w:t>
      </w:r>
      <w:r w:rsidR="00B2454B" w:rsidRPr="00983440">
        <w:rPr>
          <w:sz w:val="22"/>
          <w:szCs w:val="22"/>
        </w:rPr>
        <w:t xml:space="preserve">(Shapiro–Wilk Test, p &lt; 0.05). However, further analysis of </w:t>
      </w:r>
      <w:r w:rsidR="00E1464D" w:rsidRPr="00983440">
        <w:rPr>
          <w:sz w:val="22"/>
          <w:szCs w:val="22"/>
        </w:rPr>
        <w:t xml:space="preserve">the </w:t>
      </w:r>
      <w:r w:rsidR="00B2454B" w:rsidRPr="00983440">
        <w:rPr>
          <w:sz w:val="22"/>
          <w:szCs w:val="22"/>
        </w:rPr>
        <w:t>histograms and QQ-plot</w:t>
      </w:r>
      <w:r w:rsidR="00E34FFF" w:rsidRPr="00983440">
        <w:rPr>
          <w:sz w:val="22"/>
          <w:szCs w:val="22"/>
        </w:rPr>
        <w:t>s</w:t>
      </w:r>
      <w:r w:rsidR="00B2454B" w:rsidRPr="00983440">
        <w:rPr>
          <w:sz w:val="22"/>
          <w:szCs w:val="22"/>
        </w:rPr>
        <w:t xml:space="preserve"> suggest that the residuals of all continuous variables </w:t>
      </w:r>
      <w:r w:rsidR="00E1464D" w:rsidRPr="00983440">
        <w:rPr>
          <w:sz w:val="22"/>
          <w:szCs w:val="22"/>
        </w:rPr>
        <w:t xml:space="preserve">were </w:t>
      </w:r>
      <w:r w:rsidR="00B2454B" w:rsidRPr="00983440">
        <w:rPr>
          <w:sz w:val="22"/>
          <w:szCs w:val="22"/>
        </w:rPr>
        <w:t xml:space="preserve">normally distributed. Thus, due to the </w:t>
      </w:r>
      <w:r w:rsidR="00DA6519" w:rsidRPr="00983440">
        <w:rPr>
          <w:sz w:val="22"/>
          <w:szCs w:val="22"/>
        </w:rPr>
        <w:t xml:space="preserve">large </w:t>
      </w:r>
      <w:r w:rsidR="00B2454B" w:rsidRPr="00983440">
        <w:rPr>
          <w:sz w:val="22"/>
          <w:szCs w:val="22"/>
        </w:rPr>
        <w:t>sample size and the results from the histograms and QQ-plots</w:t>
      </w:r>
      <w:r w:rsidR="00E34FFF" w:rsidRPr="00983440">
        <w:rPr>
          <w:sz w:val="22"/>
          <w:szCs w:val="22"/>
        </w:rPr>
        <w:t>, the normality of residual assumption for regression passed</w:t>
      </w:r>
      <w:r w:rsidR="004416CC" w:rsidRPr="00983440">
        <w:rPr>
          <w:sz w:val="22"/>
          <w:szCs w:val="22"/>
        </w:rPr>
        <w:t xml:space="preserve">. Further, the scatterplots suggest the variables are linearly related and the variance of residual </w:t>
      </w:r>
      <w:r w:rsidR="00852D1C" w:rsidRPr="00983440">
        <w:rPr>
          <w:sz w:val="22"/>
          <w:szCs w:val="22"/>
        </w:rPr>
        <w:t xml:space="preserve">was </w:t>
      </w:r>
      <w:r w:rsidR="004416CC" w:rsidRPr="00983440">
        <w:rPr>
          <w:sz w:val="22"/>
          <w:szCs w:val="22"/>
        </w:rPr>
        <w:t>the same for any value of X variable, thus the assumptions of linearity and homoscedasticity pass.</w:t>
      </w:r>
      <w:r w:rsidR="00852D1C" w:rsidRPr="00983440">
        <w:rPr>
          <w:sz w:val="22"/>
          <w:szCs w:val="22"/>
        </w:rPr>
        <w:t xml:space="preserve"> </w:t>
      </w:r>
      <w:r w:rsidRPr="00983440">
        <w:rPr>
          <w:rFonts w:eastAsiaTheme="minorEastAsia"/>
          <w:sz w:val="22"/>
          <w:szCs w:val="22"/>
        </w:rPr>
        <w:t>The average</w:t>
      </w:r>
      <w:r w:rsidR="00B2454B" w:rsidRPr="00983440">
        <w:rPr>
          <w:rFonts w:eastAsiaTheme="minorEastAsia"/>
          <w:sz w:val="22"/>
          <w:szCs w:val="22"/>
        </w:rPr>
        <w:t xml:space="preserve"> (SD)</w:t>
      </w:r>
      <w:r w:rsidRPr="00983440">
        <w:rPr>
          <w:rFonts w:eastAsiaTheme="minorEastAsia"/>
          <w:sz w:val="22"/>
          <w:szCs w:val="22"/>
        </w:rPr>
        <w:t xml:space="preserve"> driving distance </w:t>
      </w:r>
      <w:r w:rsidR="00B2454B" w:rsidRPr="00983440">
        <w:rPr>
          <w:rFonts w:eastAsiaTheme="minorEastAsia"/>
          <w:sz w:val="22"/>
          <w:szCs w:val="22"/>
        </w:rPr>
        <w:t xml:space="preserve">and driving accuracy percentage </w:t>
      </w:r>
      <w:r w:rsidRPr="00983440">
        <w:rPr>
          <w:rFonts w:eastAsiaTheme="minorEastAsia"/>
          <w:sz w:val="22"/>
          <w:szCs w:val="22"/>
        </w:rPr>
        <w:t>for PGA professional between 2015 and 2019 was 293.1</w:t>
      </w:r>
      <w:r w:rsidR="00B2454B" w:rsidRPr="00983440">
        <w:rPr>
          <w:rFonts w:eastAsiaTheme="minorEastAsia"/>
          <w:sz w:val="22"/>
          <w:szCs w:val="22"/>
        </w:rPr>
        <w:t>0</w:t>
      </w:r>
      <w:r w:rsidRPr="00983440">
        <w:rPr>
          <w:rFonts w:eastAsiaTheme="minorEastAsia"/>
          <w:sz w:val="22"/>
          <w:szCs w:val="22"/>
        </w:rPr>
        <w:t>(</w:t>
      </w:r>
      <w:r w:rsidR="00B2454B" w:rsidRPr="00983440">
        <w:rPr>
          <w:rFonts w:eastAsiaTheme="minorEastAsia"/>
          <w:sz w:val="22"/>
          <w:szCs w:val="22"/>
        </w:rPr>
        <w:t>9.07</w:t>
      </w:r>
      <w:r w:rsidRPr="00983440">
        <w:rPr>
          <w:rFonts w:eastAsiaTheme="minorEastAsia"/>
          <w:sz w:val="22"/>
          <w:szCs w:val="22"/>
        </w:rPr>
        <w:t>)</w:t>
      </w:r>
      <w:r w:rsidR="00B2454B" w:rsidRPr="00983440">
        <w:rPr>
          <w:rFonts w:eastAsiaTheme="minorEastAsia"/>
          <w:sz w:val="22"/>
          <w:szCs w:val="22"/>
        </w:rPr>
        <w:t>, and 61.37%(5.14)</w:t>
      </w:r>
      <w:r w:rsidR="00FF30F7" w:rsidRPr="00983440">
        <w:rPr>
          <w:rFonts w:eastAsiaTheme="minorEastAsia"/>
          <w:sz w:val="22"/>
          <w:szCs w:val="22"/>
        </w:rPr>
        <w:t>, respectively. The mean distance between the ball and the hole f</w:t>
      </w:r>
      <w:r w:rsidR="000A1CAF" w:rsidRPr="00983440">
        <w:rPr>
          <w:rFonts w:eastAsiaTheme="minorEastAsia"/>
          <w:sz w:val="22"/>
          <w:szCs w:val="22"/>
        </w:rPr>
        <w:t>or approach shot greater than and less than 100 yards to the centre of the green were 32.65ft(1.62) and 17.14ft(1.93). Furthermore, tour professionals successfully land on average 76.85%(2.84) of greens in regulation and their scoring and bogey average are 70.95(0.71) and 2.61(0.26), respectively.</w:t>
      </w:r>
    </w:p>
    <w:p w14:paraId="7FFE470F" w14:textId="5113CFB4" w:rsidR="00852D1C" w:rsidRDefault="000A1CAF" w:rsidP="00983440">
      <w:pPr>
        <w:spacing w:line="240" w:lineRule="auto"/>
        <w:ind w:firstLine="360"/>
        <w:rPr>
          <w:rFonts w:eastAsiaTheme="minorEastAsia"/>
          <w:sz w:val="22"/>
          <w:szCs w:val="22"/>
        </w:rPr>
      </w:pPr>
      <w:r w:rsidRPr="00983440">
        <w:rPr>
          <w:rFonts w:eastAsiaTheme="minorEastAsia"/>
          <w:sz w:val="22"/>
          <w:szCs w:val="22"/>
        </w:rPr>
        <w:t xml:space="preserve">A multivariate multiple linear regression analysis was </w:t>
      </w:r>
      <w:r w:rsidR="002E6D28" w:rsidRPr="00983440">
        <w:rPr>
          <w:rFonts w:eastAsiaTheme="minorEastAsia"/>
          <w:sz w:val="22"/>
          <w:szCs w:val="22"/>
        </w:rPr>
        <w:t>performed</w:t>
      </w:r>
      <w:r w:rsidRPr="00983440">
        <w:rPr>
          <w:rFonts w:eastAsiaTheme="minorEastAsia"/>
          <w:sz w:val="22"/>
          <w:szCs w:val="22"/>
        </w:rPr>
        <w:t xml:space="preserve"> to </w:t>
      </w:r>
      <w:r w:rsidR="002E6D28" w:rsidRPr="00983440">
        <w:rPr>
          <w:rFonts w:eastAsiaTheme="minorEastAsia"/>
          <w:sz w:val="22"/>
          <w:szCs w:val="22"/>
        </w:rPr>
        <w:t xml:space="preserve">examine whether DD, DA, </w:t>
      </w:r>
      <w:r w:rsidR="0054055D" w:rsidRPr="00983440">
        <w:rPr>
          <w:rFonts w:eastAsiaTheme="minorEastAsia"/>
          <w:sz w:val="22"/>
          <w:szCs w:val="22"/>
        </w:rPr>
        <w:t xml:space="preserve">APLH, and APGH </w:t>
      </w:r>
      <w:r w:rsidR="002E6D28" w:rsidRPr="00983440">
        <w:rPr>
          <w:rFonts w:eastAsiaTheme="minorEastAsia"/>
          <w:sz w:val="22"/>
          <w:szCs w:val="22"/>
        </w:rPr>
        <w:t xml:space="preserve">significantly predicted GIR, BA and SA. The results suggest that the three regression models were significant [GIR: </w:t>
      </w:r>
      <w:r w:rsidR="002E6D28" w:rsidRPr="00983440">
        <w:rPr>
          <w:sz w:val="22"/>
          <w:szCs w:val="22"/>
        </w:rPr>
        <w:t>F(4,653)= 123.10, p &lt; 0.001, adj-R</w:t>
      </w:r>
      <w:r w:rsidR="002E6D28" w:rsidRPr="00983440">
        <w:rPr>
          <w:sz w:val="22"/>
          <w:szCs w:val="22"/>
          <w:vertAlign w:val="superscript"/>
        </w:rPr>
        <w:t>2</w:t>
      </w:r>
      <w:r w:rsidR="002E6D28" w:rsidRPr="00983440">
        <w:rPr>
          <w:sz w:val="22"/>
          <w:szCs w:val="22"/>
          <w:vertAlign w:val="superscript"/>
        </w:rPr>
        <w:softHyphen/>
      </w:r>
      <w:r w:rsidR="002E6D28" w:rsidRPr="00983440">
        <w:rPr>
          <w:sz w:val="22"/>
          <w:szCs w:val="22"/>
        </w:rPr>
        <w:t xml:space="preserve"> = 0.417; BA: F(4,653) = 43.71, p &lt; 0.001, adj-R</w:t>
      </w:r>
      <w:r w:rsidR="002E6D28" w:rsidRPr="00983440">
        <w:rPr>
          <w:sz w:val="22"/>
          <w:szCs w:val="22"/>
          <w:vertAlign w:val="superscript"/>
        </w:rPr>
        <w:t>2</w:t>
      </w:r>
      <w:r w:rsidR="002E6D28" w:rsidRPr="00983440">
        <w:rPr>
          <w:sz w:val="22"/>
          <w:szCs w:val="22"/>
          <w:vertAlign w:val="superscript"/>
        </w:rPr>
        <w:softHyphen/>
      </w:r>
      <w:r w:rsidR="002E6D28" w:rsidRPr="00983440">
        <w:rPr>
          <w:sz w:val="22"/>
          <w:szCs w:val="22"/>
        </w:rPr>
        <w:t xml:space="preserve"> = 0.222; and SA F(4,653) = 88.99, p &lt; 0.001, adj-R</w:t>
      </w:r>
      <w:r w:rsidR="002E6D28" w:rsidRPr="00983440">
        <w:rPr>
          <w:sz w:val="22"/>
          <w:szCs w:val="22"/>
          <w:vertAlign w:val="superscript"/>
        </w:rPr>
        <w:t>2</w:t>
      </w:r>
      <w:r w:rsidR="002E6D28" w:rsidRPr="00983440">
        <w:rPr>
          <w:sz w:val="22"/>
          <w:szCs w:val="22"/>
          <w:vertAlign w:val="superscript"/>
        </w:rPr>
        <w:softHyphen/>
      </w:r>
      <w:r w:rsidR="002E6D28" w:rsidRPr="00983440">
        <w:rPr>
          <w:sz w:val="22"/>
          <w:szCs w:val="22"/>
        </w:rPr>
        <w:t xml:space="preserve"> = 0.345]. Further </w:t>
      </w:r>
      <w:r w:rsidR="00852D1C" w:rsidRPr="00983440">
        <w:rPr>
          <w:sz w:val="22"/>
          <w:szCs w:val="22"/>
        </w:rPr>
        <w:t>examination</w:t>
      </w:r>
      <w:r w:rsidR="002E6D28" w:rsidRPr="00983440">
        <w:rPr>
          <w:sz w:val="22"/>
          <w:szCs w:val="22"/>
        </w:rPr>
        <w:t xml:space="preserve"> of each model </w:t>
      </w:r>
      <w:r w:rsidR="002E6D28" w:rsidRPr="00983440">
        <w:rPr>
          <w:sz w:val="22"/>
          <w:szCs w:val="22"/>
        </w:rPr>
        <w:t xml:space="preserve">suggests that </w:t>
      </w:r>
      <w:r w:rsidR="002E6D28" w:rsidRPr="00983440">
        <w:rPr>
          <w:rFonts w:eastAsiaTheme="minorEastAsia"/>
          <w:sz w:val="22"/>
          <w:szCs w:val="22"/>
        </w:rPr>
        <w:t>the four regressors (DD, DA, APLH</w:t>
      </w:r>
      <w:r w:rsidR="0054055D" w:rsidRPr="00983440">
        <w:rPr>
          <w:rFonts w:eastAsiaTheme="minorEastAsia"/>
          <w:sz w:val="22"/>
          <w:szCs w:val="22"/>
        </w:rPr>
        <w:t>, and APGH</w:t>
      </w:r>
      <w:r w:rsidR="002E6D28" w:rsidRPr="00983440">
        <w:rPr>
          <w:rFonts w:eastAsiaTheme="minorEastAsia"/>
          <w:sz w:val="22"/>
          <w:szCs w:val="22"/>
        </w:rPr>
        <w:t xml:space="preserve">) significantly predicts each regressand (p &lt; 0.001). </w:t>
      </w:r>
      <w:r w:rsidR="008A1105" w:rsidRPr="00983440">
        <w:rPr>
          <w:rFonts w:eastAsiaTheme="minorEastAsia"/>
          <w:sz w:val="22"/>
          <w:szCs w:val="22"/>
        </w:rPr>
        <w:t>See Table 1 for t</w:t>
      </w:r>
      <w:r w:rsidR="002E6D28" w:rsidRPr="00983440">
        <w:rPr>
          <w:rFonts w:eastAsiaTheme="minorEastAsia"/>
          <w:sz w:val="22"/>
          <w:szCs w:val="22"/>
        </w:rPr>
        <w:t xml:space="preserve">he </w:t>
      </w:r>
      <w:r w:rsidR="009B37DC" w:rsidRPr="00983440">
        <w:rPr>
          <w:rFonts w:eastAsiaTheme="minorEastAsia"/>
          <w:sz w:val="22"/>
          <w:szCs w:val="22"/>
        </w:rPr>
        <w:t xml:space="preserve">partial </w:t>
      </w:r>
      <w:r w:rsidR="002E6D28" w:rsidRPr="00983440">
        <w:rPr>
          <w:rFonts w:eastAsiaTheme="minorEastAsia"/>
          <w:sz w:val="22"/>
          <w:szCs w:val="22"/>
        </w:rPr>
        <w:t>η</w:t>
      </w:r>
      <w:r w:rsidR="002E6D28" w:rsidRPr="00983440">
        <w:rPr>
          <w:rFonts w:eastAsiaTheme="minorEastAsia"/>
          <w:sz w:val="22"/>
          <w:szCs w:val="22"/>
          <w:vertAlign w:val="superscript"/>
        </w:rPr>
        <w:t>2</w:t>
      </w:r>
      <w:r w:rsidR="002E6D28" w:rsidRPr="00983440">
        <w:rPr>
          <w:rFonts w:eastAsiaTheme="minorEastAsia"/>
          <w:sz w:val="22"/>
          <w:szCs w:val="22"/>
          <w:vertAlign w:val="superscript"/>
        </w:rPr>
        <w:softHyphen/>
      </w:r>
      <w:r w:rsidR="002E6D28" w:rsidRPr="00983440">
        <w:rPr>
          <w:rFonts w:eastAsiaTheme="minorEastAsia"/>
          <w:sz w:val="22"/>
          <w:szCs w:val="22"/>
        </w:rPr>
        <w:t xml:space="preserve"> for each covariate within the multivariate model </w:t>
      </w:r>
      <w:r w:rsidR="008A1105" w:rsidRPr="00983440">
        <w:rPr>
          <w:rFonts w:eastAsiaTheme="minorEastAsia"/>
          <w:sz w:val="22"/>
          <w:szCs w:val="22"/>
        </w:rPr>
        <w:t>a</w:t>
      </w:r>
      <w:r w:rsidR="002E6D28" w:rsidRPr="00983440">
        <w:rPr>
          <w:rFonts w:eastAsiaTheme="minorEastAsia"/>
          <w:sz w:val="22"/>
          <w:szCs w:val="22"/>
        </w:rPr>
        <w:t xml:space="preserve">nd </w:t>
      </w:r>
      <w:r w:rsidR="008A1105" w:rsidRPr="00983440">
        <w:rPr>
          <w:rFonts w:eastAsiaTheme="minorEastAsia"/>
          <w:sz w:val="22"/>
          <w:szCs w:val="22"/>
        </w:rPr>
        <w:t>for each individual model</w:t>
      </w:r>
      <w:r w:rsidR="00CE50AD" w:rsidRPr="00983440">
        <w:rPr>
          <w:rFonts w:eastAsiaTheme="minorEastAsia"/>
          <w:sz w:val="22"/>
          <w:szCs w:val="22"/>
        </w:rPr>
        <w:t>, and Table 2 for model accuracy</w:t>
      </w:r>
      <w:r w:rsidR="008A1105" w:rsidRPr="00983440">
        <w:rPr>
          <w:rFonts w:eastAsiaTheme="minorEastAsia"/>
          <w:sz w:val="22"/>
          <w:szCs w:val="22"/>
        </w:rPr>
        <w:t>.</w:t>
      </w:r>
      <w:r w:rsidR="00CE50AD" w:rsidRPr="00983440">
        <w:rPr>
          <w:rFonts w:eastAsiaTheme="minorEastAsia"/>
          <w:sz w:val="22"/>
          <w:szCs w:val="22"/>
        </w:rPr>
        <w:t xml:space="preserve"> </w:t>
      </w:r>
      <w:r w:rsidR="00F517DB" w:rsidRPr="00983440">
        <w:rPr>
          <w:rFonts w:eastAsiaTheme="minorEastAsia"/>
          <w:sz w:val="22"/>
          <w:szCs w:val="22"/>
        </w:rPr>
        <w:t xml:space="preserve">When </w:t>
      </w:r>
      <w:r w:rsidR="00852D1C" w:rsidRPr="00983440">
        <w:rPr>
          <w:rFonts w:eastAsiaTheme="minorEastAsia"/>
          <w:sz w:val="22"/>
          <w:szCs w:val="22"/>
        </w:rPr>
        <w:t xml:space="preserve">descriptively </w:t>
      </w:r>
      <w:r w:rsidR="00F517DB" w:rsidRPr="00983440">
        <w:rPr>
          <w:rFonts w:eastAsiaTheme="minorEastAsia"/>
          <w:sz w:val="22"/>
          <w:szCs w:val="22"/>
        </w:rPr>
        <w:t>comparing the data from</w:t>
      </w:r>
      <w:r w:rsidR="00852D1C" w:rsidRPr="00983440">
        <w:rPr>
          <w:rFonts w:eastAsiaTheme="minorEastAsia"/>
          <w:sz w:val="22"/>
          <w:szCs w:val="22"/>
        </w:rPr>
        <w:t xml:space="preserve"> the</w:t>
      </w:r>
      <w:r w:rsidR="00F517DB" w:rsidRPr="00983440">
        <w:rPr>
          <w:rFonts w:eastAsiaTheme="minorEastAsia"/>
          <w:sz w:val="22"/>
          <w:szCs w:val="22"/>
        </w:rPr>
        <w:t xml:space="preserve"> top three tour professions to the tour average we see that Rory McIlroy and Dustin Johnson are above average in driving distance, GIR</w:t>
      </w:r>
      <w:r w:rsidR="00852D1C" w:rsidRPr="00983440">
        <w:rPr>
          <w:rFonts w:eastAsiaTheme="minorEastAsia"/>
          <w:sz w:val="22"/>
          <w:szCs w:val="22"/>
        </w:rPr>
        <w:t>,</w:t>
      </w:r>
      <w:r w:rsidR="00F517DB" w:rsidRPr="00983440">
        <w:rPr>
          <w:rFonts w:eastAsiaTheme="minorEastAsia"/>
          <w:sz w:val="22"/>
          <w:szCs w:val="22"/>
        </w:rPr>
        <w:t xml:space="preserve"> and top 10 finishes. </w:t>
      </w:r>
      <w:r w:rsidR="003A68A4" w:rsidRPr="00983440">
        <w:rPr>
          <w:rFonts w:eastAsiaTheme="minorEastAsia"/>
          <w:sz w:val="22"/>
          <w:szCs w:val="22"/>
        </w:rPr>
        <w:t>Whereas</w:t>
      </w:r>
      <w:r w:rsidR="00F517DB" w:rsidRPr="00983440">
        <w:rPr>
          <w:rFonts w:eastAsiaTheme="minorEastAsia"/>
          <w:sz w:val="22"/>
          <w:szCs w:val="22"/>
        </w:rPr>
        <w:t xml:space="preserve"> Rory McIlroy, Dustin Johnson and Jordan Spieth are well below average in approaches from less than</w:t>
      </w:r>
      <w:r w:rsidR="00852D1C" w:rsidRPr="00983440">
        <w:rPr>
          <w:rFonts w:eastAsiaTheme="minorEastAsia"/>
          <w:sz w:val="22"/>
          <w:szCs w:val="22"/>
        </w:rPr>
        <w:t xml:space="preserve"> </w:t>
      </w:r>
      <w:r w:rsidR="00F517DB" w:rsidRPr="00983440">
        <w:rPr>
          <w:rFonts w:eastAsiaTheme="minorEastAsia"/>
          <w:sz w:val="22"/>
          <w:szCs w:val="22"/>
        </w:rPr>
        <w:t>and greater than 100 yards,</w:t>
      </w:r>
      <w:r w:rsidR="00852D1C" w:rsidRPr="00983440">
        <w:rPr>
          <w:rFonts w:eastAsiaTheme="minorEastAsia"/>
          <w:sz w:val="22"/>
          <w:szCs w:val="22"/>
        </w:rPr>
        <w:t xml:space="preserve"> </w:t>
      </w:r>
      <w:r w:rsidR="00F517DB" w:rsidRPr="00983440">
        <w:rPr>
          <w:rFonts w:eastAsiaTheme="minorEastAsia"/>
          <w:sz w:val="22"/>
          <w:szCs w:val="22"/>
        </w:rPr>
        <w:t>bogey</w:t>
      </w:r>
      <w:r w:rsidR="00852D1C" w:rsidRPr="00983440">
        <w:rPr>
          <w:rFonts w:eastAsiaTheme="minorEastAsia"/>
          <w:sz w:val="22"/>
          <w:szCs w:val="22"/>
        </w:rPr>
        <w:t>,</w:t>
      </w:r>
      <w:r w:rsidR="00F517DB" w:rsidRPr="00983440">
        <w:rPr>
          <w:rFonts w:eastAsiaTheme="minorEastAsia"/>
          <w:sz w:val="22"/>
          <w:szCs w:val="22"/>
        </w:rPr>
        <w:t xml:space="preserve"> and scoring average (Figure 1).</w:t>
      </w:r>
    </w:p>
    <w:p w14:paraId="001405EF" w14:textId="77777777" w:rsidR="00B26F11" w:rsidRPr="00983440" w:rsidRDefault="00B26F11" w:rsidP="00983440">
      <w:pPr>
        <w:spacing w:line="240" w:lineRule="auto"/>
        <w:ind w:firstLine="360"/>
        <w:rPr>
          <w:rFonts w:eastAsiaTheme="minorEastAsia"/>
          <w:sz w:val="22"/>
          <w:szCs w:val="22"/>
        </w:rPr>
      </w:pPr>
    </w:p>
    <w:p w14:paraId="6FB71723" w14:textId="0BD4DD05" w:rsidR="00147405" w:rsidRDefault="00147405" w:rsidP="00983440">
      <w:pPr>
        <w:pStyle w:val="ListParagraph"/>
        <w:numPr>
          <w:ilvl w:val="0"/>
          <w:numId w:val="1"/>
        </w:numPr>
        <w:spacing w:line="240" w:lineRule="auto"/>
        <w:rPr>
          <w:rFonts w:eastAsiaTheme="minorEastAsia"/>
          <w:b/>
          <w:bCs/>
          <w:sz w:val="22"/>
          <w:szCs w:val="22"/>
        </w:rPr>
      </w:pPr>
      <w:r w:rsidRPr="00983440">
        <w:rPr>
          <w:rFonts w:eastAsiaTheme="minorEastAsia"/>
          <w:b/>
          <w:bCs/>
          <w:sz w:val="22"/>
          <w:szCs w:val="22"/>
        </w:rPr>
        <w:t>Discussion</w:t>
      </w:r>
    </w:p>
    <w:p w14:paraId="4EA86439" w14:textId="77777777" w:rsidR="00BB35B0" w:rsidRPr="00BB35B0" w:rsidRDefault="00BB35B0" w:rsidP="00BB35B0">
      <w:pPr>
        <w:spacing w:line="240" w:lineRule="auto"/>
        <w:ind w:firstLine="360"/>
        <w:rPr>
          <w:sz w:val="22"/>
          <w:szCs w:val="22"/>
        </w:rPr>
      </w:pPr>
      <w:r w:rsidRPr="00BB35B0">
        <w:rPr>
          <w:sz w:val="22"/>
          <w:szCs w:val="22"/>
        </w:rPr>
        <w:t>The study found that DD, DA, APLH, and APGH significantly predict GIR, BA and SA. More specifically, a single unit increase in driving distance resulted in a 0.197 increase in GIR, and a 0.009 and 0.044 decrease in bogey and scoring average, respectfully. This result suggests that as a tour professional increase their driving distance they are more likely to land on a green, due to the shorter distance between their second shot and the green, resulting in a lower bogey and scoring average. Likewise, driving accuracy was found to increase GIR by a factor of 0.078 and decrease bogey and scoring average by a factor of 0.021 and 0.053, respectfully. These results suggest that accurately placing the ball in the fairway, away from hazards like water and sand, improves the chances of a tour pro to land on the green, resulting in a lower bogey and scoring average. This result parallels the study completed by Broadie (2012). Furthermore, data suggests that as the distance between the ball and the hole increases from approach shots from less or greater than 100 results in an increase in bogey and scoring average by a factor of 0.022 and 0.072, respectively. Broadie (2012) found similar results, suggesting that as you increase the distance between the ball and hole, you are less likely to make it, resulting in high scores.</w:t>
      </w:r>
    </w:p>
    <w:p w14:paraId="002FBD32" w14:textId="323EE277" w:rsidR="00BB35B0" w:rsidRPr="00BB35B0" w:rsidRDefault="00BB35B0" w:rsidP="00BB35B0">
      <w:pPr>
        <w:spacing w:line="240" w:lineRule="auto"/>
        <w:ind w:firstLine="360"/>
        <w:rPr>
          <w:rFonts w:eastAsiaTheme="minorEastAsia"/>
          <w:b/>
          <w:bCs/>
          <w:sz w:val="22"/>
          <w:szCs w:val="22"/>
        </w:rPr>
      </w:pPr>
      <w:r w:rsidRPr="00BB35B0">
        <w:rPr>
          <w:sz w:val="22"/>
          <w:szCs w:val="22"/>
        </w:rPr>
        <w:t xml:space="preserve">Driving distance and driving accuracy accounted for the majority of the variation in the total model, 41.5% and 21.2%, respectively. This suggests that if tour players should focus on improving driving distance and driving accuracy </w:t>
      </w:r>
      <w:r w:rsidRPr="00BB35B0">
        <w:rPr>
          <w:sz w:val="22"/>
          <w:szCs w:val="22"/>
        </w:rPr>
        <w:lastRenderedPageBreak/>
        <w:t xml:space="preserve">to improve in all three metrics simultaneously. More specifically, if a tour professional wishes to increase their greens in regulation, they should improve their driving distance and approaches shot greater than 100 yards since these variables account for 29.9% and 8.9% of the total variation in GIR. These results, parallel the top 3 player on tour. Examining Figure 1, Mr. McIlroy and Mr. Johnson outperform the tour average on driving distance and approaches shot greater than 100 yards. One can infer that these qualities supported their winnings. With respect to lowering bogey average, driving </w:t>
      </w:r>
      <w:proofErr w:type="gramStart"/>
      <w:r w:rsidRPr="00BB35B0">
        <w:rPr>
          <w:sz w:val="22"/>
          <w:szCs w:val="22"/>
        </w:rPr>
        <w:t>distance</w:t>
      </w:r>
      <w:proofErr w:type="gramEnd"/>
      <w:r w:rsidRPr="00BB35B0">
        <w:rPr>
          <w:sz w:val="22"/>
          <w:szCs w:val="22"/>
        </w:rPr>
        <w:t xml:space="preserve"> and driving accuracy account for 7.9% and 15.1%, respectively, of the total variation. Likewise, driving distance and driving accuracy account for 26.8% and 18.2%, respectively, of the total variation in lowering scoring average. Thus, tour players should focus on improving their driving distance and driving accuracy to lower their bogey and scoring average. Lastly, the model accuracy results suggest less than 1% error in predicting future GIR, BA and SA scores. The adj-R2 for GIR, BA, and SA were 41.71%, 22.20%, and 34.51%. These adj-R2 range between weak to median fit, this may be due to the lack of covariates within the model</w:t>
      </w:r>
      <w:r>
        <w:rPr>
          <w:sz w:val="22"/>
          <w:szCs w:val="22"/>
        </w:rPr>
        <w:t>.</w:t>
      </w:r>
    </w:p>
    <w:p w14:paraId="5C3DA362" w14:textId="4C36532F" w:rsidR="00BB35B0" w:rsidRDefault="00BB35B0" w:rsidP="00983440">
      <w:pPr>
        <w:pStyle w:val="ListParagraph"/>
        <w:numPr>
          <w:ilvl w:val="0"/>
          <w:numId w:val="1"/>
        </w:numPr>
        <w:spacing w:line="240" w:lineRule="auto"/>
        <w:rPr>
          <w:rFonts w:eastAsiaTheme="minorEastAsia"/>
          <w:b/>
          <w:bCs/>
          <w:sz w:val="22"/>
          <w:szCs w:val="22"/>
        </w:rPr>
      </w:pPr>
      <w:r>
        <w:rPr>
          <w:rFonts w:eastAsiaTheme="minorEastAsia"/>
          <w:b/>
          <w:bCs/>
          <w:sz w:val="22"/>
          <w:szCs w:val="22"/>
        </w:rPr>
        <w:t>Conclusion</w:t>
      </w:r>
    </w:p>
    <w:p w14:paraId="5B21FCC7" w14:textId="1B3457A0" w:rsidR="00BB35B0" w:rsidRDefault="00BB35B0" w:rsidP="00BB35B0">
      <w:pPr>
        <w:spacing w:line="240" w:lineRule="auto"/>
        <w:ind w:firstLine="360"/>
        <w:rPr>
          <w:sz w:val="22"/>
          <w:szCs w:val="22"/>
        </w:rPr>
      </w:pPr>
      <w:r w:rsidRPr="00BB35B0">
        <w:rPr>
          <w:rFonts w:eastAsiaTheme="minorEastAsia"/>
          <w:sz w:val="22"/>
          <w:szCs w:val="22"/>
        </w:rPr>
        <w:t xml:space="preserve">The </w:t>
      </w:r>
      <w:r w:rsidRPr="00BB35B0">
        <w:rPr>
          <w:sz w:val="22"/>
          <w:szCs w:val="22"/>
        </w:rPr>
        <w:t>data suggests that if tour professional wish to increase their GIR, they should focus on increasing their driving distance and reducing the distance between the ball and hole from approaches shot greater than 100 yards as these variables account for the largest variation in GIR. If tour professionals wish to lower their bogey and scoring average, they should increase the driving distance and driving accuracy.</w:t>
      </w:r>
    </w:p>
    <w:p w14:paraId="421258A3" w14:textId="77777777" w:rsidR="00B26F11" w:rsidRPr="00BB35B0" w:rsidRDefault="00B26F11" w:rsidP="00BB35B0">
      <w:pPr>
        <w:spacing w:line="240" w:lineRule="auto"/>
        <w:ind w:firstLine="360"/>
        <w:rPr>
          <w:sz w:val="22"/>
          <w:szCs w:val="22"/>
        </w:rPr>
      </w:pPr>
    </w:p>
    <w:p w14:paraId="73111A77" w14:textId="33D625CC" w:rsidR="00BB35B0" w:rsidRPr="00BB35B0" w:rsidRDefault="00BB35B0" w:rsidP="00871174">
      <w:pPr>
        <w:pStyle w:val="ListParagraph"/>
        <w:numPr>
          <w:ilvl w:val="0"/>
          <w:numId w:val="1"/>
        </w:numPr>
        <w:spacing w:line="240" w:lineRule="auto"/>
        <w:rPr>
          <w:rFonts w:eastAsiaTheme="minorEastAsia"/>
          <w:b/>
          <w:bCs/>
          <w:sz w:val="22"/>
          <w:szCs w:val="22"/>
        </w:rPr>
      </w:pPr>
      <w:r w:rsidRPr="00BB35B0">
        <w:rPr>
          <w:rFonts w:eastAsiaTheme="minorEastAsia"/>
          <w:b/>
          <w:bCs/>
          <w:sz w:val="22"/>
          <w:szCs w:val="22"/>
        </w:rPr>
        <w:t>Limitation and Future Research</w:t>
      </w:r>
    </w:p>
    <w:p w14:paraId="41B32E08" w14:textId="4B08F8D5" w:rsidR="00983440" w:rsidRDefault="00FF6C52" w:rsidP="00BB35B0">
      <w:pPr>
        <w:spacing w:line="240" w:lineRule="auto"/>
        <w:ind w:firstLine="360"/>
        <w:rPr>
          <w:sz w:val="22"/>
          <w:szCs w:val="22"/>
        </w:rPr>
        <w:sectPr w:rsidR="00983440" w:rsidSect="00983440">
          <w:type w:val="continuous"/>
          <w:pgSz w:w="12240" w:h="15840"/>
          <w:pgMar w:top="567" w:right="1440" w:bottom="1134" w:left="1440" w:header="397" w:footer="708" w:gutter="0"/>
          <w:cols w:num="2" w:space="708"/>
          <w:titlePg/>
          <w:docGrid w:linePitch="360"/>
        </w:sectPr>
      </w:pPr>
      <w:r w:rsidRPr="00983440">
        <w:rPr>
          <w:sz w:val="22"/>
          <w:szCs w:val="22"/>
        </w:rPr>
        <w:t xml:space="preserve">Due to only event data being available, the study is limited to proportions, </w:t>
      </w:r>
      <w:proofErr w:type="gramStart"/>
      <w:r w:rsidRPr="00983440">
        <w:rPr>
          <w:sz w:val="22"/>
          <w:szCs w:val="22"/>
        </w:rPr>
        <w:t>averages</w:t>
      </w:r>
      <w:proofErr w:type="gramEnd"/>
      <w:r w:rsidRPr="00983440">
        <w:rPr>
          <w:sz w:val="22"/>
          <w:szCs w:val="22"/>
        </w:rPr>
        <w:t xml:space="preserve"> and percentages. Tracking data will enable future researcher to study classification models on which club or strategy best increase the probability of success with less bias than event data. Furthermore, the current study does not measure any aspects of putting and scrambling. A future study incorporating these metrics can produce a more encompassing result.</w:t>
      </w:r>
      <w:r w:rsidR="00A87D7C" w:rsidRPr="00983440">
        <w:rPr>
          <w:sz w:val="22"/>
          <w:szCs w:val="22"/>
        </w:rPr>
        <w:t xml:space="preserve"> Lastly, the current model fit (adj-R2) ranges between 22% and 42%, although this is not a great fit, future studies can implement more covariates to account for a larger total variatio</w:t>
      </w:r>
      <w:r w:rsidR="00BB35B0">
        <w:rPr>
          <w:sz w:val="22"/>
          <w:szCs w:val="22"/>
        </w:rPr>
        <w:t>n.</w:t>
      </w:r>
    </w:p>
    <w:p w14:paraId="7F5D699C" w14:textId="32055C2F" w:rsidR="003524C6" w:rsidRPr="00983440" w:rsidRDefault="003524C6" w:rsidP="00BB35B0">
      <w:pPr>
        <w:spacing w:line="240" w:lineRule="auto"/>
        <w:rPr>
          <w:sz w:val="22"/>
          <w:szCs w:val="22"/>
        </w:rPr>
      </w:pPr>
    </w:p>
    <w:tbl>
      <w:tblPr>
        <w:tblpPr w:leftFromText="180" w:rightFromText="180" w:vertAnchor="text" w:horzAnchor="page" w:tblpX="2236" w:tblpY="217"/>
        <w:tblW w:w="7933" w:type="dxa"/>
        <w:tblLayout w:type="fixed"/>
        <w:tblCellMar>
          <w:left w:w="0" w:type="dxa"/>
          <w:right w:w="0" w:type="dxa"/>
        </w:tblCellMar>
        <w:tblLook w:val="0000" w:firstRow="0" w:lastRow="0" w:firstColumn="0" w:lastColumn="0" w:noHBand="0" w:noVBand="0"/>
      </w:tblPr>
      <w:tblGrid>
        <w:gridCol w:w="3186"/>
        <w:gridCol w:w="1282"/>
        <w:gridCol w:w="1197"/>
        <w:gridCol w:w="1134"/>
        <w:gridCol w:w="1134"/>
      </w:tblGrid>
      <w:tr w:rsidR="006872D7" w:rsidRPr="006872D7" w14:paraId="4682A44D" w14:textId="77777777" w:rsidTr="00983440">
        <w:trPr>
          <w:cantSplit/>
          <w:trHeight w:val="274"/>
        </w:trPr>
        <w:tc>
          <w:tcPr>
            <w:tcW w:w="7933" w:type="dxa"/>
            <w:gridSpan w:val="5"/>
            <w:shd w:val="clear" w:color="auto" w:fill="FFFFFF"/>
            <w:vAlign w:val="bottom"/>
          </w:tcPr>
          <w:p w14:paraId="11A37315" w14:textId="77777777" w:rsidR="006872D7" w:rsidRPr="00D02C8C" w:rsidRDefault="006872D7" w:rsidP="00983440">
            <w:pPr>
              <w:autoSpaceDE w:val="0"/>
              <w:autoSpaceDN w:val="0"/>
              <w:adjustRightInd w:val="0"/>
              <w:spacing w:line="240" w:lineRule="auto"/>
              <w:ind w:left="60" w:right="60"/>
              <w:contextualSpacing/>
              <w:rPr>
                <w:i/>
                <w:iCs/>
                <w:sz w:val="20"/>
                <w:szCs w:val="20"/>
              </w:rPr>
            </w:pPr>
            <w:r w:rsidRPr="00D02C8C">
              <w:rPr>
                <w:i/>
                <w:iCs/>
                <w:sz w:val="20"/>
                <w:szCs w:val="20"/>
              </w:rPr>
              <w:t>Table 1.</w:t>
            </w:r>
          </w:p>
        </w:tc>
      </w:tr>
      <w:tr w:rsidR="006872D7" w:rsidRPr="006872D7" w14:paraId="3D245AF3" w14:textId="77777777" w:rsidTr="00983440">
        <w:trPr>
          <w:cantSplit/>
          <w:trHeight w:val="274"/>
        </w:trPr>
        <w:tc>
          <w:tcPr>
            <w:tcW w:w="7933" w:type="dxa"/>
            <w:gridSpan w:val="5"/>
            <w:tcBorders>
              <w:bottom w:val="single" w:sz="4" w:space="0" w:color="auto"/>
            </w:tcBorders>
            <w:shd w:val="clear" w:color="auto" w:fill="FFFFFF"/>
            <w:vAlign w:val="bottom"/>
          </w:tcPr>
          <w:p w14:paraId="1CE5F63E" w14:textId="77777777" w:rsidR="006872D7" w:rsidRPr="00D02C8C" w:rsidRDefault="006872D7" w:rsidP="00983440">
            <w:pPr>
              <w:autoSpaceDE w:val="0"/>
              <w:autoSpaceDN w:val="0"/>
              <w:adjustRightInd w:val="0"/>
              <w:spacing w:line="240" w:lineRule="auto"/>
              <w:ind w:right="60"/>
              <w:contextualSpacing/>
              <w:rPr>
                <w:i/>
                <w:iCs/>
                <w:color w:val="000000"/>
                <w:sz w:val="20"/>
                <w:szCs w:val="20"/>
              </w:rPr>
            </w:pPr>
            <w:r w:rsidRPr="00D02C8C">
              <w:rPr>
                <w:i/>
                <w:iCs/>
                <w:sz w:val="20"/>
                <w:szCs w:val="20"/>
              </w:rPr>
              <w:t>Variation accounted for by each regressor within the total and individual models</w:t>
            </w:r>
          </w:p>
        </w:tc>
      </w:tr>
      <w:tr w:rsidR="006872D7" w:rsidRPr="006872D7" w14:paraId="3FFD8215" w14:textId="77777777" w:rsidTr="00983440">
        <w:trPr>
          <w:cantSplit/>
          <w:trHeight w:val="274"/>
        </w:trPr>
        <w:tc>
          <w:tcPr>
            <w:tcW w:w="3186" w:type="dxa"/>
            <w:tcBorders>
              <w:top w:val="single" w:sz="4" w:space="0" w:color="auto"/>
              <w:bottom w:val="single" w:sz="4" w:space="0" w:color="auto"/>
            </w:tcBorders>
            <w:shd w:val="clear" w:color="auto" w:fill="FFFFFF"/>
            <w:vAlign w:val="bottom"/>
          </w:tcPr>
          <w:p w14:paraId="36C1FF7C" w14:textId="77777777" w:rsidR="006872D7" w:rsidRPr="00D02C8C" w:rsidRDefault="006872D7" w:rsidP="00983440">
            <w:pPr>
              <w:autoSpaceDE w:val="0"/>
              <w:autoSpaceDN w:val="0"/>
              <w:adjustRightInd w:val="0"/>
              <w:spacing w:line="240" w:lineRule="auto"/>
              <w:contextualSpacing/>
              <w:rPr>
                <w:sz w:val="20"/>
                <w:szCs w:val="20"/>
              </w:rPr>
            </w:pPr>
          </w:p>
        </w:tc>
        <w:tc>
          <w:tcPr>
            <w:tcW w:w="1282" w:type="dxa"/>
            <w:tcBorders>
              <w:top w:val="single" w:sz="4" w:space="0" w:color="auto"/>
              <w:bottom w:val="single" w:sz="4" w:space="0" w:color="auto"/>
            </w:tcBorders>
            <w:shd w:val="clear" w:color="auto" w:fill="FFFFFF"/>
          </w:tcPr>
          <w:p w14:paraId="4B72FE67" w14:textId="77777777" w:rsidR="006872D7" w:rsidRPr="00D02C8C" w:rsidRDefault="006872D7" w:rsidP="00983440">
            <w:pPr>
              <w:autoSpaceDE w:val="0"/>
              <w:autoSpaceDN w:val="0"/>
              <w:adjustRightInd w:val="0"/>
              <w:spacing w:line="240" w:lineRule="auto"/>
              <w:ind w:left="60" w:right="60"/>
              <w:contextualSpacing/>
              <w:jc w:val="center"/>
              <w:rPr>
                <w:rFonts w:eastAsiaTheme="minorEastAsia"/>
                <w:sz w:val="20"/>
                <w:szCs w:val="20"/>
              </w:rPr>
            </w:pPr>
            <w:r w:rsidRPr="00D02C8C">
              <w:rPr>
                <w:i/>
                <w:iCs/>
                <w:color w:val="000000"/>
                <w:sz w:val="20"/>
                <w:szCs w:val="20"/>
              </w:rPr>
              <w:t>Total Model</w:t>
            </w:r>
          </w:p>
        </w:tc>
        <w:tc>
          <w:tcPr>
            <w:tcW w:w="1197" w:type="dxa"/>
            <w:tcBorders>
              <w:top w:val="single" w:sz="4" w:space="0" w:color="auto"/>
              <w:bottom w:val="single" w:sz="4" w:space="0" w:color="auto"/>
            </w:tcBorders>
            <w:shd w:val="clear" w:color="auto" w:fill="FFFFFF"/>
          </w:tcPr>
          <w:p w14:paraId="1596A4C4" w14:textId="77777777" w:rsidR="006872D7" w:rsidRPr="00D02C8C" w:rsidRDefault="006872D7" w:rsidP="00983440">
            <w:pPr>
              <w:autoSpaceDE w:val="0"/>
              <w:autoSpaceDN w:val="0"/>
              <w:adjustRightInd w:val="0"/>
              <w:spacing w:line="240" w:lineRule="auto"/>
              <w:ind w:left="60" w:right="60"/>
              <w:contextualSpacing/>
              <w:jc w:val="center"/>
              <w:rPr>
                <w:rFonts w:eastAsiaTheme="minorEastAsia"/>
                <w:sz w:val="20"/>
                <w:szCs w:val="20"/>
              </w:rPr>
            </w:pPr>
            <w:r w:rsidRPr="00D02C8C">
              <w:rPr>
                <w:i/>
                <w:iCs/>
                <w:color w:val="000000"/>
                <w:sz w:val="20"/>
                <w:szCs w:val="20"/>
              </w:rPr>
              <w:t>Greens in regulation</w:t>
            </w:r>
          </w:p>
        </w:tc>
        <w:tc>
          <w:tcPr>
            <w:tcW w:w="1134" w:type="dxa"/>
            <w:tcBorders>
              <w:top w:val="single" w:sz="4" w:space="0" w:color="auto"/>
              <w:bottom w:val="single" w:sz="4" w:space="0" w:color="auto"/>
            </w:tcBorders>
            <w:shd w:val="clear" w:color="auto" w:fill="FFFFFF"/>
          </w:tcPr>
          <w:p w14:paraId="4F3BA388" w14:textId="77777777" w:rsidR="006872D7" w:rsidRPr="00D02C8C" w:rsidRDefault="006872D7" w:rsidP="00983440">
            <w:pPr>
              <w:autoSpaceDE w:val="0"/>
              <w:autoSpaceDN w:val="0"/>
              <w:adjustRightInd w:val="0"/>
              <w:spacing w:line="240" w:lineRule="auto"/>
              <w:ind w:left="60" w:right="60"/>
              <w:contextualSpacing/>
              <w:jc w:val="center"/>
              <w:rPr>
                <w:rFonts w:eastAsiaTheme="minorEastAsia"/>
                <w:sz w:val="20"/>
                <w:szCs w:val="20"/>
              </w:rPr>
            </w:pPr>
            <w:r w:rsidRPr="00D02C8C">
              <w:rPr>
                <w:i/>
                <w:iCs/>
                <w:color w:val="000000"/>
                <w:sz w:val="20"/>
                <w:szCs w:val="20"/>
              </w:rPr>
              <w:t>Bogey Average</w:t>
            </w:r>
          </w:p>
        </w:tc>
        <w:tc>
          <w:tcPr>
            <w:tcW w:w="1134" w:type="dxa"/>
            <w:tcBorders>
              <w:top w:val="single" w:sz="4" w:space="0" w:color="auto"/>
              <w:bottom w:val="single" w:sz="4" w:space="0" w:color="auto"/>
            </w:tcBorders>
            <w:shd w:val="clear" w:color="auto" w:fill="FFFFFF"/>
          </w:tcPr>
          <w:p w14:paraId="3DFD7851" w14:textId="77777777" w:rsidR="006872D7" w:rsidRPr="00D02C8C" w:rsidRDefault="006872D7" w:rsidP="00983440">
            <w:pPr>
              <w:autoSpaceDE w:val="0"/>
              <w:autoSpaceDN w:val="0"/>
              <w:adjustRightInd w:val="0"/>
              <w:spacing w:line="240" w:lineRule="auto"/>
              <w:ind w:left="60" w:right="60"/>
              <w:contextualSpacing/>
              <w:jc w:val="center"/>
              <w:rPr>
                <w:rFonts w:eastAsiaTheme="minorEastAsia"/>
                <w:sz w:val="20"/>
                <w:szCs w:val="20"/>
              </w:rPr>
            </w:pPr>
            <w:r w:rsidRPr="00D02C8C">
              <w:rPr>
                <w:i/>
                <w:iCs/>
                <w:color w:val="000000"/>
                <w:sz w:val="20"/>
                <w:szCs w:val="20"/>
              </w:rPr>
              <w:t>Scoring Average</w:t>
            </w:r>
          </w:p>
        </w:tc>
      </w:tr>
      <w:tr w:rsidR="006872D7" w:rsidRPr="006872D7" w14:paraId="1FBE04A0" w14:textId="77777777" w:rsidTr="00983440">
        <w:trPr>
          <w:cantSplit/>
          <w:trHeight w:val="70"/>
        </w:trPr>
        <w:tc>
          <w:tcPr>
            <w:tcW w:w="3186" w:type="dxa"/>
            <w:tcBorders>
              <w:top w:val="single" w:sz="4" w:space="0" w:color="auto"/>
              <w:bottom w:val="single" w:sz="4" w:space="0" w:color="auto"/>
            </w:tcBorders>
            <w:shd w:val="clear" w:color="auto" w:fill="FFFFFF"/>
            <w:vAlign w:val="bottom"/>
          </w:tcPr>
          <w:p w14:paraId="7B74447B" w14:textId="77777777" w:rsidR="006872D7" w:rsidRPr="00D02C8C" w:rsidRDefault="006872D7" w:rsidP="00983440">
            <w:pPr>
              <w:autoSpaceDE w:val="0"/>
              <w:autoSpaceDN w:val="0"/>
              <w:adjustRightInd w:val="0"/>
              <w:spacing w:line="240" w:lineRule="auto"/>
              <w:contextualSpacing/>
              <w:rPr>
                <w:sz w:val="20"/>
                <w:szCs w:val="20"/>
              </w:rPr>
            </w:pPr>
            <w:r w:rsidRPr="00D02C8C">
              <w:rPr>
                <w:sz w:val="20"/>
                <w:szCs w:val="20"/>
              </w:rPr>
              <w:t>Covariates</w:t>
            </w:r>
          </w:p>
        </w:tc>
        <w:tc>
          <w:tcPr>
            <w:tcW w:w="1282" w:type="dxa"/>
            <w:tcBorders>
              <w:top w:val="single" w:sz="4" w:space="0" w:color="auto"/>
              <w:bottom w:val="single" w:sz="4" w:space="0" w:color="auto"/>
            </w:tcBorders>
            <w:shd w:val="clear" w:color="auto" w:fill="FFFFFF"/>
          </w:tcPr>
          <w:p w14:paraId="36740F41" w14:textId="77777777" w:rsidR="006872D7" w:rsidRPr="00D02C8C" w:rsidRDefault="006872D7" w:rsidP="00983440">
            <w:pPr>
              <w:autoSpaceDE w:val="0"/>
              <w:autoSpaceDN w:val="0"/>
              <w:adjustRightInd w:val="0"/>
              <w:spacing w:line="240" w:lineRule="auto"/>
              <w:ind w:left="60" w:right="60"/>
              <w:contextualSpacing/>
              <w:jc w:val="center"/>
              <w:rPr>
                <w:i/>
                <w:iCs/>
                <w:color w:val="000000"/>
                <w:sz w:val="20"/>
                <w:szCs w:val="20"/>
                <w:vertAlign w:val="superscript"/>
              </w:rPr>
            </w:pPr>
            <w:r w:rsidRPr="00D02C8C">
              <w:rPr>
                <w:rFonts w:eastAsiaTheme="minorEastAsia"/>
                <w:i/>
                <w:iCs/>
                <w:sz w:val="20"/>
                <w:szCs w:val="20"/>
              </w:rPr>
              <w:t>Partial η</w:t>
            </w:r>
            <w:r w:rsidRPr="00D02C8C">
              <w:rPr>
                <w:rFonts w:eastAsiaTheme="minorEastAsia"/>
                <w:i/>
                <w:iCs/>
                <w:sz w:val="20"/>
                <w:szCs w:val="20"/>
                <w:vertAlign w:val="superscript"/>
              </w:rPr>
              <w:t>2</w:t>
            </w:r>
            <w:r w:rsidRPr="00D02C8C">
              <w:rPr>
                <w:rFonts w:eastAsiaTheme="minorEastAsia"/>
                <w:i/>
                <w:iCs/>
                <w:sz w:val="20"/>
                <w:szCs w:val="20"/>
                <w:vertAlign w:val="superscript"/>
              </w:rPr>
              <w:softHyphen/>
            </w:r>
          </w:p>
        </w:tc>
        <w:tc>
          <w:tcPr>
            <w:tcW w:w="1197" w:type="dxa"/>
            <w:tcBorders>
              <w:top w:val="single" w:sz="4" w:space="0" w:color="auto"/>
              <w:bottom w:val="single" w:sz="4" w:space="0" w:color="auto"/>
            </w:tcBorders>
            <w:shd w:val="clear" w:color="auto" w:fill="FFFFFF"/>
          </w:tcPr>
          <w:p w14:paraId="1D7A1219" w14:textId="77777777" w:rsidR="006872D7" w:rsidRPr="00D02C8C" w:rsidRDefault="006872D7" w:rsidP="00983440">
            <w:pPr>
              <w:autoSpaceDE w:val="0"/>
              <w:autoSpaceDN w:val="0"/>
              <w:adjustRightInd w:val="0"/>
              <w:spacing w:line="240" w:lineRule="auto"/>
              <w:ind w:left="60" w:right="60"/>
              <w:contextualSpacing/>
              <w:jc w:val="center"/>
              <w:rPr>
                <w:rFonts w:eastAsiaTheme="minorEastAsia"/>
                <w:i/>
                <w:iCs/>
                <w:sz w:val="20"/>
                <w:szCs w:val="20"/>
              </w:rPr>
            </w:pPr>
            <w:r w:rsidRPr="00D02C8C">
              <w:rPr>
                <w:rFonts w:eastAsiaTheme="minorEastAsia"/>
                <w:i/>
                <w:iCs/>
                <w:sz w:val="20"/>
                <w:szCs w:val="20"/>
              </w:rPr>
              <w:t>Partial η</w:t>
            </w:r>
            <w:r w:rsidRPr="00D02C8C">
              <w:rPr>
                <w:rFonts w:eastAsiaTheme="minorEastAsia"/>
                <w:i/>
                <w:iCs/>
                <w:sz w:val="20"/>
                <w:szCs w:val="20"/>
                <w:vertAlign w:val="superscript"/>
              </w:rPr>
              <w:t>2</w:t>
            </w:r>
            <w:r w:rsidRPr="00D02C8C">
              <w:rPr>
                <w:rFonts w:eastAsiaTheme="minorEastAsia"/>
                <w:i/>
                <w:iCs/>
                <w:sz w:val="20"/>
                <w:szCs w:val="20"/>
                <w:vertAlign w:val="superscript"/>
              </w:rPr>
              <w:softHyphen/>
            </w:r>
          </w:p>
        </w:tc>
        <w:tc>
          <w:tcPr>
            <w:tcW w:w="1134" w:type="dxa"/>
            <w:tcBorders>
              <w:top w:val="single" w:sz="4" w:space="0" w:color="auto"/>
              <w:bottom w:val="single" w:sz="4" w:space="0" w:color="auto"/>
            </w:tcBorders>
            <w:shd w:val="clear" w:color="auto" w:fill="FFFFFF"/>
          </w:tcPr>
          <w:p w14:paraId="6F15089E" w14:textId="77777777" w:rsidR="006872D7" w:rsidRPr="00D02C8C" w:rsidRDefault="006872D7" w:rsidP="00983440">
            <w:pPr>
              <w:autoSpaceDE w:val="0"/>
              <w:autoSpaceDN w:val="0"/>
              <w:adjustRightInd w:val="0"/>
              <w:spacing w:line="240" w:lineRule="auto"/>
              <w:ind w:left="60" w:right="60"/>
              <w:contextualSpacing/>
              <w:jc w:val="center"/>
              <w:rPr>
                <w:rFonts w:eastAsiaTheme="minorEastAsia"/>
                <w:i/>
                <w:iCs/>
                <w:sz w:val="20"/>
                <w:szCs w:val="20"/>
              </w:rPr>
            </w:pPr>
            <w:r w:rsidRPr="00D02C8C">
              <w:rPr>
                <w:rFonts w:eastAsiaTheme="minorEastAsia"/>
                <w:i/>
                <w:iCs/>
                <w:sz w:val="20"/>
                <w:szCs w:val="20"/>
              </w:rPr>
              <w:t>Partial η</w:t>
            </w:r>
            <w:r w:rsidRPr="00D02C8C">
              <w:rPr>
                <w:rFonts w:eastAsiaTheme="minorEastAsia"/>
                <w:i/>
                <w:iCs/>
                <w:sz w:val="20"/>
                <w:szCs w:val="20"/>
                <w:vertAlign w:val="superscript"/>
              </w:rPr>
              <w:t>2</w:t>
            </w:r>
            <w:r w:rsidRPr="00D02C8C">
              <w:rPr>
                <w:rFonts w:eastAsiaTheme="minorEastAsia"/>
                <w:i/>
                <w:iCs/>
                <w:sz w:val="20"/>
                <w:szCs w:val="20"/>
                <w:vertAlign w:val="superscript"/>
              </w:rPr>
              <w:softHyphen/>
            </w:r>
          </w:p>
        </w:tc>
        <w:tc>
          <w:tcPr>
            <w:tcW w:w="1134" w:type="dxa"/>
            <w:tcBorders>
              <w:top w:val="single" w:sz="4" w:space="0" w:color="auto"/>
              <w:bottom w:val="single" w:sz="4" w:space="0" w:color="auto"/>
            </w:tcBorders>
            <w:shd w:val="clear" w:color="auto" w:fill="FFFFFF"/>
          </w:tcPr>
          <w:p w14:paraId="14F896CD" w14:textId="77777777" w:rsidR="006872D7" w:rsidRPr="00D02C8C" w:rsidRDefault="006872D7" w:rsidP="00983440">
            <w:pPr>
              <w:autoSpaceDE w:val="0"/>
              <w:autoSpaceDN w:val="0"/>
              <w:adjustRightInd w:val="0"/>
              <w:spacing w:line="240" w:lineRule="auto"/>
              <w:ind w:left="60" w:right="60"/>
              <w:contextualSpacing/>
              <w:jc w:val="center"/>
              <w:rPr>
                <w:rFonts w:eastAsiaTheme="minorEastAsia"/>
                <w:i/>
                <w:iCs/>
                <w:sz w:val="20"/>
                <w:szCs w:val="20"/>
              </w:rPr>
            </w:pPr>
            <w:r w:rsidRPr="00D02C8C">
              <w:rPr>
                <w:rFonts w:eastAsiaTheme="minorEastAsia"/>
                <w:i/>
                <w:iCs/>
                <w:sz w:val="20"/>
                <w:szCs w:val="20"/>
              </w:rPr>
              <w:t>Partial η</w:t>
            </w:r>
            <w:r w:rsidRPr="00D02C8C">
              <w:rPr>
                <w:rFonts w:eastAsiaTheme="minorEastAsia"/>
                <w:i/>
                <w:iCs/>
                <w:sz w:val="20"/>
                <w:szCs w:val="20"/>
                <w:vertAlign w:val="superscript"/>
              </w:rPr>
              <w:t>2</w:t>
            </w:r>
            <w:r w:rsidRPr="00D02C8C">
              <w:rPr>
                <w:rFonts w:eastAsiaTheme="minorEastAsia"/>
                <w:i/>
                <w:iCs/>
                <w:sz w:val="20"/>
                <w:szCs w:val="20"/>
                <w:vertAlign w:val="superscript"/>
              </w:rPr>
              <w:softHyphen/>
            </w:r>
          </w:p>
        </w:tc>
      </w:tr>
      <w:tr w:rsidR="006872D7" w:rsidRPr="006872D7" w14:paraId="6B8E87F6" w14:textId="77777777" w:rsidTr="00983440">
        <w:trPr>
          <w:cantSplit/>
          <w:trHeight w:val="310"/>
        </w:trPr>
        <w:tc>
          <w:tcPr>
            <w:tcW w:w="3186" w:type="dxa"/>
            <w:tcBorders>
              <w:top w:val="single" w:sz="4" w:space="0" w:color="auto"/>
            </w:tcBorders>
            <w:shd w:val="clear" w:color="auto" w:fill="FFFFFF"/>
          </w:tcPr>
          <w:p w14:paraId="57C432E8" w14:textId="77777777" w:rsidR="006872D7" w:rsidRPr="00D02C8C" w:rsidRDefault="006872D7" w:rsidP="00983440">
            <w:pPr>
              <w:pStyle w:val="ListParagraph"/>
              <w:numPr>
                <w:ilvl w:val="0"/>
                <w:numId w:val="10"/>
              </w:numPr>
              <w:autoSpaceDE w:val="0"/>
              <w:autoSpaceDN w:val="0"/>
              <w:adjustRightInd w:val="0"/>
              <w:spacing w:line="240" w:lineRule="auto"/>
              <w:ind w:right="60"/>
              <w:rPr>
                <w:color w:val="000000"/>
                <w:sz w:val="20"/>
                <w:szCs w:val="20"/>
              </w:rPr>
            </w:pPr>
            <w:r w:rsidRPr="00D02C8C">
              <w:rPr>
                <w:sz w:val="20"/>
                <w:szCs w:val="20"/>
              </w:rPr>
              <w:t>Driving Distance</w:t>
            </w:r>
          </w:p>
        </w:tc>
        <w:tc>
          <w:tcPr>
            <w:tcW w:w="1282" w:type="dxa"/>
            <w:tcBorders>
              <w:top w:val="single" w:sz="4" w:space="0" w:color="auto"/>
            </w:tcBorders>
            <w:shd w:val="clear" w:color="auto" w:fill="FFFFFF"/>
          </w:tcPr>
          <w:p w14:paraId="1CE1E4BF"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0.415</w:t>
            </w:r>
          </w:p>
        </w:tc>
        <w:tc>
          <w:tcPr>
            <w:tcW w:w="1197" w:type="dxa"/>
            <w:tcBorders>
              <w:top w:val="single" w:sz="4" w:space="0" w:color="auto"/>
            </w:tcBorders>
            <w:shd w:val="clear" w:color="auto" w:fill="FFFFFF"/>
          </w:tcPr>
          <w:p w14:paraId="21112D89"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0.299</w:t>
            </w:r>
          </w:p>
        </w:tc>
        <w:tc>
          <w:tcPr>
            <w:tcW w:w="1134" w:type="dxa"/>
            <w:tcBorders>
              <w:top w:val="single" w:sz="4" w:space="0" w:color="auto"/>
            </w:tcBorders>
            <w:shd w:val="clear" w:color="auto" w:fill="FFFFFF"/>
          </w:tcPr>
          <w:p w14:paraId="2B0C9273"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0.079</w:t>
            </w:r>
          </w:p>
        </w:tc>
        <w:tc>
          <w:tcPr>
            <w:tcW w:w="1134" w:type="dxa"/>
            <w:tcBorders>
              <w:top w:val="single" w:sz="4" w:space="0" w:color="auto"/>
            </w:tcBorders>
            <w:shd w:val="clear" w:color="auto" w:fill="FFFFFF"/>
          </w:tcPr>
          <w:p w14:paraId="1C5B09AA"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0.268</w:t>
            </w:r>
          </w:p>
        </w:tc>
      </w:tr>
      <w:tr w:rsidR="006872D7" w:rsidRPr="006872D7" w14:paraId="003D7CC6" w14:textId="77777777" w:rsidTr="00983440">
        <w:trPr>
          <w:cantSplit/>
          <w:trHeight w:val="310"/>
        </w:trPr>
        <w:tc>
          <w:tcPr>
            <w:tcW w:w="3186" w:type="dxa"/>
            <w:shd w:val="clear" w:color="auto" w:fill="FFFFFF"/>
          </w:tcPr>
          <w:p w14:paraId="5602D3F7" w14:textId="77777777" w:rsidR="006872D7" w:rsidRPr="00D02C8C" w:rsidRDefault="006872D7" w:rsidP="00983440">
            <w:pPr>
              <w:pStyle w:val="ListParagraph"/>
              <w:numPr>
                <w:ilvl w:val="0"/>
                <w:numId w:val="10"/>
              </w:numPr>
              <w:autoSpaceDE w:val="0"/>
              <w:autoSpaceDN w:val="0"/>
              <w:adjustRightInd w:val="0"/>
              <w:spacing w:line="240" w:lineRule="auto"/>
              <w:ind w:right="60"/>
              <w:rPr>
                <w:color w:val="000000"/>
                <w:sz w:val="20"/>
                <w:szCs w:val="20"/>
              </w:rPr>
            </w:pPr>
            <w:r w:rsidRPr="00D02C8C">
              <w:rPr>
                <w:sz w:val="20"/>
                <w:szCs w:val="20"/>
              </w:rPr>
              <w:t>Driving Accuracy %</w:t>
            </w:r>
          </w:p>
        </w:tc>
        <w:tc>
          <w:tcPr>
            <w:tcW w:w="1282" w:type="dxa"/>
            <w:shd w:val="clear" w:color="auto" w:fill="FFFFFF"/>
          </w:tcPr>
          <w:p w14:paraId="458A7E47" w14:textId="77777777" w:rsidR="006872D7" w:rsidRPr="00D02C8C" w:rsidRDefault="006872D7" w:rsidP="00983440">
            <w:pPr>
              <w:autoSpaceDE w:val="0"/>
              <w:autoSpaceDN w:val="0"/>
              <w:adjustRightInd w:val="0"/>
              <w:spacing w:line="240" w:lineRule="auto"/>
              <w:ind w:left="60" w:right="60"/>
              <w:contextualSpacing/>
              <w:jc w:val="center"/>
              <w:rPr>
                <w:color w:val="000000"/>
                <w:sz w:val="20"/>
                <w:szCs w:val="20"/>
              </w:rPr>
            </w:pPr>
            <w:r w:rsidRPr="00D02C8C">
              <w:rPr>
                <w:color w:val="000000"/>
                <w:sz w:val="20"/>
                <w:szCs w:val="20"/>
              </w:rPr>
              <w:t>0.212</w:t>
            </w:r>
          </w:p>
        </w:tc>
        <w:tc>
          <w:tcPr>
            <w:tcW w:w="1197" w:type="dxa"/>
            <w:shd w:val="clear" w:color="auto" w:fill="FFFFFF"/>
          </w:tcPr>
          <w:p w14:paraId="6D1B3192"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0.015</w:t>
            </w:r>
          </w:p>
        </w:tc>
        <w:tc>
          <w:tcPr>
            <w:tcW w:w="1134" w:type="dxa"/>
            <w:shd w:val="clear" w:color="auto" w:fill="FFFFFF"/>
          </w:tcPr>
          <w:p w14:paraId="4749AEB1"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0.151</w:t>
            </w:r>
          </w:p>
        </w:tc>
        <w:tc>
          <w:tcPr>
            <w:tcW w:w="1134" w:type="dxa"/>
            <w:shd w:val="clear" w:color="auto" w:fill="FFFFFF"/>
          </w:tcPr>
          <w:p w14:paraId="70BF917E"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0.182</w:t>
            </w:r>
          </w:p>
        </w:tc>
      </w:tr>
      <w:tr w:rsidR="006872D7" w:rsidRPr="006872D7" w14:paraId="5A6CE00E" w14:textId="77777777" w:rsidTr="00983440">
        <w:trPr>
          <w:cantSplit/>
          <w:trHeight w:val="310"/>
        </w:trPr>
        <w:tc>
          <w:tcPr>
            <w:tcW w:w="3186" w:type="dxa"/>
            <w:shd w:val="clear" w:color="auto" w:fill="FFFFFF"/>
          </w:tcPr>
          <w:p w14:paraId="51E85DEB" w14:textId="77777777" w:rsidR="006872D7" w:rsidRPr="00D02C8C" w:rsidRDefault="006872D7" w:rsidP="00983440">
            <w:pPr>
              <w:pStyle w:val="ListParagraph"/>
              <w:numPr>
                <w:ilvl w:val="0"/>
                <w:numId w:val="10"/>
              </w:numPr>
              <w:autoSpaceDE w:val="0"/>
              <w:autoSpaceDN w:val="0"/>
              <w:adjustRightInd w:val="0"/>
              <w:spacing w:line="240" w:lineRule="auto"/>
              <w:ind w:right="60"/>
              <w:rPr>
                <w:color w:val="000000"/>
                <w:sz w:val="20"/>
                <w:szCs w:val="20"/>
              </w:rPr>
            </w:pPr>
            <w:r w:rsidRPr="00D02C8C">
              <w:rPr>
                <w:sz w:val="20"/>
                <w:szCs w:val="20"/>
              </w:rPr>
              <w:t>Approaches &lt; 100yds</w:t>
            </w:r>
          </w:p>
        </w:tc>
        <w:tc>
          <w:tcPr>
            <w:tcW w:w="1282" w:type="dxa"/>
            <w:shd w:val="clear" w:color="auto" w:fill="FFFFFF"/>
          </w:tcPr>
          <w:p w14:paraId="5A67DDBB" w14:textId="77777777" w:rsidR="006872D7" w:rsidRPr="00D02C8C" w:rsidRDefault="006872D7" w:rsidP="00983440">
            <w:pPr>
              <w:autoSpaceDE w:val="0"/>
              <w:autoSpaceDN w:val="0"/>
              <w:adjustRightInd w:val="0"/>
              <w:spacing w:line="240" w:lineRule="auto"/>
              <w:ind w:left="60" w:right="60"/>
              <w:contextualSpacing/>
              <w:jc w:val="center"/>
              <w:rPr>
                <w:color w:val="000000"/>
                <w:sz w:val="20"/>
                <w:szCs w:val="20"/>
              </w:rPr>
            </w:pPr>
            <w:r w:rsidRPr="00D02C8C">
              <w:rPr>
                <w:color w:val="000000"/>
                <w:sz w:val="20"/>
                <w:szCs w:val="20"/>
              </w:rPr>
              <w:t>0.070</w:t>
            </w:r>
          </w:p>
        </w:tc>
        <w:tc>
          <w:tcPr>
            <w:tcW w:w="1197" w:type="dxa"/>
            <w:shd w:val="clear" w:color="auto" w:fill="FFFFFF"/>
          </w:tcPr>
          <w:p w14:paraId="5DB24398"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0.020</w:t>
            </w:r>
          </w:p>
        </w:tc>
        <w:tc>
          <w:tcPr>
            <w:tcW w:w="1134" w:type="dxa"/>
            <w:shd w:val="clear" w:color="auto" w:fill="FFFFFF"/>
          </w:tcPr>
          <w:p w14:paraId="1AD8174E"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0.031</w:t>
            </w:r>
          </w:p>
        </w:tc>
        <w:tc>
          <w:tcPr>
            <w:tcW w:w="1134" w:type="dxa"/>
            <w:shd w:val="clear" w:color="auto" w:fill="FFFFFF"/>
          </w:tcPr>
          <w:p w14:paraId="6F02D331"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0.043</w:t>
            </w:r>
          </w:p>
        </w:tc>
      </w:tr>
      <w:tr w:rsidR="006872D7" w:rsidRPr="006872D7" w14:paraId="5780455D" w14:textId="77777777" w:rsidTr="00983440">
        <w:trPr>
          <w:cantSplit/>
          <w:trHeight w:val="142"/>
        </w:trPr>
        <w:tc>
          <w:tcPr>
            <w:tcW w:w="3186" w:type="dxa"/>
            <w:tcBorders>
              <w:bottom w:val="single" w:sz="4" w:space="0" w:color="auto"/>
            </w:tcBorders>
            <w:shd w:val="clear" w:color="auto" w:fill="FFFFFF"/>
          </w:tcPr>
          <w:p w14:paraId="1DDC7099" w14:textId="77777777" w:rsidR="006872D7" w:rsidRPr="00D02C8C" w:rsidRDefault="006872D7" w:rsidP="00983440">
            <w:pPr>
              <w:pStyle w:val="ListParagraph"/>
              <w:numPr>
                <w:ilvl w:val="0"/>
                <w:numId w:val="10"/>
              </w:numPr>
              <w:autoSpaceDE w:val="0"/>
              <w:autoSpaceDN w:val="0"/>
              <w:adjustRightInd w:val="0"/>
              <w:spacing w:line="240" w:lineRule="auto"/>
              <w:ind w:right="60"/>
              <w:rPr>
                <w:color w:val="000000"/>
                <w:sz w:val="20"/>
                <w:szCs w:val="20"/>
              </w:rPr>
            </w:pPr>
            <w:r w:rsidRPr="00D02C8C">
              <w:rPr>
                <w:sz w:val="20"/>
                <w:szCs w:val="20"/>
              </w:rPr>
              <w:t>Approaches &gt; 100yds</w:t>
            </w:r>
          </w:p>
        </w:tc>
        <w:tc>
          <w:tcPr>
            <w:tcW w:w="1282" w:type="dxa"/>
            <w:tcBorders>
              <w:bottom w:val="single" w:sz="4" w:space="0" w:color="auto"/>
            </w:tcBorders>
            <w:shd w:val="clear" w:color="auto" w:fill="FFFFFF"/>
          </w:tcPr>
          <w:p w14:paraId="2CD86C8F" w14:textId="77777777" w:rsidR="006872D7" w:rsidRPr="00D02C8C" w:rsidRDefault="006872D7" w:rsidP="00983440">
            <w:pPr>
              <w:autoSpaceDE w:val="0"/>
              <w:autoSpaceDN w:val="0"/>
              <w:adjustRightInd w:val="0"/>
              <w:spacing w:line="240" w:lineRule="auto"/>
              <w:ind w:left="60" w:right="60"/>
              <w:contextualSpacing/>
              <w:jc w:val="center"/>
              <w:rPr>
                <w:color w:val="000000"/>
                <w:sz w:val="20"/>
                <w:szCs w:val="20"/>
              </w:rPr>
            </w:pPr>
            <w:r w:rsidRPr="00D02C8C">
              <w:rPr>
                <w:color w:val="000000"/>
                <w:sz w:val="20"/>
                <w:szCs w:val="20"/>
              </w:rPr>
              <w:t>0.111</w:t>
            </w:r>
          </w:p>
        </w:tc>
        <w:tc>
          <w:tcPr>
            <w:tcW w:w="1197" w:type="dxa"/>
            <w:tcBorders>
              <w:bottom w:val="single" w:sz="4" w:space="0" w:color="auto"/>
            </w:tcBorders>
            <w:shd w:val="clear" w:color="auto" w:fill="FFFFFF"/>
          </w:tcPr>
          <w:p w14:paraId="05C96EAA"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0.089</w:t>
            </w:r>
          </w:p>
        </w:tc>
        <w:tc>
          <w:tcPr>
            <w:tcW w:w="1134" w:type="dxa"/>
            <w:tcBorders>
              <w:bottom w:val="single" w:sz="4" w:space="0" w:color="auto"/>
            </w:tcBorders>
            <w:shd w:val="clear" w:color="auto" w:fill="FFFFFF"/>
          </w:tcPr>
          <w:p w14:paraId="1BA71287"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0.017</w:t>
            </w:r>
          </w:p>
        </w:tc>
        <w:tc>
          <w:tcPr>
            <w:tcW w:w="1134" w:type="dxa"/>
            <w:tcBorders>
              <w:bottom w:val="single" w:sz="4" w:space="0" w:color="auto"/>
            </w:tcBorders>
            <w:shd w:val="clear" w:color="auto" w:fill="FFFFFF"/>
          </w:tcPr>
          <w:p w14:paraId="737E834E" w14:textId="77777777" w:rsidR="006872D7" w:rsidRPr="00D02C8C" w:rsidRDefault="006872D7" w:rsidP="00983440">
            <w:pPr>
              <w:autoSpaceDE w:val="0"/>
              <w:autoSpaceDN w:val="0"/>
              <w:adjustRightInd w:val="0"/>
              <w:spacing w:line="240" w:lineRule="auto"/>
              <w:ind w:left="60" w:right="60"/>
              <w:contextualSpacing/>
              <w:jc w:val="center"/>
              <w:rPr>
                <w:sz w:val="20"/>
                <w:szCs w:val="20"/>
              </w:rPr>
            </w:pPr>
            <w:r w:rsidRPr="00D02C8C">
              <w:rPr>
                <w:sz w:val="20"/>
                <w:szCs w:val="20"/>
              </w:rPr>
              <w:t>0.037</w:t>
            </w:r>
          </w:p>
        </w:tc>
      </w:tr>
      <w:tr w:rsidR="006872D7" w:rsidRPr="006872D7" w14:paraId="73AC75FE" w14:textId="77777777" w:rsidTr="00983440">
        <w:trPr>
          <w:cantSplit/>
          <w:trHeight w:val="329"/>
        </w:trPr>
        <w:tc>
          <w:tcPr>
            <w:tcW w:w="7933" w:type="dxa"/>
            <w:gridSpan w:val="5"/>
            <w:tcBorders>
              <w:top w:val="single" w:sz="4" w:space="0" w:color="auto"/>
            </w:tcBorders>
            <w:shd w:val="clear" w:color="auto" w:fill="FFFFFF"/>
          </w:tcPr>
          <w:p w14:paraId="60C04337" w14:textId="77777777" w:rsidR="006872D7" w:rsidRDefault="006872D7" w:rsidP="00983440">
            <w:pPr>
              <w:autoSpaceDE w:val="0"/>
              <w:autoSpaceDN w:val="0"/>
              <w:adjustRightInd w:val="0"/>
              <w:spacing w:line="240" w:lineRule="auto"/>
              <w:ind w:left="60" w:right="60"/>
              <w:contextualSpacing/>
              <w:rPr>
                <w:sz w:val="20"/>
                <w:szCs w:val="20"/>
              </w:rPr>
            </w:pPr>
            <w:r w:rsidRPr="00D02C8C">
              <w:rPr>
                <w:sz w:val="20"/>
                <w:szCs w:val="20"/>
              </w:rPr>
              <w:t>For a percentage, multiply the value by 100.</w:t>
            </w:r>
          </w:p>
          <w:p w14:paraId="197D36D0" w14:textId="3322FFE8" w:rsidR="00884B80" w:rsidRPr="00D02C8C" w:rsidRDefault="00884B80" w:rsidP="00983440">
            <w:pPr>
              <w:autoSpaceDE w:val="0"/>
              <w:autoSpaceDN w:val="0"/>
              <w:adjustRightInd w:val="0"/>
              <w:spacing w:line="240" w:lineRule="auto"/>
              <w:ind w:left="60" w:right="60"/>
              <w:contextualSpacing/>
              <w:rPr>
                <w:sz w:val="20"/>
                <w:szCs w:val="20"/>
              </w:rPr>
            </w:pPr>
          </w:p>
        </w:tc>
      </w:tr>
    </w:tbl>
    <w:p w14:paraId="33D17D54" w14:textId="06C1D922" w:rsidR="00983440" w:rsidRPr="00983440" w:rsidRDefault="00983440" w:rsidP="00983440">
      <w:pPr>
        <w:spacing w:line="240" w:lineRule="auto"/>
        <w:rPr>
          <w:rFonts w:eastAsiaTheme="minorEastAsia"/>
          <w:sz w:val="20"/>
          <w:szCs w:val="20"/>
        </w:rPr>
      </w:pPr>
    </w:p>
    <w:p w14:paraId="55B3AA1E" w14:textId="77777777" w:rsidR="00983440" w:rsidRPr="00D02C8C" w:rsidRDefault="00983440" w:rsidP="00D02C8C">
      <w:pPr>
        <w:pStyle w:val="ListParagraph"/>
        <w:spacing w:line="240" w:lineRule="auto"/>
        <w:ind w:firstLine="720"/>
        <w:rPr>
          <w:rFonts w:eastAsiaTheme="minorEastAsia"/>
          <w:sz w:val="20"/>
          <w:szCs w:val="20"/>
        </w:rPr>
      </w:pPr>
    </w:p>
    <w:tbl>
      <w:tblPr>
        <w:tblW w:w="5818" w:type="dxa"/>
        <w:tblInd w:w="1787" w:type="dxa"/>
        <w:tblLayout w:type="fixed"/>
        <w:tblCellMar>
          <w:left w:w="0" w:type="dxa"/>
          <w:right w:w="0" w:type="dxa"/>
        </w:tblCellMar>
        <w:tblLook w:val="0000" w:firstRow="0" w:lastRow="0" w:firstColumn="0" w:lastColumn="0" w:noHBand="0" w:noVBand="0"/>
      </w:tblPr>
      <w:tblGrid>
        <w:gridCol w:w="3834"/>
        <w:gridCol w:w="992"/>
        <w:gridCol w:w="992"/>
      </w:tblGrid>
      <w:tr w:rsidR="006872D7" w:rsidRPr="006872D7" w14:paraId="26980D49" w14:textId="77777777" w:rsidTr="00983440">
        <w:trPr>
          <w:cantSplit/>
          <w:trHeight w:val="95"/>
        </w:trPr>
        <w:tc>
          <w:tcPr>
            <w:tcW w:w="3834" w:type="dxa"/>
            <w:shd w:val="clear" w:color="auto" w:fill="FFFFFF"/>
            <w:vAlign w:val="bottom"/>
          </w:tcPr>
          <w:p w14:paraId="00A52576" w14:textId="77777777" w:rsidR="006872D7" w:rsidRPr="00D02C8C" w:rsidRDefault="006872D7" w:rsidP="00D02C8C">
            <w:pPr>
              <w:autoSpaceDE w:val="0"/>
              <w:autoSpaceDN w:val="0"/>
              <w:adjustRightInd w:val="0"/>
              <w:spacing w:line="240" w:lineRule="auto"/>
              <w:contextualSpacing/>
              <w:rPr>
                <w:i/>
                <w:iCs/>
                <w:sz w:val="20"/>
                <w:szCs w:val="20"/>
              </w:rPr>
            </w:pPr>
            <w:r w:rsidRPr="00D02C8C">
              <w:rPr>
                <w:i/>
                <w:iCs/>
                <w:sz w:val="20"/>
                <w:szCs w:val="20"/>
              </w:rPr>
              <w:t>Table 2.</w:t>
            </w:r>
          </w:p>
        </w:tc>
        <w:tc>
          <w:tcPr>
            <w:tcW w:w="992" w:type="dxa"/>
            <w:shd w:val="clear" w:color="auto" w:fill="FFFFFF"/>
          </w:tcPr>
          <w:p w14:paraId="5A9AC3AE" w14:textId="77777777" w:rsidR="006872D7" w:rsidRPr="00D02C8C" w:rsidRDefault="006872D7" w:rsidP="00D02C8C">
            <w:pPr>
              <w:autoSpaceDE w:val="0"/>
              <w:autoSpaceDN w:val="0"/>
              <w:adjustRightInd w:val="0"/>
              <w:spacing w:line="240" w:lineRule="auto"/>
              <w:ind w:left="60" w:right="60"/>
              <w:contextualSpacing/>
              <w:jc w:val="center"/>
              <w:rPr>
                <w:i/>
                <w:iCs/>
                <w:color w:val="000000"/>
                <w:sz w:val="20"/>
                <w:szCs w:val="20"/>
              </w:rPr>
            </w:pPr>
          </w:p>
        </w:tc>
        <w:tc>
          <w:tcPr>
            <w:tcW w:w="992" w:type="dxa"/>
            <w:shd w:val="clear" w:color="auto" w:fill="FFFFFF"/>
          </w:tcPr>
          <w:p w14:paraId="7E51E3AB" w14:textId="77777777" w:rsidR="006872D7" w:rsidRPr="00D02C8C" w:rsidRDefault="006872D7" w:rsidP="00D02C8C">
            <w:pPr>
              <w:autoSpaceDE w:val="0"/>
              <w:autoSpaceDN w:val="0"/>
              <w:adjustRightInd w:val="0"/>
              <w:spacing w:line="240" w:lineRule="auto"/>
              <w:ind w:left="60" w:right="60"/>
              <w:contextualSpacing/>
              <w:jc w:val="center"/>
              <w:rPr>
                <w:i/>
                <w:iCs/>
                <w:color w:val="000000"/>
                <w:sz w:val="20"/>
                <w:szCs w:val="20"/>
              </w:rPr>
            </w:pPr>
          </w:p>
        </w:tc>
      </w:tr>
      <w:tr w:rsidR="006872D7" w:rsidRPr="006872D7" w14:paraId="3ADD5338" w14:textId="77777777" w:rsidTr="00983440">
        <w:trPr>
          <w:cantSplit/>
        </w:trPr>
        <w:tc>
          <w:tcPr>
            <w:tcW w:w="3834" w:type="dxa"/>
            <w:tcBorders>
              <w:bottom w:val="single" w:sz="4" w:space="0" w:color="auto"/>
            </w:tcBorders>
            <w:shd w:val="clear" w:color="auto" w:fill="FFFFFF"/>
            <w:vAlign w:val="bottom"/>
          </w:tcPr>
          <w:p w14:paraId="32426E3B" w14:textId="77777777" w:rsidR="006872D7" w:rsidRPr="00D02C8C" w:rsidRDefault="006872D7" w:rsidP="00D02C8C">
            <w:pPr>
              <w:autoSpaceDE w:val="0"/>
              <w:autoSpaceDN w:val="0"/>
              <w:adjustRightInd w:val="0"/>
              <w:spacing w:line="240" w:lineRule="auto"/>
              <w:contextualSpacing/>
              <w:rPr>
                <w:i/>
                <w:iCs/>
                <w:sz w:val="20"/>
                <w:szCs w:val="20"/>
              </w:rPr>
            </w:pPr>
            <w:r w:rsidRPr="00D02C8C">
              <w:rPr>
                <w:i/>
                <w:iCs/>
                <w:sz w:val="20"/>
                <w:szCs w:val="20"/>
              </w:rPr>
              <w:t>Model Accuracy</w:t>
            </w:r>
          </w:p>
        </w:tc>
        <w:tc>
          <w:tcPr>
            <w:tcW w:w="992" w:type="dxa"/>
            <w:tcBorders>
              <w:bottom w:val="single" w:sz="4" w:space="0" w:color="auto"/>
            </w:tcBorders>
            <w:shd w:val="clear" w:color="auto" w:fill="FFFFFF"/>
          </w:tcPr>
          <w:p w14:paraId="398B9690" w14:textId="77777777" w:rsidR="006872D7" w:rsidRPr="00D02C8C" w:rsidRDefault="006872D7" w:rsidP="00D02C8C">
            <w:pPr>
              <w:autoSpaceDE w:val="0"/>
              <w:autoSpaceDN w:val="0"/>
              <w:adjustRightInd w:val="0"/>
              <w:spacing w:line="240" w:lineRule="auto"/>
              <w:ind w:left="60" w:right="60"/>
              <w:contextualSpacing/>
              <w:jc w:val="center"/>
              <w:rPr>
                <w:i/>
                <w:iCs/>
                <w:color w:val="000000"/>
                <w:sz w:val="20"/>
                <w:szCs w:val="20"/>
              </w:rPr>
            </w:pPr>
          </w:p>
        </w:tc>
        <w:tc>
          <w:tcPr>
            <w:tcW w:w="992" w:type="dxa"/>
            <w:tcBorders>
              <w:bottom w:val="single" w:sz="4" w:space="0" w:color="auto"/>
            </w:tcBorders>
            <w:shd w:val="clear" w:color="auto" w:fill="FFFFFF"/>
          </w:tcPr>
          <w:p w14:paraId="3B1BF6F1" w14:textId="77777777" w:rsidR="006872D7" w:rsidRPr="00D02C8C" w:rsidRDefault="006872D7" w:rsidP="00D02C8C">
            <w:pPr>
              <w:autoSpaceDE w:val="0"/>
              <w:autoSpaceDN w:val="0"/>
              <w:adjustRightInd w:val="0"/>
              <w:spacing w:line="240" w:lineRule="auto"/>
              <w:ind w:left="60" w:right="60"/>
              <w:contextualSpacing/>
              <w:jc w:val="center"/>
              <w:rPr>
                <w:i/>
                <w:iCs/>
                <w:color w:val="000000"/>
                <w:sz w:val="20"/>
                <w:szCs w:val="20"/>
              </w:rPr>
            </w:pPr>
          </w:p>
        </w:tc>
      </w:tr>
      <w:tr w:rsidR="006872D7" w:rsidRPr="006872D7" w14:paraId="3AA9DBA3" w14:textId="77777777" w:rsidTr="00983440">
        <w:trPr>
          <w:cantSplit/>
        </w:trPr>
        <w:tc>
          <w:tcPr>
            <w:tcW w:w="3834" w:type="dxa"/>
            <w:tcBorders>
              <w:bottom w:val="single" w:sz="4" w:space="0" w:color="auto"/>
            </w:tcBorders>
            <w:shd w:val="clear" w:color="auto" w:fill="FFFFFF"/>
            <w:vAlign w:val="bottom"/>
          </w:tcPr>
          <w:p w14:paraId="57CE52C0" w14:textId="77777777" w:rsidR="006872D7" w:rsidRPr="00D02C8C" w:rsidRDefault="006872D7" w:rsidP="00D02C8C">
            <w:pPr>
              <w:autoSpaceDE w:val="0"/>
              <w:autoSpaceDN w:val="0"/>
              <w:adjustRightInd w:val="0"/>
              <w:spacing w:line="240" w:lineRule="auto"/>
              <w:contextualSpacing/>
              <w:rPr>
                <w:sz w:val="20"/>
                <w:szCs w:val="20"/>
              </w:rPr>
            </w:pPr>
            <w:r w:rsidRPr="00D02C8C">
              <w:rPr>
                <w:sz w:val="20"/>
                <w:szCs w:val="20"/>
              </w:rPr>
              <w:t>Model</w:t>
            </w:r>
          </w:p>
        </w:tc>
        <w:tc>
          <w:tcPr>
            <w:tcW w:w="992" w:type="dxa"/>
            <w:tcBorders>
              <w:bottom w:val="single" w:sz="4" w:space="0" w:color="auto"/>
            </w:tcBorders>
            <w:shd w:val="clear" w:color="auto" w:fill="FFFFFF"/>
          </w:tcPr>
          <w:p w14:paraId="21496D90" w14:textId="77777777" w:rsidR="006872D7" w:rsidRPr="00D02C8C" w:rsidRDefault="006872D7" w:rsidP="00D02C8C">
            <w:pPr>
              <w:autoSpaceDE w:val="0"/>
              <w:autoSpaceDN w:val="0"/>
              <w:adjustRightInd w:val="0"/>
              <w:spacing w:line="240" w:lineRule="auto"/>
              <w:ind w:left="60" w:right="60"/>
              <w:contextualSpacing/>
              <w:jc w:val="center"/>
              <w:rPr>
                <w:i/>
                <w:iCs/>
                <w:color w:val="000000"/>
                <w:sz w:val="20"/>
                <w:szCs w:val="20"/>
              </w:rPr>
            </w:pPr>
            <w:r w:rsidRPr="00D02C8C">
              <w:rPr>
                <w:i/>
                <w:iCs/>
                <w:color w:val="000000"/>
                <w:sz w:val="20"/>
                <w:szCs w:val="20"/>
              </w:rPr>
              <w:t>MAPE%</w:t>
            </w:r>
          </w:p>
        </w:tc>
        <w:tc>
          <w:tcPr>
            <w:tcW w:w="992" w:type="dxa"/>
            <w:tcBorders>
              <w:bottom w:val="single" w:sz="4" w:space="0" w:color="auto"/>
            </w:tcBorders>
            <w:shd w:val="clear" w:color="auto" w:fill="FFFFFF"/>
          </w:tcPr>
          <w:p w14:paraId="18FCF0AD" w14:textId="77777777" w:rsidR="006872D7" w:rsidRPr="00D02C8C" w:rsidRDefault="006872D7" w:rsidP="00D02C8C">
            <w:pPr>
              <w:autoSpaceDE w:val="0"/>
              <w:autoSpaceDN w:val="0"/>
              <w:adjustRightInd w:val="0"/>
              <w:spacing w:line="240" w:lineRule="auto"/>
              <w:ind w:left="60" w:right="60"/>
              <w:contextualSpacing/>
              <w:jc w:val="center"/>
              <w:rPr>
                <w:i/>
                <w:iCs/>
                <w:color w:val="000000"/>
                <w:sz w:val="20"/>
                <w:szCs w:val="20"/>
                <w:vertAlign w:val="superscript"/>
              </w:rPr>
            </w:pPr>
            <w:r w:rsidRPr="00D02C8C">
              <w:rPr>
                <w:i/>
                <w:iCs/>
                <w:color w:val="000000"/>
                <w:sz w:val="20"/>
                <w:szCs w:val="20"/>
              </w:rPr>
              <w:t>Adj-R</w:t>
            </w:r>
            <w:r w:rsidRPr="00D02C8C">
              <w:rPr>
                <w:i/>
                <w:iCs/>
                <w:color w:val="000000"/>
                <w:sz w:val="20"/>
                <w:szCs w:val="20"/>
                <w:vertAlign w:val="superscript"/>
              </w:rPr>
              <w:t>2</w:t>
            </w:r>
          </w:p>
        </w:tc>
      </w:tr>
      <w:tr w:rsidR="006872D7" w:rsidRPr="006872D7" w14:paraId="3C87D02E" w14:textId="77777777" w:rsidTr="00983440">
        <w:trPr>
          <w:cantSplit/>
        </w:trPr>
        <w:tc>
          <w:tcPr>
            <w:tcW w:w="3834" w:type="dxa"/>
            <w:tcBorders>
              <w:top w:val="single" w:sz="4" w:space="0" w:color="auto"/>
            </w:tcBorders>
            <w:shd w:val="clear" w:color="auto" w:fill="FFFFFF"/>
          </w:tcPr>
          <w:p w14:paraId="215BDE4C" w14:textId="77777777" w:rsidR="006872D7" w:rsidRPr="00D02C8C" w:rsidRDefault="006872D7" w:rsidP="00D02C8C">
            <w:pPr>
              <w:pStyle w:val="ListParagraph"/>
              <w:numPr>
                <w:ilvl w:val="0"/>
                <w:numId w:val="9"/>
              </w:numPr>
              <w:autoSpaceDE w:val="0"/>
              <w:autoSpaceDN w:val="0"/>
              <w:adjustRightInd w:val="0"/>
              <w:spacing w:line="240" w:lineRule="auto"/>
              <w:ind w:right="60"/>
              <w:rPr>
                <w:color w:val="000000"/>
                <w:sz w:val="20"/>
                <w:szCs w:val="20"/>
              </w:rPr>
            </w:pPr>
            <w:r w:rsidRPr="00D02C8C">
              <w:rPr>
                <w:color w:val="000000"/>
                <w:sz w:val="20"/>
                <w:szCs w:val="20"/>
              </w:rPr>
              <w:t>Greens in Regulation</w:t>
            </w:r>
          </w:p>
        </w:tc>
        <w:tc>
          <w:tcPr>
            <w:tcW w:w="992" w:type="dxa"/>
            <w:tcBorders>
              <w:top w:val="single" w:sz="4" w:space="0" w:color="auto"/>
            </w:tcBorders>
            <w:shd w:val="clear" w:color="auto" w:fill="FFFFFF"/>
          </w:tcPr>
          <w:p w14:paraId="5C6BDA88" w14:textId="77777777" w:rsidR="006872D7" w:rsidRPr="00D02C8C" w:rsidRDefault="006872D7" w:rsidP="00D02C8C">
            <w:pPr>
              <w:autoSpaceDE w:val="0"/>
              <w:autoSpaceDN w:val="0"/>
              <w:adjustRightInd w:val="0"/>
              <w:spacing w:line="240" w:lineRule="auto"/>
              <w:ind w:left="60" w:right="60"/>
              <w:contextualSpacing/>
              <w:jc w:val="center"/>
              <w:rPr>
                <w:color w:val="000000"/>
                <w:sz w:val="20"/>
                <w:szCs w:val="20"/>
              </w:rPr>
            </w:pPr>
            <w:r w:rsidRPr="00D02C8C">
              <w:rPr>
                <w:sz w:val="20"/>
                <w:szCs w:val="20"/>
              </w:rPr>
              <w:t>0.11%</w:t>
            </w:r>
          </w:p>
        </w:tc>
        <w:tc>
          <w:tcPr>
            <w:tcW w:w="992" w:type="dxa"/>
            <w:tcBorders>
              <w:top w:val="single" w:sz="4" w:space="0" w:color="auto"/>
            </w:tcBorders>
            <w:shd w:val="clear" w:color="auto" w:fill="FFFFFF"/>
          </w:tcPr>
          <w:p w14:paraId="30AB73D7" w14:textId="77777777" w:rsidR="006872D7" w:rsidRPr="00D02C8C" w:rsidRDefault="006872D7" w:rsidP="00D02C8C">
            <w:pPr>
              <w:autoSpaceDE w:val="0"/>
              <w:autoSpaceDN w:val="0"/>
              <w:adjustRightInd w:val="0"/>
              <w:spacing w:line="240" w:lineRule="auto"/>
              <w:ind w:left="60" w:right="60"/>
              <w:contextualSpacing/>
              <w:jc w:val="center"/>
              <w:rPr>
                <w:color w:val="000000"/>
                <w:sz w:val="20"/>
                <w:szCs w:val="20"/>
              </w:rPr>
            </w:pPr>
            <w:r w:rsidRPr="00D02C8C">
              <w:rPr>
                <w:sz w:val="20"/>
                <w:szCs w:val="20"/>
              </w:rPr>
              <w:t>41.71%</w:t>
            </w:r>
          </w:p>
        </w:tc>
      </w:tr>
      <w:tr w:rsidR="006872D7" w:rsidRPr="006872D7" w14:paraId="73435C18" w14:textId="77777777" w:rsidTr="00983440">
        <w:trPr>
          <w:cantSplit/>
        </w:trPr>
        <w:tc>
          <w:tcPr>
            <w:tcW w:w="3834" w:type="dxa"/>
            <w:shd w:val="clear" w:color="auto" w:fill="FFFFFF"/>
          </w:tcPr>
          <w:p w14:paraId="414A3CB8" w14:textId="77777777" w:rsidR="006872D7" w:rsidRPr="00D02C8C" w:rsidRDefault="006872D7" w:rsidP="00D02C8C">
            <w:pPr>
              <w:pStyle w:val="ListParagraph"/>
              <w:numPr>
                <w:ilvl w:val="0"/>
                <w:numId w:val="9"/>
              </w:numPr>
              <w:autoSpaceDE w:val="0"/>
              <w:autoSpaceDN w:val="0"/>
              <w:adjustRightInd w:val="0"/>
              <w:spacing w:line="240" w:lineRule="auto"/>
              <w:ind w:right="60"/>
              <w:rPr>
                <w:color w:val="000000"/>
                <w:sz w:val="20"/>
                <w:szCs w:val="20"/>
              </w:rPr>
            </w:pPr>
            <w:r w:rsidRPr="00D02C8C">
              <w:rPr>
                <w:color w:val="000000"/>
                <w:sz w:val="20"/>
                <w:szCs w:val="20"/>
              </w:rPr>
              <w:t>Bogey Average</w:t>
            </w:r>
          </w:p>
        </w:tc>
        <w:tc>
          <w:tcPr>
            <w:tcW w:w="992" w:type="dxa"/>
            <w:shd w:val="clear" w:color="auto" w:fill="FFFFFF"/>
          </w:tcPr>
          <w:p w14:paraId="580827AC" w14:textId="77777777" w:rsidR="006872D7" w:rsidRPr="00D02C8C" w:rsidRDefault="006872D7" w:rsidP="00D02C8C">
            <w:pPr>
              <w:autoSpaceDE w:val="0"/>
              <w:autoSpaceDN w:val="0"/>
              <w:adjustRightInd w:val="0"/>
              <w:spacing w:line="240" w:lineRule="auto"/>
              <w:ind w:left="60" w:right="60"/>
              <w:contextualSpacing/>
              <w:jc w:val="center"/>
              <w:rPr>
                <w:color w:val="000000"/>
                <w:sz w:val="20"/>
                <w:szCs w:val="20"/>
              </w:rPr>
            </w:pPr>
            <w:r w:rsidRPr="00D02C8C">
              <w:rPr>
                <w:sz w:val="20"/>
                <w:szCs w:val="20"/>
              </w:rPr>
              <w:t>0.81%</w:t>
            </w:r>
          </w:p>
        </w:tc>
        <w:tc>
          <w:tcPr>
            <w:tcW w:w="992" w:type="dxa"/>
            <w:shd w:val="clear" w:color="auto" w:fill="FFFFFF"/>
          </w:tcPr>
          <w:p w14:paraId="4BE6E09A" w14:textId="77777777" w:rsidR="006872D7" w:rsidRPr="00D02C8C" w:rsidRDefault="006872D7" w:rsidP="00D02C8C">
            <w:pPr>
              <w:autoSpaceDE w:val="0"/>
              <w:autoSpaceDN w:val="0"/>
              <w:adjustRightInd w:val="0"/>
              <w:spacing w:line="240" w:lineRule="auto"/>
              <w:ind w:left="60" w:right="60"/>
              <w:contextualSpacing/>
              <w:jc w:val="center"/>
              <w:rPr>
                <w:color w:val="000000"/>
                <w:sz w:val="20"/>
                <w:szCs w:val="20"/>
              </w:rPr>
            </w:pPr>
            <w:r w:rsidRPr="00D02C8C">
              <w:rPr>
                <w:sz w:val="20"/>
                <w:szCs w:val="20"/>
              </w:rPr>
              <w:t>22.20%</w:t>
            </w:r>
          </w:p>
        </w:tc>
      </w:tr>
      <w:tr w:rsidR="006872D7" w:rsidRPr="006872D7" w14:paraId="247CA809" w14:textId="77777777" w:rsidTr="00983440">
        <w:trPr>
          <w:cantSplit/>
        </w:trPr>
        <w:tc>
          <w:tcPr>
            <w:tcW w:w="3834" w:type="dxa"/>
            <w:tcBorders>
              <w:bottom w:val="single" w:sz="4" w:space="0" w:color="auto"/>
            </w:tcBorders>
            <w:shd w:val="clear" w:color="auto" w:fill="FFFFFF"/>
          </w:tcPr>
          <w:p w14:paraId="7A30F0FD" w14:textId="77777777" w:rsidR="006872D7" w:rsidRPr="00D02C8C" w:rsidRDefault="006872D7" w:rsidP="00D02C8C">
            <w:pPr>
              <w:pStyle w:val="ListParagraph"/>
              <w:numPr>
                <w:ilvl w:val="0"/>
                <w:numId w:val="9"/>
              </w:numPr>
              <w:autoSpaceDE w:val="0"/>
              <w:autoSpaceDN w:val="0"/>
              <w:adjustRightInd w:val="0"/>
              <w:spacing w:line="240" w:lineRule="auto"/>
              <w:ind w:right="60"/>
              <w:rPr>
                <w:color w:val="000000"/>
                <w:sz w:val="20"/>
                <w:szCs w:val="20"/>
              </w:rPr>
            </w:pPr>
            <w:r w:rsidRPr="00D02C8C">
              <w:rPr>
                <w:color w:val="000000"/>
                <w:sz w:val="20"/>
                <w:szCs w:val="20"/>
              </w:rPr>
              <w:t>Scoring Average</w:t>
            </w:r>
          </w:p>
        </w:tc>
        <w:tc>
          <w:tcPr>
            <w:tcW w:w="992" w:type="dxa"/>
            <w:tcBorders>
              <w:bottom w:val="single" w:sz="4" w:space="0" w:color="auto"/>
            </w:tcBorders>
            <w:shd w:val="clear" w:color="auto" w:fill="FFFFFF"/>
          </w:tcPr>
          <w:p w14:paraId="429A05E2" w14:textId="77777777" w:rsidR="006872D7" w:rsidRPr="00D02C8C" w:rsidRDefault="006872D7" w:rsidP="00D02C8C">
            <w:pPr>
              <w:autoSpaceDE w:val="0"/>
              <w:autoSpaceDN w:val="0"/>
              <w:adjustRightInd w:val="0"/>
              <w:spacing w:line="240" w:lineRule="auto"/>
              <w:ind w:left="60" w:right="60"/>
              <w:contextualSpacing/>
              <w:jc w:val="center"/>
              <w:rPr>
                <w:color w:val="000000"/>
                <w:sz w:val="20"/>
                <w:szCs w:val="20"/>
              </w:rPr>
            </w:pPr>
            <w:r w:rsidRPr="00D02C8C">
              <w:rPr>
                <w:sz w:val="20"/>
                <w:szCs w:val="20"/>
              </w:rPr>
              <w:t>0.03%</w:t>
            </w:r>
          </w:p>
        </w:tc>
        <w:tc>
          <w:tcPr>
            <w:tcW w:w="992" w:type="dxa"/>
            <w:tcBorders>
              <w:bottom w:val="single" w:sz="4" w:space="0" w:color="auto"/>
            </w:tcBorders>
            <w:shd w:val="clear" w:color="auto" w:fill="FFFFFF"/>
          </w:tcPr>
          <w:p w14:paraId="29E07F34" w14:textId="77777777" w:rsidR="006872D7" w:rsidRPr="00D02C8C" w:rsidRDefault="006872D7" w:rsidP="00D02C8C">
            <w:pPr>
              <w:autoSpaceDE w:val="0"/>
              <w:autoSpaceDN w:val="0"/>
              <w:adjustRightInd w:val="0"/>
              <w:spacing w:line="240" w:lineRule="auto"/>
              <w:ind w:left="60" w:right="60"/>
              <w:contextualSpacing/>
              <w:jc w:val="center"/>
              <w:rPr>
                <w:color w:val="000000"/>
                <w:sz w:val="20"/>
                <w:szCs w:val="20"/>
              </w:rPr>
            </w:pPr>
            <w:r w:rsidRPr="00D02C8C">
              <w:rPr>
                <w:sz w:val="20"/>
                <w:szCs w:val="20"/>
              </w:rPr>
              <w:t>34.51%</w:t>
            </w:r>
          </w:p>
        </w:tc>
      </w:tr>
    </w:tbl>
    <w:p w14:paraId="43BC0B6C" w14:textId="200EFF9C" w:rsidR="0054055D" w:rsidRPr="00D02C8C" w:rsidRDefault="0054055D" w:rsidP="00D02C8C">
      <w:pPr>
        <w:contextualSpacing/>
        <w:rPr>
          <w:sz w:val="22"/>
          <w:szCs w:val="22"/>
        </w:rPr>
      </w:pPr>
    </w:p>
    <w:p w14:paraId="7A70C12F" w14:textId="52B02D25" w:rsidR="0054055D" w:rsidRPr="00D02C8C" w:rsidRDefault="0054055D" w:rsidP="00D02C8C">
      <w:pPr>
        <w:contextualSpacing/>
        <w:rPr>
          <w:sz w:val="22"/>
          <w:szCs w:val="22"/>
        </w:rPr>
      </w:pPr>
    </w:p>
    <w:p w14:paraId="15B7D7B7" w14:textId="77777777" w:rsidR="00983440" w:rsidRDefault="00983440" w:rsidP="00D02C8C">
      <w:pPr>
        <w:spacing w:line="240" w:lineRule="auto"/>
        <w:contextualSpacing/>
        <w:jc w:val="center"/>
        <w:rPr>
          <w:b/>
          <w:bCs/>
          <w:sz w:val="22"/>
          <w:szCs w:val="22"/>
        </w:rPr>
        <w:sectPr w:rsidR="00983440" w:rsidSect="00983440">
          <w:type w:val="continuous"/>
          <w:pgSz w:w="12240" w:h="15840"/>
          <w:pgMar w:top="1134" w:right="1440" w:bottom="1134" w:left="1440" w:header="397" w:footer="708" w:gutter="0"/>
          <w:cols w:space="708"/>
          <w:titlePg/>
          <w:docGrid w:linePitch="360"/>
        </w:sectPr>
      </w:pPr>
    </w:p>
    <w:p w14:paraId="7867E667" w14:textId="77777777" w:rsidR="00983440" w:rsidRDefault="00983440" w:rsidP="00983440">
      <w:pPr>
        <w:spacing w:line="240" w:lineRule="auto"/>
        <w:contextualSpacing/>
        <w:rPr>
          <w:b/>
          <w:bCs/>
          <w:sz w:val="22"/>
          <w:szCs w:val="22"/>
        </w:rPr>
      </w:pPr>
    </w:p>
    <w:tbl>
      <w:tblPr>
        <w:tblStyle w:val="TableGrid"/>
        <w:tblpPr w:leftFromText="180" w:rightFromText="180" w:vertAnchor="text" w:horzAnchor="page" w:tblpX="449" w:tblpY="60"/>
        <w:tblOverlap w:val="never"/>
        <w:tblW w:w="5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6"/>
      </w:tblGrid>
      <w:tr w:rsidR="00BB35B0" w14:paraId="31BF0B8D" w14:textId="77777777" w:rsidTr="00BB35B0">
        <w:tc>
          <w:tcPr>
            <w:tcW w:w="5886" w:type="dxa"/>
          </w:tcPr>
          <w:p w14:paraId="2E3E93F6" w14:textId="77777777" w:rsidR="00BB35B0" w:rsidRPr="00F517DB" w:rsidRDefault="00BB35B0" w:rsidP="00BB35B0">
            <w:pPr>
              <w:pStyle w:val="NormalWeb"/>
              <w:rPr>
                <w:i/>
                <w:iCs/>
              </w:rPr>
            </w:pPr>
            <w:r w:rsidRPr="00F517DB">
              <w:rPr>
                <w:i/>
                <w:iCs/>
              </w:rPr>
              <w:t xml:space="preserve">Figure </w:t>
            </w:r>
            <w:r>
              <w:rPr>
                <w:i/>
                <w:iCs/>
              </w:rPr>
              <w:t>1</w:t>
            </w:r>
            <w:r w:rsidRPr="00F517DB">
              <w:rPr>
                <w:i/>
                <w:iCs/>
              </w:rPr>
              <w:t>.</w:t>
            </w:r>
          </w:p>
        </w:tc>
      </w:tr>
      <w:tr w:rsidR="00BB35B0" w14:paraId="4E3E66B6" w14:textId="77777777" w:rsidTr="00BB35B0">
        <w:tc>
          <w:tcPr>
            <w:tcW w:w="5886" w:type="dxa"/>
          </w:tcPr>
          <w:p w14:paraId="092AE922" w14:textId="77777777" w:rsidR="00BB35B0" w:rsidRDefault="00BB35B0" w:rsidP="00BB35B0">
            <w:pPr>
              <w:pStyle w:val="NormalWeb"/>
            </w:pPr>
            <w:r>
              <w:rPr>
                <w:noProof/>
              </w:rPr>
              <w:drawing>
                <wp:inline distT="0" distB="0" distL="0" distR="0" wp14:anchorId="7E30D0E6" wp14:editId="31CAF819">
                  <wp:extent cx="3590925" cy="3060700"/>
                  <wp:effectExtent l="0" t="0" r="9525" b="635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060700"/>
                          </a:xfrm>
                          <a:prstGeom prst="rect">
                            <a:avLst/>
                          </a:prstGeom>
                          <a:noFill/>
                        </pic:spPr>
                      </pic:pic>
                    </a:graphicData>
                  </a:graphic>
                </wp:inline>
              </w:drawing>
            </w:r>
          </w:p>
        </w:tc>
      </w:tr>
      <w:tr w:rsidR="00BB35B0" w14:paraId="0931D017" w14:textId="77777777" w:rsidTr="00BB35B0">
        <w:tc>
          <w:tcPr>
            <w:tcW w:w="5886" w:type="dxa"/>
          </w:tcPr>
          <w:p w14:paraId="4AF73825" w14:textId="77777777" w:rsidR="00BB35B0" w:rsidRPr="00F517DB" w:rsidRDefault="00BB35B0" w:rsidP="00BB35B0">
            <w:pPr>
              <w:pStyle w:val="NormalWeb"/>
              <w:rPr>
                <w:i/>
                <w:iCs/>
              </w:rPr>
            </w:pPr>
          </w:p>
        </w:tc>
      </w:tr>
      <w:tr w:rsidR="00BB35B0" w14:paraId="066224F7" w14:textId="77777777" w:rsidTr="00BB35B0">
        <w:tc>
          <w:tcPr>
            <w:tcW w:w="5886" w:type="dxa"/>
          </w:tcPr>
          <w:p w14:paraId="5708C45E" w14:textId="77777777" w:rsidR="00BB35B0" w:rsidRDefault="00BB35B0" w:rsidP="00BB35B0">
            <w:pPr>
              <w:pStyle w:val="NormalWeb"/>
            </w:pPr>
          </w:p>
        </w:tc>
      </w:tr>
    </w:tbl>
    <w:tbl>
      <w:tblPr>
        <w:tblStyle w:val="TableGrid"/>
        <w:tblpPr w:leftFromText="180" w:rightFromText="180" w:vertAnchor="text" w:horzAnchor="page" w:tblpX="544" w:tblpY="139"/>
        <w:tblW w:w="5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BB35B0" w:rsidRPr="00852D1C" w14:paraId="38440A38" w14:textId="77777777" w:rsidTr="00BB35B0">
        <w:trPr>
          <w:trHeight w:val="463"/>
        </w:trPr>
        <w:tc>
          <w:tcPr>
            <w:tcW w:w="5382" w:type="dxa"/>
          </w:tcPr>
          <w:p w14:paraId="265C26AA" w14:textId="77777777" w:rsidR="00BB35B0" w:rsidRPr="00D02C8C" w:rsidRDefault="00BB35B0" w:rsidP="00BB35B0">
            <w:pPr>
              <w:pStyle w:val="NormalWeb"/>
              <w:spacing w:line="480" w:lineRule="auto"/>
              <w:contextualSpacing/>
              <w:rPr>
                <w:sz w:val="22"/>
                <w:szCs w:val="22"/>
              </w:rPr>
            </w:pPr>
            <w:r w:rsidRPr="00D02C8C">
              <w:rPr>
                <w:i/>
                <w:iCs/>
                <w:sz w:val="22"/>
                <w:szCs w:val="22"/>
              </w:rPr>
              <w:t>Figure 2.</w:t>
            </w:r>
          </w:p>
        </w:tc>
      </w:tr>
      <w:tr w:rsidR="00BB35B0" w:rsidRPr="00852D1C" w14:paraId="7876D51D" w14:textId="77777777" w:rsidTr="00BB35B0">
        <w:trPr>
          <w:trHeight w:val="247"/>
        </w:trPr>
        <w:tc>
          <w:tcPr>
            <w:tcW w:w="5382" w:type="dxa"/>
          </w:tcPr>
          <w:p w14:paraId="2548E49B" w14:textId="77777777" w:rsidR="00BB35B0" w:rsidRPr="00D02C8C" w:rsidRDefault="00BB35B0" w:rsidP="00BB35B0">
            <w:pPr>
              <w:pStyle w:val="NormalWeb"/>
              <w:spacing w:line="480" w:lineRule="auto"/>
              <w:contextualSpacing/>
              <w:rPr>
                <w:i/>
                <w:iCs/>
                <w:sz w:val="22"/>
                <w:szCs w:val="22"/>
              </w:rPr>
            </w:pPr>
            <w:r w:rsidRPr="00D02C8C">
              <w:rPr>
                <w:i/>
                <w:iCs/>
                <w:sz w:val="22"/>
                <w:szCs w:val="22"/>
              </w:rPr>
              <w:t>Beta estimates for each regression in each model</w:t>
            </w:r>
          </w:p>
        </w:tc>
      </w:tr>
      <w:tr w:rsidR="00BB35B0" w:rsidRPr="00852D1C" w14:paraId="3D11D07B" w14:textId="77777777" w:rsidTr="00BB35B0">
        <w:trPr>
          <w:trHeight w:val="3237"/>
        </w:trPr>
        <w:tc>
          <w:tcPr>
            <w:tcW w:w="5382" w:type="dxa"/>
          </w:tcPr>
          <w:p w14:paraId="01DAAC54" w14:textId="77777777" w:rsidR="00BB35B0" w:rsidRPr="00D02C8C" w:rsidRDefault="00BB35B0" w:rsidP="00BB35B0">
            <w:pPr>
              <w:pStyle w:val="NormalWeb"/>
              <w:spacing w:line="480" w:lineRule="auto"/>
              <w:contextualSpacing/>
              <w:rPr>
                <w:sz w:val="22"/>
                <w:szCs w:val="22"/>
              </w:rPr>
            </w:pPr>
            <w:r w:rsidRPr="00D02C8C">
              <w:rPr>
                <w:noProof/>
                <w:sz w:val="22"/>
                <w:szCs w:val="22"/>
              </w:rPr>
              <w:drawing>
                <wp:anchor distT="0" distB="0" distL="114300" distR="114300" simplePos="0" relativeHeight="251659264" behindDoc="1" locked="0" layoutInCell="1" allowOverlap="1" wp14:anchorId="6F77E0D7" wp14:editId="64F986FF">
                  <wp:simplePos x="0" y="0"/>
                  <wp:positionH relativeFrom="column">
                    <wp:posOffset>-203</wp:posOffset>
                  </wp:positionH>
                  <wp:positionV relativeFrom="paragraph">
                    <wp:posOffset>3150</wp:posOffset>
                  </wp:positionV>
                  <wp:extent cx="2949575" cy="2122805"/>
                  <wp:effectExtent l="0" t="0" r="3175" b="0"/>
                  <wp:wrapTight wrapText="bothSides">
                    <wp:wrapPolygon edited="0">
                      <wp:start x="0" y="0"/>
                      <wp:lineTo x="0" y="21322"/>
                      <wp:lineTo x="21484" y="21322"/>
                      <wp:lineTo x="2148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0">
                            <a:extLst>
                              <a:ext uri="{28A0092B-C50C-407E-A947-70E740481C1C}">
                                <a14:useLocalDpi xmlns:a14="http://schemas.microsoft.com/office/drawing/2010/main" val="0"/>
                              </a:ext>
                            </a:extLst>
                          </a:blip>
                          <a:srcRect l="1739" t="5681" r="2596"/>
                          <a:stretch/>
                        </pic:blipFill>
                        <pic:spPr bwMode="auto">
                          <a:xfrm>
                            <a:off x="0" y="0"/>
                            <a:ext cx="2949575" cy="2122805"/>
                          </a:xfrm>
                          <a:prstGeom prst="rect">
                            <a:avLst/>
                          </a:prstGeom>
                          <a:ln>
                            <a:noFill/>
                          </a:ln>
                          <a:extLst>
                            <a:ext uri="{53640926-AAD7-44D8-BBD7-CCE9431645EC}">
                              <a14:shadowObscured xmlns:a14="http://schemas.microsoft.com/office/drawing/2010/main"/>
                            </a:ext>
                          </a:extLst>
                        </pic:spPr>
                      </pic:pic>
                    </a:graphicData>
                  </a:graphic>
                </wp:anchor>
              </w:drawing>
            </w:r>
          </w:p>
        </w:tc>
      </w:tr>
    </w:tbl>
    <w:p w14:paraId="01F9151B" w14:textId="77777777" w:rsidR="00983440" w:rsidRDefault="00983440" w:rsidP="00983440">
      <w:pPr>
        <w:spacing w:line="240" w:lineRule="auto"/>
        <w:contextualSpacing/>
        <w:rPr>
          <w:b/>
          <w:bCs/>
          <w:sz w:val="22"/>
          <w:szCs w:val="22"/>
        </w:rPr>
      </w:pPr>
    </w:p>
    <w:p w14:paraId="0937BB16" w14:textId="77777777" w:rsidR="00983440" w:rsidRDefault="00983440" w:rsidP="00983440">
      <w:pPr>
        <w:spacing w:line="240" w:lineRule="auto"/>
        <w:contextualSpacing/>
        <w:rPr>
          <w:b/>
          <w:bCs/>
          <w:sz w:val="22"/>
          <w:szCs w:val="22"/>
        </w:rPr>
      </w:pPr>
    </w:p>
    <w:p w14:paraId="34C1D87A" w14:textId="6A1C8726" w:rsidR="00983440" w:rsidRDefault="00983440" w:rsidP="00983440">
      <w:pPr>
        <w:spacing w:line="240" w:lineRule="auto"/>
        <w:contextualSpacing/>
        <w:rPr>
          <w:b/>
          <w:bCs/>
          <w:sz w:val="22"/>
          <w:szCs w:val="22"/>
        </w:rPr>
      </w:pPr>
    </w:p>
    <w:p w14:paraId="42D442B1" w14:textId="6282F7B2" w:rsidR="00983440" w:rsidRDefault="00983440" w:rsidP="00983440">
      <w:pPr>
        <w:spacing w:line="240" w:lineRule="auto"/>
        <w:contextualSpacing/>
        <w:rPr>
          <w:b/>
          <w:bCs/>
          <w:sz w:val="22"/>
          <w:szCs w:val="22"/>
        </w:rPr>
      </w:pPr>
    </w:p>
    <w:p w14:paraId="3A35FD71" w14:textId="366EA2B7" w:rsidR="00983440" w:rsidRDefault="00983440" w:rsidP="00983440">
      <w:pPr>
        <w:spacing w:line="240" w:lineRule="auto"/>
        <w:contextualSpacing/>
        <w:rPr>
          <w:b/>
          <w:bCs/>
          <w:sz w:val="22"/>
          <w:szCs w:val="22"/>
        </w:rPr>
      </w:pPr>
    </w:p>
    <w:p w14:paraId="34DFFDDD" w14:textId="2E692AC5" w:rsidR="00983440" w:rsidRDefault="00983440" w:rsidP="00983440">
      <w:pPr>
        <w:spacing w:line="240" w:lineRule="auto"/>
        <w:contextualSpacing/>
        <w:rPr>
          <w:b/>
          <w:bCs/>
          <w:sz w:val="22"/>
          <w:szCs w:val="22"/>
        </w:rPr>
      </w:pPr>
    </w:p>
    <w:p w14:paraId="3E205B92" w14:textId="2E79070E" w:rsidR="00B11918" w:rsidRDefault="00B11918" w:rsidP="00983440">
      <w:pPr>
        <w:spacing w:line="240" w:lineRule="auto"/>
        <w:contextualSpacing/>
        <w:rPr>
          <w:b/>
          <w:bCs/>
          <w:sz w:val="22"/>
          <w:szCs w:val="22"/>
        </w:rPr>
      </w:pPr>
    </w:p>
    <w:p w14:paraId="6E53074D" w14:textId="568C5A37" w:rsidR="00983440" w:rsidRDefault="00983440" w:rsidP="00983440">
      <w:pPr>
        <w:spacing w:line="240" w:lineRule="auto"/>
        <w:contextualSpacing/>
        <w:rPr>
          <w:b/>
          <w:bCs/>
          <w:sz w:val="22"/>
          <w:szCs w:val="22"/>
        </w:rPr>
      </w:pPr>
    </w:p>
    <w:p w14:paraId="38379ABD" w14:textId="1DB37A58" w:rsidR="00983440" w:rsidRDefault="00983440" w:rsidP="00983440">
      <w:pPr>
        <w:spacing w:line="240" w:lineRule="auto"/>
        <w:contextualSpacing/>
        <w:rPr>
          <w:b/>
          <w:bCs/>
          <w:sz w:val="22"/>
          <w:szCs w:val="22"/>
        </w:rPr>
      </w:pPr>
    </w:p>
    <w:p w14:paraId="18E0CE6D" w14:textId="66D6E241" w:rsidR="00B11918" w:rsidRDefault="00B11918" w:rsidP="00B11918">
      <w:pPr>
        <w:spacing w:line="240" w:lineRule="auto"/>
        <w:contextualSpacing/>
        <w:rPr>
          <w:b/>
          <w:bCs/>
          <w:sz w:val="22"/>
          <w:szCs w:val="22"/>
        </w:rPr>
      </w:pPr>
    </w:p>
    <w:p w14:paraId="42AABC02" w14:textId="24D70527" w:rsidR="008C3D90" w:rsidRPr="00D02C8C" w:rsidRDefault="00B546E0" w:rsidP="00B11918">
      <w:pPr>
        <w:spacing w:line="240" w:lineRule="auto"/>
        <w:contextualSpacing/>
        <w:jc w:val="center"/>
        <w:rPr>
          <w:b/>
          <w:bCs/>
          <w:sz w:val="22"/>
          <w:szCs w:val="22"/>
        </w:rPr>
      </w:pPr>
      <w:r w:rsidRPr="00D02C8C">
        <w:rPr>
          <w:b/>
          <w:bCs/>
          <w:sz w:val="22"/>
          <w:szCs w:val="22"/>
        </w:rPr>
        <w:t>References</w:t>
      </w:r>
    </w:p>
    <w:p w14:paraId="3951EC55" w14:textId="77777777" w:rsidR="00FF2A0F" w:rsidRPr="00D02C8C" w:rsidRDefault="00FF2A0F" w:rsidP="00A30254">
      <w:pPr>
        <w:pStyle w:val="NormalWeb"/>
        <w:ind w:left="567" w:hanging="567"/>
        <w:contextualSpacing/>
        <w:rPr>
          <w:sz w:val="22"/>
          <w:szCs w:val="22"/>
        </w:rPr>
      </w:pPr>
      <w:r w:rsidRPr="00D02C8C">
        <w:rPr>
          <w:sz w:val="22"/>
          <w:szCs w:val="22"/>
        </w:rPr>
        <w:t xml:space="preserve">Alboukadel. (2020, December 12). </w:t>
      </w:r>
      <w:r w:rsidRPr="00D02C8C">
        <w:rPr>
          <w:i/>
          <w:iCs/>
          <w:sz w:val="22"/>
          <w:szCs w:val="22"/>
        </w:rPr>
        <w:t xml:space="preserve">Beautiful radar chart in R using FMSB and </w:t>
      </w:r>
      <w:proofErr w:type="spellStart"/>
      <w:r w:rsidRPr="00D02C8C">
        <w:rPr>
          <w:i/>
          <w:iCs/>
          <w:sz w:val="22"/>
          <w:szCs w:val="22"/>
        </w:rPr>
        <w:t>GGPlot</w:t>
      </w:r>
      <w:proofErr w:type="spellEnd"/>
      <w:r w:rsidRPr="00D02C8C">
        <w:rPr>
          <w:i/>
          <w:iCs/>
          <w:sz w:val="22"/>
          <w:szCs w:val="22"/>
        </w:rPr>
        <w:t xml:space="preserve"> packages</w:t>
      </w:r>
      <w:r w:rsidRPr="00D02C8C">
        <w:rPr>
          <w:sz w:val="22"/>
          <w:szCs w:val="22"/>
        </w:rPr>
        <w:t xml:space="preserve">. </w:t>
      </w:r>
      <w:proofErr w:type="spellStart"/>
      <w:r w:rsidRPr="00D02C8C">
        <w:rPr>
          <w:sz w:val="22"/>
          <w:szCs w:val="22"/>
        </w:rPr>
        <w:t>Datanovia</w:t>
      </w:r>
      <w:proofErr w:type="spellEnd"/>
      <w:r w:rsidRPr="00D02C8C">
        <w:rPr>
          <w:sz w:val="22"/>
          <w:szCs w:val="22"/>
        </w:rPr>
        <w:t xml:space="preserve">. Retrieved November 20, 2022, from https://www.datanovia.com/en/blog/beautiful-radar-chart-in-r-using-fmsb-and-ggplot-packages/ </w:t>
      </w:r>
    </w:p>
    <w:p w14:paraId="16E442D6" w14:textId="77777777" w:rsidR="00FF2A0F" w:rsidRPr="00D02C8C" w:rsidRDefault="00FF2A0F" w:rsidP="00D02C8C">
      <w:pPr>
        <w:pStyle w:val="NormalWeb"/>
        <w:ind w:left="567" w:hanging="567"/>
        <w:contextualSpacing/>
        <w:rPr>
          <w:sz w:val="22"/>
          <w:szCs w:val="22"/>
        </w:rPr>
      </w:pPr>
      <w:r w:rsidRPr="00D02C8C">
        <w:rPr>
          <w:sz w:val="22"/>
          <w:szCs w:val="22"/>
        </w:rPr>
        <w:t xml:space="preserve">Broadie, M. (2012). Assessing golfer performance on the PGA Tour. </w:t>
      </w:r>
      <w:r w:rsidRPr="00D02C8C">
        <w:rPr>
          <w:i/>
          <w:iCs/>
          <w:sz w:val="22"/>
          <w:szCs w:val="22"/>
        </w:rPr>
        <w:t>Interfaces</w:t>
      </w:r>
      <w:r w:rsidRPr="00D02C8C">
        <w:rPr>
          <w:sz w:val="22"/>
          <w:szCs w:val="22"/>
        </w:rPr>
        <w:t xml:space="preserve">, </w:t>
      </w:r>
      <w:r w:rsidRPr="00D02C8C">
        <w:rPr>
          <w:i/>
          <w:iCs/>
          <w:sz w:val="22"/>
          <w:szCs w:val="22"/>
        </w:rPr>
        <w:t>42</w:t>
      </w:r>
      <w:r w:rsidRPr="00D02C8C">
        <w:rPr>
          <w:sz w:val="22"/>
          <w:szCs w:val="22"/>
        </w:rPr>
        <w:t xml:space="preserve">(2), 146–165. </w:t>
      </w:r>
      <w:hyperlink r:id="rId11" w:history="1">
        <w:r w:rsidRPr="00D02C8C">
          <w:rPr>
            <w:rStyle w:val="Hyperlink"/>
            <w:sz w:val="22"/>
            <w:szCs w:val="22"/>
          </w:rPr>
          <w:t>https://doi.org/10.1287/inte.1120.0626</w:t>
        </w:r>
      </w:hyperlink>
    </w:p>
    <w:p w14:paraId="4DE4C9EF" w14:textId="77777777" w:rsidR="00FF2A0F" w:rsidRPr="00D02C8C" w:rsidRDefault="00FF2A0F" w:rsidP="00D02C8C">
      <w:pPr>
        <w:pStyle w:val="NormalWeb"/>
        <w:ind w:left="567" w:hanging="567"/>
        <w:contextualSpacing/>
        <w:rPr>
          <w:sz w:val="22"/>
          <w:szCs w:val="22"/>
        </w:rPr>
      </w:pPr>
      <w:r w:rsidRPr="00D02C8C">
        <w:rPr>
          <w:sz w:val="22"/>
          <w:szCs w:val="22"/>
        </w:rPr>
        <w:t>Chamberlain, Luke (2017) </w:t>
      </w:r>
      <w:r w:rsidRPr="00D02C8C">
        <w:rPr>
          <w:i/>
          <w:iCs/>
          <w:sz w:val="22"/>
          <w:szCs w:val="22"/>
        </w:rPr>
        <w:t>Assessing Golfer Performance on the PGA Tour.</w:t>
      </w:r>
      <w:r w:rsidRPr="00D02C8C">
        <w:rPr>
          <w:sz w:val="22"/>
          <w:szCs w:val="22"/>
        </w:rPr>
        <w:t> Undergraduate thesis, Dublin, National College of Ireland.</w:t>
      </w:r>
    </w:p>
    <w:p w14:paraId="5D23A685" w14:textId="77777777" w:rsidR="00FF2A0F" w:rsidRPr="00D02C8C" w:rsidRDefault="00FF2A0F" w:rsidP="00D02C8C">
      <w:pPr>
        <w:pStyle w:val="NormalWeb"/>
        <w:ind w:left="567" w:hanging="567"/>
        <w:contextualSpacing/>
        <w:rPr>
          <w:sz w:val="22"/>
          <w:szCs w:val="22"/>
        </w:rPr>
      </w:pPr>
      <w:r w:rsidRPr="00D02C8C">
        <w:rPr>
          <w:sz w:val="22"/>
          <w:szCs w:val="22"/>
        </w:rPr>
        <w:t xml:space="preserve">Choi, J. (2020, April 16). </w:t>
      </w:r>
      <w:r w:rsidRPr="00D02C8C">
        <w:rPr>
          <w:i/>
          <w:iCs/>
          <w:sz w:val="22"/>
          <w:szCs w:val="22"/>
        </w:rPr>
        <w:t>PGA Tour top 200 player data (2015-2019)</w:t>
      </w:r>
      <w:r w:rsidRPr="00D02C8C">
        <w:rPr>
          <w:sz w:val="22"/>
          <w:szCs w:val="22"/>
        </w:rPr>
        <w:t xml:space="preserve">. Kaggle. Retrieved October 21, 2022, from https://www.kaggle.com/datasets/jychoi87/pga-tour-top-200-player-data-20152019 </w:t>
      </w:r>
    </w:p>
    <w:p w14:paraId="3BB82E35" w14:textId="77777777" w:rsidR="00FF2A0F" w:rsidRPr="00D02C8C" w:rsidRDefault="00FF2A0F" w:rsidP="00D02C8C">
      <w:pPr>
        <w:pStyle w:val="NormalWeb"/>
        <w:ind w:left="567" w:hanging="567"/>
        <w:contextualSpacing/>
        <w:rPr>
          <w:sz w:val="22"/>
          <w:szCs w:val="22"/>
        </w:rPr>
      </w:pPr>
      <w:r w:rsidRPr="00D02C8C">
        <w:rPr>
          <w:sz w:val="22"/>
          <w:szCs w:val="22"/>
        </w:rPr>
        <w:t xml:space="preserve">Ford, C. (2017, October 27). </w:t>
      </w:r>
      <w:r w:rsidRPr="00D02C8C">
        <w:rPr>
          <w:i/>
          <w:iCs/>
          <w:sz w:val="22"/>
          <w:szCs w:val="22"/>
        </w:rPr>
        <w:t>University of Virginia Library Research Data Services + Sciences</w:t>
      </w:r>
      <w:r w:rsidRPr="00D02C8C">
        <w:rPr>
          <w:sz w:val="22"/>
          <w:szCs w:val="22"/>
        </w:rPr>
        <w:t xml:space="preserve">. Research Data Services + Sciences. Retrieved November 20, 2022, from https://data.library.virginia.edu/getting-started-with-multivariate-multiple-regression/ </w:t>
      </w:r>
    </w:p>
    <w:p w14:paraId="37DC412F" w14:textId="74C50C48" w:rsidR="00FF2A0F" w:rsidRPr="00D02C8C" w:rsidRDefault="00FF2A0F" w:rsidP="00D02C8C">
      <w:pPr>
        <w:pStyle w:val="NormalWeb"/>
        <w:ind w:left="567" w:hanging="567"/>
        <w:contextualSpacing/>
        <w:rPr>
          <w:sz w:val="22"/>
          <w:szCs w:val="22"/>
        </w:rPr>
      </w:pPr>
      <w:r w:rsidRPr="00D02C8C">
        <w:rPr>
          <w:sz w:val="22"/>
          <w:szCs w:val="22"/>
        </w:rPr>
        <w:t>Hughes, M.D., &amp; Bartlett, R.M. (2002). The use of performance indicators in performance analysis. Journal of Sports Sciences, 20, 739–754. PubMed doi:10.1080/026404102320675602</w:t>
      </w:r>
    </w:p>
    <w:p w14:paraId="65401B67" w14:textId="39132D42" w:rsidR="006872D7" w:rsidRPr="00D02C8C" w:rsidRDefault="00FF2A0F" w:rsidP="006872D7">
      <w:pPr>
        <w:pStyle w:val="NormalWeb"/>
        <w:ind w:left="567" w:hanging="567"/>
        <w:contextualSpacing/>
        <w:rPr>
          <w:sz w:val="22"/>
          <w:szCs w:val="22"/>
        </w:rPr>
      </w:pPr>
      <w:r w:rsidRPr="00D02C8C">
        <w:rPr>
          <w:sz w:val="22"/>
          <w:szCs w:val="22"/>
        </w:rPr>
        <w:t xml:space="preserve">Long, J. (2022, April 25 ). </w:t>
      </w:r>
      <w:r w:rsidRPr="00D02C8C">
        <w:rPr>
          <w:i/>
          <w:iCs/>
          <w:sz w:val="22"/>
          <w:szCs w:val="22"/>
        </w:rPr>
        <w:t>Tools for summarizing and visualizing regression models</w:t>
      </w:r>
      <w:r w:rsidRPr="00D02C8C">
        <w:rPr>
          <w:sz w:val="22"/>
          <w:szCs w:val="22"/>
        </w:rPr>
        <w:t xml:space="preserve">. Tools for summarizing and visualizing Regression Models. Retrieved November 20, 2022, from https://cran.r-project.org/web/packages/jtools/vignettes/summ.html#effect_plot() </w:t>
      </w:r>
    </w:p>
    <w:p w14:paraId="5B368ACD" w14:textId="585C3A94" w:rsidR="00FF2A0F" w:rsidRPr="00D02C8C" w:rsidRDefault="00FF2A0F" w:rsidP="00D02C8C">
      <w:pPr>
        <w:pStyle w:val="NormalWeb"/>
        <w:ind w:left="567" w:hanging="567"/>
        <w:contextualSpacing/>
        <w:rPr>
          <w:sz w:val="22"/>
          <w:szCs w:val="22"/>
        </w:rPr>
      </w:pPr>
      <w:r w:rsidRPr="00D02C8C">
        <w:rPr>
          <w:sz w:val="22"/>
          <w:szCs w:val="22"/>
          <w:lang w:val="fr-CA"/>
        </w:rPr>
        <w:t xml:space="preserve">Parra, X., Tort-Martorell, X., Alvarez-Gomez, F., &amp; Ruiz-Viñals, C. (2022). </w:t>
      </w:r>
      <w:r w:rsidRPr="00D02C8C">
        <w:rPr>
          <w:sz w:val="22"/>
          <w:szCs w:val="22"/>
        </w:rPr>
        <w:t xml:space="preserve">Chronological evolution of the information-driven decision-making process (1950–2020). </w:t>
      </w:r>
      <w:r w:rsidRPr="00D02C8C">
        <w:rPr>
          <w:i/>
          <w:iCs/>
          <w:sz w:val="22"/>
          <w:szCs w:val="22"/>
        </w:rPr>
        <w:t>Journal of the Knowledge Economy</w:t>
      </w:r>
      <w:r w:rsidRPr="00D02C8C">
        <w:rPr>
          <w:sz w:val="22"/>
          <w:szCs w:val="22"/>
        </w:rPr>
        <w:t xml:space="preserve">. </w:t>
      </w:r>
      <w:hyperlink r:id="rId12" w:history="1">
        <w:r w:rsidRPr="00D02C8C">
          <w:rPr>
            <w:rStyle w:val="Hyperlink"/>
            <w:sz w:val="22"/>
            <w:szCs w:val="22"/>
          </w:rPr>
          <w:t>https://doi.org/10.1007/s13132-022-00917-y</w:t>
        </w:r>
      </w:hyperlink>
    </w:p>
    <w:p w14:paraId="48DB4BD1" w14:textId="19C13AFE" w:rsidR="00983440" w:rsidRDefault="00FF2A0F" w:rsidP="00BB35B0">
      <w:pPr>
        <w:pStyle w:val="NormalWeb"/>
        <w:ind w:left="567" w:hanging="567"/>
        <w:contextualSpacing/>
        <w:rPr>
          <w:sz w:val="22"/>
          <w:szCs w:val="22"/>
        </w:rPr>
        <w:sectPr w:rsidR="00983440" w:rsidSect="00B11918">
          <w:type w:val="continuous"/>
          <w:pgSz w:w="12240" w:h="15840"/>
          <w:pgMar w:top="284" w:right="333" w:bottom="709" w:left="1440" w:header="397" w:footer="708" w:gutter="0"/>
          <w:cols w:num="2" w:space="448"/>
          <w:titlePg/>
          <w:docGrid w:linePitch="360"/>
        </w:sectPr>
      </w:pPr>
      <w:proofErr w:type="spellStart"/>
      <w:r w:rsidRPr="00D02C8C">
        <w:rPr>
          <w:sz w:val="22"/>
          <w:szCs w:val="22"/>
        </w:rPr>
        <w:t>Stöckl</w:t>
      </w:r>
      <w:proofErr w:type="spellEnd"/>
      <w:r w:rsidRPr="00D02C8C">
        <w:rPr>
          <w:sz w:val="22"/>
          <w:szCs w:val="22"/>
        </w:rPr>
        <w:t xml:space="preserve">, M., Lamb, P. F., &amp; Lames, M. (2012). A model for visualizing difficulty in golf and subsequent performance rankings on the PGA Tour. </w:t>
      </w:r>
      <w:r w:rsidRPr="00D02C8C">
        <w:rPr>
          <w:i/>
          <w:iCs/>
          <w:sz w:val="22"/>
          <w:szCs w:val="22"/>
        </w:rPr>
        <w:t>International Journal of Golf Science</w:t>
      </w:r>
      <w:r w:rsidRPr="00D02C8C">
        <w:rPr>
          <w:sz w:val="22"/>
          <w:szCs w:val="22"/>
        </w:rPr>
        <w:t xml:space="preserve">, </w:t>
      </w:r>
      <w:r w:rsidRPr="00D02C8C">
        <w:rPr>
          <w:i/>
          <w:iCs/>
          <w:sz w:val="22"/>
          <w:szCs w:val="22"/>
        </w:rPr>
        <w:t>1</w:t>
      </w:r>
      <w:r w:rsidRPr="00D02C8C">
        <w:rPr>
          <w:sz w:val="22"/>
          <w:szCs w:val="22"/>
        </w:rPr>
        <w:t xml:space="preserve">(1), 10–24. </w:t>
      </w:r>
      <w:hyperlink r:id="rId13" w:history="1">
        <w:r w:rsidRPr="00D02C8C">
          <w:rPr>
            <w:rStyle w:val="Hyperlink"/>
            <w:sz w:val="22"/>
            <w:szCs w:val="22"/>
          </w:rPr>
          <w:t>https://doi.org/10.1123/ijgs.1.1.</w:t>
        </w:r>
        <w:r w:rsidRPr="00D02C8C">
          <w:rPr>
            <w:rStyle w:val="Hyperlink"/>
            <w:rFonts w:eastAsiaTheme="minorHAnsi"/>
            <w:sz w:val="22"/>
            <w:szCs w:val="22"/>
            <w:lang w:eastAsia="en-US"/>
          </w:rPr>
          <w:t>10</w:t>
        </w:r>
      </w:hyperlink>
    </w:p>
    <w:p w14:paraId="08F27F4E" w14:textId="5FF13619" w:rsidR="00BB35B0" w:rsidRPr="00BB35B0" w:rsidRDefault="00BB35B0" w:rsidP="00BB35B0">
      <w:pPr>
        <w:tabs>
          <w:tab w:val="left" w:pos="3476"/>
        </w:tabs>
        <w:rPr>
          <w:lang w:eastAsia="en-CA"/>
        </w:rPr>
      </w:pPr>
    </w:p>
    <w:sectPr w:rsidR="00BB35B0" w:rsidRPr="00BB35B0" w:rsidSect="00983440">
      <w:type w:val="continuous"/>
      <w:pgSz w:w="12240" w:h="15840"/>
      <w:pgMar w:top="1134" w:right="1440" w:bottom="1134"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7161" w14:textId="77777777" w:rsidR="009F790D" w:rsidRDefault="009F790D">
      <w:pPr>
        <w:spacing w:line="240" w:lineRule="auto"/>
      </w:pPr>
    </w:p>
  </w:endnote>
  <w:endnote w:type="continuationSeparator" w:id="0">
    <w:p w14:paraId="045425AC" w14:textId="77777777" w:rsidR="009F790D" w:rsidRDefault="009F79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7FF6" w14:textId="249955F4" w:rsidR="00390547" w:rsidRDefault="00390547" w:rsidP="00983440">
    <w:pPr>
      <w:pStyle w:val="NormalWeb"/>
    </w:pPr>
    <w:r>
      <w:rPr>
        <w:vertAlign w:val="superscript"/>
      </w:rPr>
      <w:t>1</w:t>
    </w:r>
    <w:r w:rsidRPr="005376BE">
      <w:t xml:space="preserve">Pgatour.com. (n.d.). </w:t>
    </w:r>
    <w:r w:rsidRPr="005376BE">
      <w:rPr>
        <w:i/>
        <w:iCs/>
      </w:rPr>
      <w:t>Golf stat and records: PGA tour</w:t>
    </w:r>
    <w:r w:rsidRPr="005376BE">
      <w:t xml:space="preserve">. </w:t>
    </w:r>
    <w:proofErr w:type="spellStart"/>
    <w:r w:rsidRPr="005376BE">
      <w:t>PGATour</w:t>
    </w:r>
    <w:proofErr w:type="spellEnd"/>
    <w:r w:rsidRPr="005376BE">
      <w:t>. Retrieved October 21, 2022,</w:t>
    </w:r>
    <w:r>
      <w:t xml:space="preserve"> </w:t>
    </w:r>
    <w:r w:rsidRPr="005376BE">
      <w:t xml:space="preserve">from </w:t>
    </w:r>
    <w:hyperlink r:id="rId1" w:history="1">
      <w:r w:rsidR="00983440" w:rsidRPr="003D4DE5">
        <w:rPr>
          <w:rStyle w:val="Hyperlink"/>
        </w:rPr>
        <w:t>https://www.pgatour.com/stats.html</w:t>
      </w:r>
    </w:hyperlink>
  </w:p>
  <w:p w14:paraId="6DC30DEF" w14:textId="19EA7E9C" w:rsidR="00983440" w:rsidRDefault="00983440" w:rsidP="00983440">
    <w:pPr>
      <w:pStyle w:val="NormalWeb"/>
    </w:pPr>
    <w:r>
      <w:rPr>
        <w:vertAlign w:val="superscript"/>
      </w:rPr>
      <w:t>2</w:t>
    </w:r>
    <w:r w:rsidRPr="00983440">
      <w:rPr>
        <w:i/>
        <w:iCs/>
      </w:rPr>
      <w:t xml:space="preserve"> </w:t>
    </w:r>
    <w:r>
      <w:rPr>
        <w:i/>
        <w:iCs/>
      </w:rPr>
      <w:t>How to measure the accuracy of predictive models</w:t>
    </w:r>
    <w:r>
      <w:t xml:space="preserve">. Acheron Analytics. (2018, May 28). Retrieved November 20, 2022, from </w:t>
    </w:r>
    <w:hyperlink r:id="rId2" w:history="1">
      <w:r w:rsidRPr="00EB018A">
        <w:rPr>
          <w:rStyle w:val="Hyperlink"/>
        </w:rPr>
        <w:t>http://www.acheronanalytics.com/acheron-blog/how-to-measure-the-accuracy-of-predictive-models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8D1B" w14:textId="77777777" w:rsidR="009F790D" w:rsidRDefault="009F790D">
      <w:pPr>
        <w:spacing w:line="240" w:lineRule="auto"/>
      </w:pPr>
    </w:p>
  </w:footnote>
  <w:footnote w:type="continuationSeparator" w:id="0">
    <w:p w14:paraId="233FA465" w14:textId="77777777" w:rsidR="009F790D" w:rsidRDefault="009F790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19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36947"/>
    <w:multiLevelType w:val="hybridMultilevel"/>
    <w:tmpl w:val="1BCA9164"/>
    <w:lvl w:ilvl="0" w:tplc="10090017">
      <w:start w:val="1"/>
      <w:numFmt w:val="lowerLetter"/>
      <w:lvlText w:val="%1)"/>
      <w:lvlJc w:val="left"/>
      <w:pPr>
        <w:ind w:left="1931" w:hanging="360"/>
      </w:pPr>
    </w:lvl>
    <w:lvl w:ilvl="1" w:tplc="10090019" w:tentative="1">
      <w:start w:val="1"/>
      <w:numFmt w:val="lowerLetter"/>
      <w:lvlText w:val="%2."/>
      <w:lvlJc w:val="left"/>
      <w:pPr>
        <w:ind w:left="2651" w:hanging="360"/>
      </w:pPr>
    </w:lvl>
    <w:lvl w:ilvl="2" w:tplc="1009001B" w:tentative="1">
      <w:start w:val="1"/>
      <w:numFmt w:val="lowerRoman"/>
      <w:lvlText w:val="%3."/>
      <w:lvlJc w:val="right"/>
      <w:pPr>
        <w:ind w:left="3371" w:hanging="180"/>
      </w:pPr>
    </w:lvl>
    <w:lvl w:ilvl="3" w:tplc="1009000F" w:tentative="1">
      <w:start w:val="1"/>
      <w:numFmt w:val="decimal"/>
      <w:lvlText w:val="%4."/>
      <w:lvlJc w:val="left"/>
      <w:pPr>
        <w:ind w:left="4091" w:hanging="360"/>
      </w:pPr>
    </w:lvl>
    <w:lvl w:ilvl="4" w:tplc="10090019" w:tentative="1">
      <w:start w:val="1"/>
      <w:numFmt w:val="lowerLetter"/>
      <w:lvlText w:val="%5."/>
      <w:lvlJc w:val="left"/>
      <w:pPr>
        <w:ind w:left="4811" w:hanging="360"/>
      </w:pPr>
    </w:lvl>
    <w:lvl w:ilvl="5" w:tplc="1009001B" w:tentative="1">
      <w:start w:val="1"/>
      <w:numFmt w:val="lowerRoman"/>
      <w:lvlText w:val="%6."/>
      <w:lvlJc w:val="right"/>
      <w:pPr>
        <w:ind w:left="5531" w:hanging="180"/>
      </w:pPr>
    </w:lvl>
    <w:lvl w:ilvl="6" w:tplc="1009000F" w:tentative="1">
      <w:start w:val="1"/>
      <w:numFmt w:val="decimal"/>
      <w:lvlText w:val="%7."/>
      <w:lvlJc w:val="left"/>
      <w:pPr>
        <w:ind w:left="6251" w:hanging="360"/>
      </w:pPr>
    </w:lvl>
    <w:lvl w:ilvl="7" w:tplc="10090019" w:tentative="1">
      <w:start w:val="1"/>
      <w:numFmt w:val="lowerLetter"/>
      <w:lvlText w:val="%8."/>
      <w:lvlJc w:val="left"/>
      <w:pPr>
        <w:ind w:left="6971" w:hanging="360"/>
      </w:pPr>
    </w:lvl>
    <w:lvl w:ilvl="8" w:tplc="1009001B" w:tentative="1">
      <w:start w:val="1"/>
      <w:numFmt w:val="lowerRoman"/>
      <w:lvlText w:val="%9."/>
      <w:lvlJc w:val="right"/>
      <w:pPr>
        <w:ind w:left="7691" w:hanging="180"/>
      </w:pPr>
    </w:lvl>
  </w:abstractNum>
  <w:abstractNum w:abstractNumId="2" w15:restartNumberingAfterBreak="0">
    <w:nsid w:val="09FE1949"/>
    <w:multiLevelType w:val="hybridMultilevel"/>
    <w:tmpl w:val="6832C4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FD678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E81D31"/>
    <w:multiLevelType w:val="multilevel"/>
    <w:tmpl w:val="10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B07D81"/>
    <w:multiLevelType w:val="hybridMultilevel"/>
    <w:tmpl w:val="374CB0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981D11"/>
    <w:multiLevelType w:val="hybridMultilevel"/>
    <w:tmpl w:val="A824F51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1E6BC6"/>
    <w:multiLevelType w:val="hybridMultilevel"/>
    <w:tmpl w:val="B7724546"/>
    <w:lvl w:ilvl="0" w:tplc="10090013">
      <w:start w:val="1"/>
      <w:numFmt w:val="upperRoman"/>
      <w:lvlText w:val="%1."/>
      <w:lvlJc w:val="right"/>
      <w:pPr>
        <w:ind w:left="1512" w:hanging="360"/>
      </w:pPr>
    </w:lvl>
    <w:lvl w:ilvl="1" w:tplc="10090019">
      <w:start w:val="1"/>
      <w:numFmt w:val="lowerLetter"/>
      <w:lvlText w:val="%2."/>
      <w:lvlJc w:val="left"/>
      <w:pPr>
        <w:ind w:left="2232" w:hanging="360"/>
      </w:pPr>
    </w:lvl>
    <w:lvl w:ilvl="2" w:tplc="1009001B">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abstractNum w:abstractNumId="8" w15:restartNumberingAfterBreak="0">
    <w:nsid w:val="458070B8"/>
    <w:multiLevelType w:val="hybridMultilevel"/>
    <w:tmpl w:val="374CB0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2D171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261D5"/>
    <w:multiLevelType w:val="hybridMultilevel"/>
    <w:tmpl w:val="F740F256"/>
    <w:lvl w:ilvl="0" w:tplc="1009000F">
      <w:start w:val="1"/>
      <w:numFmt w:val="decimal"/>
      <w:lvlText w:val="%1."/>
      <w:lvlJc w:val="left"/>
      <w:pPr>
        <w:ind w:left="1364" w:hanging="360"/>
      </w:pPr>
    </w:lvl>
    <w:lvl w:ilvl="1" w:tplc="10090019" w:tentative="1">
      <w:start w:val="1"/>
      <w:numFmt w:val="lowerLetter"/>
      <w:lvlText w:val="%2."/>
      <w:lvlJc w:val="left"/>
      <w:pPr>
        <w:ind w:left="2084" w:hanging="360"/>
      </w:pPr>
    </w:lvl>
    <w:lvl w:ilvl="2" w:tplc="1009001B" w:tentative="1">
      <w:start w:val="1"/>
      <w:numFmt w:val="lowerRoman"/>
      <w:lvlText w:val="%3."/>
      <w:lvlJc w:val="right"/>
      <w:pPr>
        <w:ind w:left="2804" w:hanging="180"/>
      </w:pPr>
    </w:lvl>
    <w:lvl w:ilvl="3" w:tplc="1009000F" w:tentative="1">
      <w:start w:val="1"/>
      <w:numFmt w:val="decimal"/>
      <w:lvlText w:val="%4."/>
      <w:lvlJc w:val="left"/>
      <w:pPr>
        <w:ind w:left="3524" w:hanging="360"/>
      </w:pPr>
    </w:lvl>
    <w:lvl w:ilvl="4" w:tplc="10090019" w:tentative="1">
      <w:start w:val="1"/>
      <w:numFmt w:val="lowerLetter"/>
      <w:lvlText w:val="%5."/>
      <w:lvlJc w:val="left"/>
      <w:pPr>
        <w:ind w:left="4244" w:hanging="360"/>
      </w:pPr>
    </w:lvl>
    <w:lvl w:ilvl="5" w:tplc="1009001B" w:tentative="1">
      <w:start w:val="1"/>
      <w:numFmt w:val="lowerRoman"/>
      <w:lvlText w:val="%6."/>
      <w:lvlJc w:val="right"/>
      <w:pPr>
        <w:ind w:left="4964" w:hanging="180"/>
      </w:pPr>
    </w:lvl>
    <w:lvl w:ilvl="6" w:tplc="1009000F" w:tentative="1">
      <w:start w:val="1"/>
      <w:numFmt w:val="decimal"/>
      <w:lvlText w:val="%7."/>
      <w:lvlJc w:val="left"/>
      <w:pPr>
        <w:ind w:left="5684" w:hanging="360"/>
      </w:pPr>
    </w:lvl>
    <w:lvl w:ilvl="7" w:tplc="10090019" w:tentative="1">
      <w:start w:val="1"/>
      <w:numFmt w:val="lowerLetter"/>
      <w:lvlText w:val="%8."/>
      <w:lvlJc w:val="left"/>
      <w:pPr>
        <w:ind w:left="6404" w:hanging="360"/>
      </w:pPr>
    </w:lvl>
    <w:lvl w:ilvl="8" w:tplc="1009001B" w:tentative="1">
      <w:start w:val="1"/>
      <w:numFmt w:val="lowerRoman"/>
      <w:lvlText w:val="%9."/>
      <w:lvlJc w:val="right"/>
      <w:pPr>
        <w:ind w:left="7124" w:hanging="180"/>
      </w:pPr>
    </w:lvl>
  </w:abstractNum>
  <w:num w:numId="1" w16cid:durableId="74669883">
    <w:abstractNumId w:val="4"/>
  </w:num>
  <w:num w:numId="2" w16cid:durableId="1985502957">
    <w:abstractNumId w:val="0"/>
  </w:num>
  <w:num w:numId="3" w16cid:durableId="1084031491">
    <w:abstractNumId w:val="9"/>
  </w:num>
  <w:num w:numId="4" w16cid:durableId="1571110689">
    <w:abstractNumId w:val="3"/>
  </w:num>
  <w:num w:numId="5" w16cid:durableId="1880314359">
    <w:abstractNumId w:val="7"/>
  </w:num>
  <w:num w:numId="6" w16cid:durableId="823349726">
    <w:abstractNumId w:val="1"/>
  </w:num>
  <w:num w:numId="7" w16cid:durableId="982778950">
    <w:abstractNumId w:val="6"/>
  </w:num>
  <w:num w:numId="8" w16cid:durableId="1867910056">
    <w:abstractNumId w:val="10"/>
  </w:num>
  <w:num w:numId="9" w16cid:durableId="33190054">
    <w:abstractNumId w:val="5"/>
  </w:num>
  <w:num w:numId="10" w16cid:durableId="1776749078">
    <w:abstractNumId w:val="8"/>
  </w:num>
  <w:num w:numId="11" w16cid:durableId="1655329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bS0NDQ3MjWwtDBX0lEKTi0uzszPAykwNKkFAKeBblstAAAA"/>
  </w:docVars>
  <w:rsids>
    <w:rsidRoot w:val="000F4C29"/>
    <w:rsid w:val="000006D6"/>
    <w:rsid w:val="00004CFA"/>
    <w:rsid w:val="000357F5"/>
    <w:rsid w:val="000805DD"/>
    <w:rsid w:val="00086F9D"/>
    <w:rsid w:val="00095105"/>
    <w:rsid w:val="000A1CAF"/>
    <w:rsid w:val="000B4718"/>
    <w:rsid w:val="000D0EAB"/>
    <w:rsid w:val="000F220D"/>
    <w:rsid w:val="000F4C29"/>
    <w:rsid w:val="00114B88"/>
    <w:rsid w:val="00147405"/>
    <w:rsid w:val="00150520"/>
    <w:rsid w:val="00150E86"/>
    <w:rsid w:val="001D52AD"/>
    <w:rsid w:val="001F5E96"/>
    <w:rsid w:val="00250DE9"/>
    <w:rsid w:val="0025316D"/>
    <w:rsid w:val="00267CB8"/>
    <w:rsid w:val="00272E96"/>
    <w:rsid w:val="002A5EFB"/>
    <w:rsid w:val="002B4F52"/>
    <w:rsid w:val="002D337D"/>
    <w:rsid w:val="002D3D6B"/>
    <w:rsid w:val="002E1318"/>
    <w:rsid w:val="002E4DCA"/>
    <w:rsid w:val="002E6D28"/>
    <w:rsid w:val="002E7294"/>
    <w:rsid w:val="003156A3"/>
    <w:rsid w:val="00325F90"/>
    <w:rsid w:val="003524C6"/>
    <w:rsid w:val="00382B38"/>
    <w:rsid w:val="00383F9B"/>
    <w:rsid w:val="00390547"/>
    <w:rsid w:val="003A68A4"/>
    <w:rsid w:val="003A7B41"/>
    <w:rsid w:val="003C24F2"/>
    <w:rsid w:val="003D335C"/>
    <w:rsid w:val="003F4C57"/>
    <w:rsid w:val="004143F4"/>
    <w:rsid w:val="00414B0A"/>
    <w:rsid w:val="00415C17"/>
    <w:rsid w:val="00435CCD"/>
    <w:rsid w:val="004416CC"/>
    <w:rsid w:val="00444937"/>
    <w:rsid w:val="00461F37"/>
    <w:rsid w:val="00494517"/>
    <w:rsid w:val="004B3814"/>
    <w:rsid w:val="004C2AF7"/>
    <w:rsid w:val="004C36B2"/>
    <w:rsid w:val="004F3917"/>
    <w:rsid w:val="004F3DC6"/>
    <w:rsid w:val="004F415E"/>
    <w:rsid w:val="0050362A"/>
    <w:rsid w:val="0052074F"/>
    <w:rsid w:val="005376BE"/>
    <w:rsid w:val="0054055D"/>
    <w:rsid w:val="005540C5"/>
    <w:rsid w:val="00585045"/>
    <w:rsid w:val="005B07C3"/>
    <w:rsid w:val="005D77D2"/>
    <w:rsid w:val="005F750A"/>
    <w:rsid w:val="006075C9"/>
    <w:rsid w:val="00623A10"/>
    <w:rsid w:val="006332D8"/>
    <w:rsid w:val="0065769A"/>
    <w:rsid w:val="00662870"/>
    <w:rsid w:val="00670EDE"/>
    <w:rsid w:val="00685A3A"/>
    <w:rsid w:val="00686A68"/>
    <w:rsid w:val="006872D7"/>
    <w:rsid w:val="006949AC"/>
    <w:rsid w:val="006A3167"/>
    <w:rsid w:val="006B1775"/>
    <w:rsid w:val="006B5718"/>
    <w:rsid w:val="0071415A"/>
    <w:rsid w:val="007473A2"/>
    <w:rsid w:val="007557D4"/>
    <w:rsid w:val="00757587"/>
    <w:rsid w:val="007826BA"/>
    <w:rsid w:val="007E2C06"/>
    <w:rsid w:val="007F2A53"/>
    <w:rsid w:val="008039C2"/>
    <w:rsid w:val="00815F60"/>
    <w:rsid w:val="00852D1C"/>
    <w:rsid w:val="00863628"/>
    <w:rsid w:val="008651BA"/>
    <w:rsid w:val="00877846"/>
    <w:rsid w:val="00884B80"/>
    <w:rsid w:val="008A1105"/>
    <w:rsid w:val="008A5226"/>
    <w:rsid w:val="008C3D90"/>
    <w:rsid w:val="008D062F"/>
    <w:rsid w:val="008D7862"/>
    <w:rsid w:val="008F0A81"/>
    <w:rsid w:val="00901A46"/>
    <w:rsid w:val="00902204"/>
    <w:rsid w:val="009515D8"/>
    <w:rsid w:val="00983440"/>
    <w:rsid w:val="009949FD"/>
    <w:rsid w:val="009B20E9"/>
    <w:rsid w:val="009B361E"/>
    <w:rsid w:val="009B37DC"/>
    <w:rsid w:val="009B6BA7"/>
    <w:rsid w:val="009B6EEC"/>
    <w:rsid w:val="009D506E"/>
    <w:rsid w:val="009E5666"/>
    <w:rsid w:val="009E617B"/>
    <w:rsid w:val="009F790D"/>
    <w:rsid w:val="00A30254"/>
    <w:rsid w:val="00A32879"/>
    <w:rsid w:val="00A37F70"/>
    <w:rsid w:val="00A67C1F"/>
    <w:rsid w:val="00A863B3"/>
    <w:rsid w:val="00A87D7C"/>
    <w:rsid w:val="00AC3A0C"/>
    <w:rsid w:val="00AD7E2D"/>
    <w:rsid w:val="00AF1C51"/>
    <w:rsid w:val="00AF4B83"/>
    <w:rsid w:val="00B0140F"/>
    <w:rsid w:val="00B11918"/>
    <w:rsid w:val="00B156CE"/>
    <w:rsid w:val="00B2454B"/>
    <w:rsid w:val="00B26F11"/>
    <w:rsid w:val="00B317AC"/>
    <w:rsid w:val="00B47112"/>
    <w:rsid w:val="00B50D07"/>
    <w:rsid w:val="00B52EF8"/>
    <w:rsid w:val="00B5397F"/>
    <w:rsid w:val="00B546E0"/>
    <w:rsid w:val="00B615EB"/>
    <w:rsid w:val="00B77C2D"/>
    <w:rsid w:val="00B845BC"/>
    <w:rsid w:val="00B97017"/>
    <w:rsid w:val="00BA1F8B"/>
    <w:rsid w:val="00BB35B0"/>
    <w:rsid w:val="00BD456F"/>
    <w:rsid w:val="00C231A2"/>
    <w:rsid w:val="00C64FFA"/>
    <w:rsid w:val="00CD7E87"/>
    <w:rsid w:val="00CE50AD"/>
    <w:rsid w:val="00D01D89"/>
    <w:rsid w:val="00D02C8C"/>
    <w:rsid w:val="00D02FD4"/>
    <w:rsid w:val="00D05D84"/>
    <w:rsid w:val="00D4591A"/>
    <w:rsid w:val="00D60EE2"/>
    <w:rsid w:val="00D648A6"/>
    <w:rsid w:val="00DA002B"/>
    <w:rsid w:val="00DA4A4D"/>
    <w:rsid w:val="00DA6519"/>
    <w:rsid w:val="00DB2F8E"/>
    <w:rsid w:val="00DC77F7"/>
    <w:rsid w:val="00DD69F5"/>
    <w:rsid w:val="00E1464D"/>
    <w:rsid w:val="00E34FFF"/>
    <w:rsid w:val="00E36F6D"/>
    <w:rsid w:val="00E67332"/>
    <w:rsid w:val="00E7322E"/>
    <w:rsid w:val="00E73FEC"/>
    <w:rsid w:val="00E81AF0"/>
    <w:rsid w:val="00EB1C14"/>
    <w:rsid w:val="00EB3D7E"/>
    <w:rsid w:val="00ED4333"/>
    <w:rsid w:val="00EF33BA"/>
    <w:rsid w:val="00EF36BE"/>
    <w:rsid w:val="00F10582"/>
    <w:rsid w:val="00F4326A"/>
    <w:rsid w:val="00F43D16"/>
    <w:rsid w:val="00F517DB"/>
    <w:rsid w:val="00F61B32"/>
    <w:rsid w:val="00F63842"/>
    <w:rsid w:val="00FA6A8F"/>
    <w:rsid w:val="00FC550C"/>
    <w:rsid w:val="00FE2006"/>
    <w:rsid w:val="00FF2A0F"/>
    <w:rsid w:val="00FF30F7"/>
    <w:rsid w:val="00FF6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F6B6"/>
  <w15:chartTrackingRefBased/>
  <w15:docId w15:val="{828B5D45-8B5B-4EA7-BCCF-E7FB3C3B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6E0"/>
    <w:pPr>
      <w:spacing w:before="100" w:beforeAutospacing="1" w:after="100" w:afterAutospacing="1" w:line="240" w:lineRule="auto"/>
    </w:pPr>
    <w:rPr>
      <w:rFonts w:eastAsia="Times New Roman"/>
      <w:lang w:eastAsia="en-CA"/>
    </w:rPr>
  </w:style>
  <w:style w:type="character" w:styleId="Hyperlink">
    <w:name w:val="Hyperlink"/>
    <w:basedOn w:val="DefaultParagraphFont"/>
    <w:uiPriority w:val="99"/>
    <w:unhideWhenUsed/>
    <w:rsid w:val="00A863B3"/>
    <w:rPr>
      <w:color w:val="0563C1" w:themeColor="hyperlink"/>
      <w:u w:val="single"/>
    </w:rPr>
  </w:style>
  <w:style w:type="character" w:styleId="UnresolvedMention">
    <w:name w:val="Unresolved Mention"/>
    <w:basedOn w:val="DefaultParagraphFont"/>
    <w:uiPriority w:val="99"/>
    <w:semiHidden/>
    <w:unhideWhenUsed/>
    <w:rsid w:val="00A863B3"/>
    <w:rPr>
      <w:color w:val="605E5C"/>
      <w:shd w:val="clear" w:color="auto" w:fill="E1DFDD"/>
    </w:rPr>
  </w:style>
  <w:style w:type="paragraph" w:styleId="ListParagraph">
    <w:name w:val="List Paragraph"/>
    <w:basedOn w:val="Normal"/>
    <w:uiPriority w:val="34"/>
    <w:qFormat/>
    <w:rsid w:val="007473A2"/>
    <w:pPr>
      <w:ind w:left="720"/>
      <w:contextualSpacing/>
    </w:pPr>
  </w:style>
  <w:style w:type="character" w:styleId="PlaceholderText">
    <w:name w:val="Placeholder Text"/>
    <w:basedOn w:val="DefaultParagraphFont"/>
    <w:uiPriority w:val="99"/>
    <w:semiHidden/>
    <w:rsid w:val="000D0EAB"/>
    <w:rPr>
      <w:color w:val="808080"/>
    </w:rPr>
  </w:style>
  <w:style w:type="character" w:customStyle="1" w:styleId="personname">
    <w:name w:val="person_name"/>
    <w:basedOn w:val="DefaultParagraphFont"/>
    <w:rsid w:val="009D506E"/>
  </w:style>
  <w:style w:type="character" w:styleId="Emphasis">
    <w:name w:val="Emphasis"/>
    <w:basedOn w:val="DefaultParagraphFont"/>
    <w:uiPriority w:val="20"/>
    <w:qFormat/>
    <w:rsid w:val="009D506E"/>
    <w:rPr>
      <w:i/>
      <w:iCs/>
    </w:rPr>
  </w:style>
  <w:style w:type="table" w:styleId="TableGrid">
    <w:name w:val="Table Grid"/>
    <w:basedOn w:val="TableNormal"/>
    <w:uiPriority w:val="39"/>
    <w:rsid w:val="00B845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006D6"/>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D648A6"/>
    <w:rPr>
      <w:sz w:val="16"/>
      <w:szCs w:val="16"/>
    </w:rPr>
  </w:style>
  <w:style w:type="paragraph" w:styleId="CommentText">
    <w:name w:val="annotation text"/>
    <w:basedOn w:val="Normal"/>
    <w:link w:val="CommentTextChar"/>
    <w:uiPriority w:val="99"/>
    <w:unhideWhenUsed/>
    <w:rsid w:val="00D648A6"/>
    <w:pPr>
      <w:spacing w:line="240" w:lineRule="auto"/>
    </w:pPr>
    <w:rPr>
      <w:sz w:val="20"/>
      <w:szCs w:val="20"/>
    </w:rPr>
  </w:style>
  <w:style w:type="character" w:customStyle="1" w:styleId="CommentTextChar">
    <w:name w:val="Comment Text Char"/>
    <w:basedOn w:val="DefaultParagraphFont"/>
    <w:link w:val="CommentText"/>
    <w:uiPriority w:val="99"/>
    <w:rsid w:val="00D648A6"/>
    <w:rPr>
      <w:sz w:val="20"/>
      <w:szCs w:val="20"/>
    </w:rPr>
  </w:style>
  <w:style w:type="paragraph" w:styleId="CommentSubject">
    <w:name w:val="annotation subject"/>
    <w:basedOn w:val="CommentText"/>
    <w:next w:val="CommentText"/>
    <w:link w:val="CommentSubjectChar"/>
    <w:uiPriority w:val="99"/>
    <w:semiHidden/>
    <w:unhideWhenUsed/>
    <w:rsid w:val="00D648A6"/>
    <w:rPr>
      <w:b/>
      <w:bCs/>
    </w:rPr>
  </w:style>
  <w:style w:type="character" w:customStyle="1" w:styleId="CommentSubjectChar">
    <w:name w:val="Comment Subject Char"/>
    <w:basedOn w:val="CommentTextChar"/>
    <w:link w:val="CommentSubject"/>
    <w:uiPriority w:val="99"/>
    <w:semiHidden/>
    <w:rsid w:val="00D648A6"/>
    <w:rPr>
      <w:b/>
      <w:bCs/>
      <w:sz w:val="20"/>
      <w:szCs w:val="20"/>
    </w:rPr>
  </w:style>
  <w:style w:type="character" w:customStyle="1" w:styleId="normaltextrun">
    <w:name w:val="normaltextrun"/>
    <w:basedOn w:val="DefaultParagraphFont"/>
    <w:rsid w:val="002B4F52"/>
  </w:style>
  <w:style w:type="paragraph" w:styleId="Header">
    <w:name w:val="header"/>
    <w:basedOn w:val="Normal"/>
    <w:link w:val="HeaderChar"/>
    <w:uiPriority w:val="99"/>
    <w:unhideWhenUsed/>
    <w:rsid w:val="002D337D"/>
    <w:pPr>
      <w:tabs>
        <w:tab w:val="center" w:pos="4680"/>
        <w:tab w:val="right" w:pos="9360"/>
      </w:tabs>
      <w:spacing w:line="240" w:lineRule="auto"/>
    </w:pPr>
  </w:style>
  <w:style w:type="character" w:customStyle="1" w:styleId="HeaderChar">
    <w:name w:val="Header Char"/>
    <w:basedOn w:val="DefaultParagraphFont"/>
    <w:link w:val="Header"/>
    <w:uiPriority w:val="99"/>
    <w:rsid w:val="002D337D"/>
  </w:style>
  <w:style w:type="paragraph" w:styleId="Footer">
    <w:name w:val="footer"/>
    <w:basedOn w:val="Normal"/>
    <w:link w:val="FooterChar"/>
    <w:uiPriority w:val="99"/>
    <w:unhideWhenUsed/>
    <w:rsid w:val="002D337D"/>
    <w:pPr>
      <w:tabs>
        <w:tab w:val="center" w:pos="4680"/>
        <w:tab w:val="right" w:pos="9360"/>
      </w:tabs>
      <w:spacing w:line="240" w:lineRule="auto"/>
    </w:pPr>
  </w:style>
  <w:style w:type="character" w:customStyle="1" w:styleId="FooterChar">
    <w:name w:val="Footer Char"/>
    <w:basedOn w:val="DefaultParagraphFont"/>
    <w:link w:val="Footer"/>
    <w:uiPriority w:val="99"/>
    <w:rsid w:val="002D337D"/>
  </w:style>
  <w:style w:type="paragraph" w:styleId="Revision">
    <w:name w:val="Revision"/>
    <w:hidden/>
    <w:uiPriority w:val="99"/>
    <w:semiHidden/>
    <w:rsid w:val="00D01D8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188">
      <w:bodyDiv w:val="1"/>
      <w:marLeft w:val="0"/>
      <w:marRight w:val="0"/>
      <w:marTop w:val="0"/>
      <w:marBottom w:val="0"/>
      <w:divBdr>
        <w:top w:val="none" w:sz="0" w:space="0" w:color="auto"/>
        <w:left w:val="none" w:sz="0" w:space="0" w:color="auto"/>
        <w:bottom w:val="none" w:sz="0" w:space="0" w:color="auto"/>
        <w:right w:val="none" w:sz="0" w:space="0" w:color="auto"/>
      </w:divBdr>
    </w:div>
    <w:div w:id="494537553">
      <w:bodyDiv w:val="1"/>
      <w:marLeft w:val="0"/>
      <w:marRight w:val="0"/>
      <w:marTop w:val="0"/>
      <w:marBottom w:val="0"/>
      <w:divBdr>
        <w:top w:val="none" w:sz="0" w:space="0" w:color="auto"/>
        <w:left w:val="none" w:sz="0" w:space="0" w:color="auto"/>
        <w:bottom w:val="none" w:sz="0" w:space="0" w:color="auto"/>
        <w:right w:val="none" w:sz="0" w:space="0" w:color="auto"/>
      </w:divBdr>
      <w:divsChild>
        <w:div w:id="317462863">
          <w:marLeft w:val="0"/>
          <w:marRight w:val="0"/>
          <w:marTop w:val="0"/>
          <w:marBottom w:val="0"/>
          <w:divBdr>
            <w:top w:val="none" w:sz="0" w:space="0" w:color="auto"/>
            <w:left w:val="none" w:sz="0" w:space="0" w:color="auto"/>
            <w:bottom w:val="none" w:sz="0" w:space="0" w:color="auto"/>
            <w:right w:val="none" w:sz="0" w:space="0" w:color="auto"/>
          </w:divBdr>
          <w:divsChild>
            <w:div w:id="2128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3418">
      <w:bodyDiv w:val="1"/>
      <w:marLeft w:val="0"/>
      <w:marRight w:val="0"/>
      <w:marTop w:val="0"/>
      <w:marBottom w:val="0"/>
      <w:divBdr>
        <w:top w:val="none" w:sz="0" w:space="0" w:color="auto"/>
        <w:left w:val="none" w:sz="0" w:space="0" w:color="auto"/>
        <w:bottom w:val="none" w:sz="0" w:space="0" w:color="auto"/>
        <w:right w:val="none" w:sz="0" w:space="0" w:color="auto"/>
      </w:divBdr>
    </w:div>
    <w:div w:id="923949456">
      <w:bodyDiv w:val="1"/>
      <w:marLeft w:val="0"/>
      <w:marRight w:val="0"/>
      <w:marTop w:val="0"/>
      <w:marBottom w:val="0"/>
      <w:divBdr>
        <w:top w:val="none" w:sz="0" w:space="0" w:color="auto"/>
        <w:left w:val="none" w:sz="0" w:space="0" w:color="auto"/>
        <w:bottom w:val="none" w:sz="0" w:space="0" w:color="auto"/>
        <w:right w:val="none" w:sz="0" w:space="0" w:color="auto"/>
      </w:divBdr>
    </w:div>
    <w:div w:id="978921317">
      <w:bodyDiv w:val="1"/>
      <w:marLeft w:val="0"/>
      <w:marRight w:val="0"/>
      <w:marTop w:val="0"/>
      <w:marBottom w:val="0"/>
      <w:divBdr>
        <w:top w:val="none" w:sz="0" w:space="0" w:color="auto"/>
        <w:left w:val="none" w:sz="0" w:space="0" w:color="auto"/>
        <w:bottom w:val="none" w:sz="0" w:space="0" w:color="auto"/>
        <w:right w:val="none" w:sz="0" w:space="0" w:color="auto"/>
      </w:divBdr>
    </w:div>
    <w:div w:id="1063335274">
      <w:bodyDiv w:val="1"/>
      <w:marLeft w:val="0"/>
      <w:marRight w:val="0"/>
      <w:marTop w:val="0"/>
      <w:marBottom w:val="0"/>
      <w:divBdr>
        <w:top w:val="none" w:sz="0" w:space="0" w:color="auto"/>
        <w:left w:val="none" w:sz="0" w:space="0" w:color="auto"/>
        <w:bottom w:val="none" w:sz="0" w:space="0" w:color="auto"/>
        <w:right w:val="none" w:sz="0" w:space="0" w:color="auto"/>
      </w:divBdr>
      <w:divsChild>
        <w:div w:id="822430740">
          <w:marLeft w:val="0"/>
          <w:marRight w:val="0"/>
          <w:marTop w:val="0"/>
          <w:marBottom w:val="0"/>
          <w:divBdr>
            <w:top w:val="none" w:sz="0" w:space="0" w:color="auto"/>
            <w:left w:val="none" w:sz="0" w:space="0" w:color="auto"/>
            <w:bottom w:val="none" w:sz="0" w:space="0" w:color="auto"/>
            <w:right w:val="none" w:sz="0" w:space="0" w:color="auto"/>
          </w:divBdr>
          <w:divsChild>
            <w:div w:id="14115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9774">
      <w:bodyDiv w:val="1"/>
      <w:marLeft w:val="0"/>
      <w:marRight w:val="0"/>
      <w:marTop w:val="0"/>
      <w:marBottom w:val="0"/>
      <w:divBdr>
        <w:top w:val="none" w:sz="0" w:space="0" w:color="auto"/>
        <w:left w:val="none" w:sz="0" w:space="0" w:color="auto"/>
        <w:bottom w:val="none" w:sz="0" w:space="0" w:color="auto"/>
        <w:right w:val="none" w:sz="0" w:space="0" w:color="auto"/>
      </w:divBdr>
    </w:div>
    <w:div w:id="1180116940">
      <w:bodyDiv w:val="1"/>
      <w:marLeft w:val="0"/>
      <w:marRight w:val="0"/>
      <w:marTop w:val="0"/>
      <w:marBottom w:val="0"/>
      <w:divBdr>
        <w:top w:val="none" w:sz="0" w:space="0" w:color="auto"/>
        <w:left w:val="none" w:sz="0" w:space="0" w:color="auto"/>
        <w:bottom w:val="none" w:sz="0" w:space="0" w:color="auto"/>
        <w:right w:val="none" w:sz="0" w:space="0" w:color="auto"/>
      </w:divBdr>
    </w:div>
    <w:div w:id="1603101425">
      <w:bodyDiv w:val="1"/>
      <w:marLeft w:val="0"/>
      <w:marRight w:val="0"/>
      <w:marTop w:val="0"/>
      <w:marBottom w:val="0"/>
      <w:divBdr>
        <w:top w:val="none" w:sz="0" w:space="0" w:color="auto"/>
        <w:left w:val="none" w:sz="0" w:space="0" w:color="auto"/>
        <w:bottom w:val="none" w:sz="0" w:space="0" w:color="auto"/>
        <w:right w:val="none" w:sz="0" w:space="0" w:color="auto"/>
      </w:divBdr>
      <w:divsChild>
        <w:div w:id="239798046">
          <w:marLeft w:val="0"/>
          <w:marRight w:val="0"/>
          <w:marTop w:val="0"/>
          <w:marBottom w:val="0"/>
          <w:divBdr>
            <w:top w:val="none" w:sz="0" w:space="0" w:color="auto"/>
            <w:left w:val="none" w:sz="0" w:space="0" w:color="auto"/>
            <w:bottom w:val="none" w:sz="0" w:space="0" w:color="auto"/>
            <w:right w:val="none" w:sz="0" w:space="0" w:color="auto"/>
          </w:divBdr>
          <w:divsChild>
            <w:div w:id="15465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278">
      <w:bodyDiv w:val="1"/>
      <w:marLeft w:val="0"/>
      <w:marRight w:val="0"/>
      <w:marTop w:val="0"/>
      <w:marBottom w:val="0"/>
      <w:divBdr>
        <w:top w:val="none" w:sz="0" w:space="0" w:color="auto"/>
        <w:left w:val="none" w:sz="0" w:space="0" w:color="auto"/>
        <w:bottom w:val="none" w:sz="0" w:space="0" w:color="auto"/>
        <w:right w:val="none" w:sz="0" w:space="0" w:color="auto"/>
      </w:divBdr>
      <w:divsChild>
        <w:div w:id="51005796">
          <w:marLeft w:val="0"/>
          <w:marRight w:val="0"/>
          <w:marTop w:val="0"/>
          <w:marBottom w:val="0"/>
          <w:divBdr>
            <w:top w:val="none" w:sz="0" w:space="0" w:color="auto"/>
            <w:left w:val="none" w:sz="0" w:space="0" w:color="auto"/>
            <w:bottom w:val="none" w:sz="0" w:space="0" w:color="auto"/>
            <w:right w:val="none" w:sz="0" w:space="0" w:color="auto"/>
          </w:divBdr>
          <w:divsChild>
            <w:div w:id="20222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23/ijgs.1.1.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3132-022-0091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87/inte.1120.062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acheronanalytics.com/acheron-blog/how-to-measure-the-accuracy-of-predictive-models" TargetMode="External"/><Relationship Id="rId1" Type="http://schemas.openxmlformats.org/officeDocument/2006/relationships/hyperlink" Target="https://www.pgatour.com/st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30F62-795A-4C9A-907E-E1FAE3E4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ARGIROPOULOS (CCOMTL)</dc:creator>
  <cp:keywords/>
  <dc:description/>
  <cp:lastModifiedBy>NIKOLAS ARGIROPOULOS (CCOMTL)</cp:lastModifiedBy>
  <cp:revision>13</cp:revision>
  <cp:lastPrinted>2022-12-08T02:44:00Z</cp:lastPrinted>
  <dcterms:created xsi:type="dcterms:W3CDTF">2022-12-08T02:14:00Z</dcterms:created>
  <dcterms:modified xsi:type="dcterms:W3CDTF">2022-12-08T02:49:00Z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2022-10-28T17:42:34Z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74cff97a-33df-4827-87e3-f0faf7afbb94</vt:lpwstr>
  </property>
  <property fmtid="{D5CDD505-2E9C-101B-9397-08002B2CF9AE}" pid="8" name="MSIP_Label_6a7d8d5d-78e2-4a62-9fcd-016eb5e4c57c_ContentBits">
    <vt:lpwstr>0</vt:lpwstr>
  </property>
</Properties>
</file>