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800" w:firstLine="0"/>
        <w:spacing w:before="0" w:after="108" w:line="240" w:lineRule="auto"/>
        <w:jc w:val="left"/>
        <w:tabs>
          <w:tab w:val="right" w:leader="none" w:pos="15490"/>
        </w:tabs>
        <w:rPr>
          <w:b w:val="true"/>
          <w:i w:val="true"/>
          <w:color w:val="#000000"/>
          <w:sz w:val="97"/>
          <w:lang w:val="en-US"/>
          <w:spacing w:val="-6"/>
          <w:w w:val="8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97"/>
          <w:lang w:val="en-US"/>
          <w:spacing w:val="-6"/>
          <w:w w:val="80"/>
          <w:strike w:val="false"/>
          <w:vertAlign w:val="baseline"/>
          <w:rFonts w:ascii="Verdana" w:hAnsi="Verdana"/>
        </w:rPr>
        <w:t xml:space="preserve">(,F</w:t>
      </w:r>
      <w:r>
        <w:rPr>
          <w:b w:val="true"/>
          <w:i w:val="true"/>
          <w:color w:val="#000000"/>
          <w:sz w:val="96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</w:t>
      </w:r>
      <w:r>
        <w:rPr>
          <w:b w:val="true"/>
          <w:i w:val="true"/>
          <w:color w:val="#000000"/>
          <w:sz w:val="97"/>
          <w:lang w:val="en-US"/>
          <w:spacing w:val="-6"/>
          <w:w w:val="80"/>
          <w:strike w:val="false"/>
          <w:vertAlign w:val="baseline"/>
          <w:rFonts w:ascii="Verdana" w:hAnsi="Verdana"/>
        </w:rPr>
        <w:t xml:space="preserve">deli</w:t>
      </w:r>
      <w:r>
        <w:rPr>
          <w:i w:val="true"/>
          <w:color w:val="#000000"/>
          <w:sz w:val="73"/>
          <w:lang w:val="en-US"/>
          <w:spacing w:val="-6"/>
          <w:w w:val="140"/>
          <w:strike w:val="false"/>
          <w:vertAlign w:val="baseline"/>
          <w:rFonts w:ascii="Tahoma" w:hAnsi="Tahoma"/>
        </w:rPr>
        <w:t xml:space="preserve">ty	</w:t>
      </w:r>
      <w:r>
        <w:rPr>
          <w:color w:val="#000000"/>
          <w:sz w:val="35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Investment Report</w:t>
      </w:r>
    </w:p>
    <w:p>
      <w:pPr>
        <w:ind w:right="0" w:left="12384" w:firstLine="0"/>
        <w:spacing w:before="0" w:after="1116" w:line="240" w:lineRule="auto"/>
        <w:jc w:val="left"/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December 1, 2011 - December 31, 2011</w:t>
      </w:r>
    </w:p>
    <w:p>
      <w:pPr>
        <w:sectPr>
          <w:pgSz w:w="20860" w:h="16040" w:orient="landscape"/>
          <w:type w:val="nextPage"/>
          <w:textDirection w:val="lrTb"/>
          <w:pgMar w:bottom="236" w:top="626" w:right="1240" w:left="1600" w:header="720" w:footer="720"/>
          <w:titlePg w:val="false"/>
        </w:sectPr>
      </w:pPr>
    </w:p>
    <w:p>
      <w:pPr>
        <w:ind w:right="0" w:left="0" w:firstLine="0"/>
        <w:spacing w:before="0" w:after="0" w:line="422" w:lineRule="exact"/>
        <w:jc w:val="left"/>
        <w:rPr>
          <w:color w:val="#000000"/>
          <w:sz w:val="35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5pt" strokecolor="#000001" from="196pt,34.25pt" to="294.55pt,34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5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Brokerage</w:t>
      </w:r>
    </w:p>
    <w:p>
      <w:pPr>
        <w:ind w:right="0" w:left="0" w:firstLine="0"/>
        <w:spacing w:before="0" w:after="0" w:line="296" w:lineRule="exact"/>
        <w:jc w:val="left"/>
        <w:rPr>
          <w:color w:val="#000000"/>
          <w:sz w:val="23"/>
          <w:lang w:val="en-US"/>
          <w:spacing w:val="-6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23"/>
          <w:lang w:val="en-US"/>
          <w:spacing w:val="-6"/>
          <w:w w:val="100"/>
          <w:strike w:val="false"/>
          <w:u w:val="single"/>
          <w:vertAlign w:val="baseline"/>
          <w:rFonts w:ascii="Tahoma" w:hAnsi="Tahoma"/>
        </w:rPr>
        <w:t xml:space="preserve">Holdings (symboi) </w:t>
      </w:r>
      <w:r>
        <w:rPr>
          <w:color w:val="#000000"/>
          <w:sz w:val="21"/>
          <w:lang w:val="en-US"/>
          <w:spacing w:val="-6"/>
          <w:w w:val="100"/>
          <w:strike w:val="false"/>
          <w:u w:val="single"/>
          <w:vertAlign w:val="baseline"/>
          <w:rFonts w:ascii="Times New Roman" w:hAnsi="Times New Roman"/>
        </w:rPr>
        <w:t xml:space="preserve">as of </w:t>
      </w:r>
      <w:r>
        <w:rPr>
          <w:color w:val="#000000"/>
          <w:sz w:val="18"/>
          <w:lang w:val="en-US"/>
          <w:spacing w:val="-6"/>
          <w:w w:val="100"/>
          <w:strike w:val="false"/>
          <w:u w:val="single"/>
          <w:vertAlign w:val="baseline"/>
          <w:rFonts w:ascii="Tahoma" w:hAnsi="Tahoma"/>
        </w:rPr>
        <w:t xml:space="preserve">December </w:t>
      </w:r>
      <w:r>
        <w:rPr>
          <w:color w:val="#000000"/>
          <w:sz w:val="21"/>
          <w:lang w:val="en-US"/>
          <w:spacing w:val="-6"/>
          <w:w w:val="100"/>
          <w:strike w:val="false"/>
          <w:u w:val="single"/>
          <w:vertAlign w:val="baseline"/>
          <w:rFonts w:ascii="Times New Roman" w:hAnsi="Times New Roman"/>
        </w:rPr>
        <w:t xml:space="preserve">31. 2011 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Subtotal of Core Account</w:t>
      </w:r>
    </w:p>
    <w:p>
      <w:pPr>
        <w:ind w:right="0" w:left="1008" w:firstLine="0"/>
        <w:spacing w:before="36" w:after="0" w:line="180" w:lineRule="auto"/>
        <w:jc w:val="left"/>
        <w:rPr>
          <w:color w:val="#000000"/>
          <w:sz w:val="28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color w:val="#000000"/>
          <w:sz w:val="2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- ROTH INDIVIDUAL RETIREMENT ACCOUNT - FMTC CUSTODIAN</w:t>
      </w:r>
    </w:p>
    <w:p>
      <w:pPr>
        <w:ind w:right="0" w:left="864" w:firstLine="0"/>
        <w:spacing w:before="0" w:after="0" w:line="184" w:lineRule="auto"/>
        <w:jc w:val="left"/>
        <w:tabs>
          <w:tab w:val="right" w:leader="none" w:pos="1420"/>
          <w:tab w:val="right" w:leader="none" w:pos="3450"/>
          <w:tab w:val="right" w:leader="none" w:pos="7750"/>
          <w:tab w:val="right" w:leader="none" w:pos="9910"/>
          <w:tab w:val="right" w:leader="none" w:pos="12050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1"/>
          <w:lang w:val="en-US"/>
          <w:spacing w:val="-16"/>
          <w:w w:val="100"/>
          <w:strike w:val="false"/>
          <w:vertAlign w:val="baseline"/>
          <w:rFonts w:ascii="Times New Roman" w:hAnsi="Times New Roman"/>
        </w:rPr>
        <w:t xml:space="preserve">uantrty	</w:t>
      </w:r>
      <w:r>
        <w:rPr>
          <w:color w:val="#000000"/>
          <w:sz w:val="21"/>
          <w:lang w:val="en-US"/>
          <w:spacing w:val="-22"/>
          <w:w w:val="100"/>
          <w:strike w:val="false"/>
          <w:vertAlign w:val="baseline"/>
          <w:rFonts w:ascii="Tahoma" w:hAnsi="Tahoma"/>
        </w:rPr>
        <w:t xml:space="preserve">Price per unit	</w:t>
      </w:r>
      <w:r>
        <w:rPr>
          <w:color w:val="#000000"/>
          <w:sz w:val="21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Total Value	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Total Value	</w:t>
      </w: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unrealized coin 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(Lou)</w:t>
      </w:r>
    </w:p>
    <w:p>
      <w:pPr>
        <w:ind w:right="0" w:left="0" w:firstLine="0"/>
        <w:spacing w:before="0" w:after="0" w:line="184" w:lineRule="auto"/>
        <w:jc w:val="left"/>
        <w:tabs>
          <w:tab w:val="right" w:leader="none" w:pos="1420"/>
          <w:tab w:val="right" w:leader="none" w:pos="3450"/>
          <w:tab w:val="left" w:leader="none" w:pos="5100"/>
          <w:tab w:val="right" w:leader="none" w:pos="7750"/>
          <w:tab w:val="right" w:leader="none" w:pos="9910"/>
          <w:tab w:val="right" w:leader="none" w:pos="12050"/>
        </w:tabs>
        <w:rPr>
          <w:color w:val="#000000"/>
          <w:sz w:val="21"/>
          <w:lang w:val="en-US"/>
          <w:spacing w:val="-1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0"/>
          <w:w w:val="100"/>
          <w:strike w:val="false"/>
          <w:u w:val="single"/>
          <w:vertAlign w:val="baseline"/>
          <w:rFonts w:ascii="Times New Roman" w:hAnsi="Times New Roman"/>
        </w:rPr>
        <w:tab/>
      </w:r>
      <w:r>
        <w:rPr>
          <w:color w:val="#000000"/>
          <w:sz w:val="21"/>
          <w:lang w:val="en-US"/>
          <w:spacing w:val="-20"/>
          <w:w w:val="100"/>
          <w:strike w:val="false"/>
          <w:u w:val="single"/>
          <w:vertAlign w:val="baseline"/>
          <w:rFonts w:ascii="Times New Roman" w:hAnsi="Times New Roman"/>
        </w:rPr>
        <w:t xml:space="preserve">December</w:t>
      </w:r>
      <w:r>
        <w:rPr>
          <w:color w:val="#030138"/>
          <w:sz w:val="18"/>
          <w:lang w:val="en-US"/>
          <w:spacing w:val="-10"/>
          <w:w w:val="100"/>
          <w:strike w:val="false"/>
          <w:u w:val="single"/>
          <w:vertAlign w:val="baseline"/>
          <w:rFonts w:ascii="Times New Roman" w:hAnsi="Times New Roman"/>
        </w:rPr>
        <w:t xml:space="preserve"> 31.</w:t>
      </w:r>
      <w:r>
        <w:rPr>
          <w:color w:val="#000000"/>
          <w:sz w:val="21"/>
          <w:lang w:val="en-US"/>
          <w:spacing w:val="-20"/>
          <w:w w:val="100"/>
          <w:strike w:val="false"/>
          <w:u w:val="single"/>
          <w:vertAlign w:val="baseline"/>
          <w:rFonts w:ascii="Times New Roman" w:hAnsi="Times New Roman"/>
        </w:rPr>
        <w:t xml:space="preserve"> 2011	</w:t>
      </w:r>
      <w:r>
        <w:rPr>
          <w:color w:val="#000000"/>
          <w:sz w:val="18"/>
          <w:lang w:val="en-US"/>
          <w:spacing w:val="-18"/>
          <w:w w:val="100"/>
          <w:strike w:val="false"/>
          <w:u w:val="single"/>
          <w:vertAlign w:val="baseline"/>
          <w:rFonts w:ascii="Tahoma" w:hAnsi="Tahoma"/>
        </w:rPr>
        <w:t xml:space="preserve">December </w:t>
      </w:r>
      <w:r>
        <w:rPr>
          <w:color w:val="#000000"/>
          <w:sz w:val="21"/>
          <w:lang w:val="en-US"/>
          <w:spacing w:val="-18"/>
          <w:w w:val="100"/>
          <w:strike w:val="false"/>
          <w:u w:val="single"/>
          <w:vertAlign w:val="baseline"/>
          <w:rFonts w:ascii="Times New Roman" w:hAnsi="Times New Roman"/>
        </w:rPr>
        <w:t xml:space="preserve">31. 2011	</w:t>
      </w:r>
      <w:r>
        <w:rPr>
          <w:color w:val="#000000"/>
          <w:sz w:val="21"/>
          <w:lang w:val="en-US"/>
          <w:spacing w:val="-22"/>
          <w:w w:val="100"/>
          <w:strike w:val="false"/>
          <w:u w:val="single"/>
          <w:vertAlign w:val="baseline"/>
          <w:rFonts w:ascii="Times New Roman" w:hAnsi="Times New Roman"/>
        </w:rPr>
        <w:t xml:space="preserve">Coat	</w:t>
      </w:r>
      <w:r>
        <w:rPr>
          <w:color w:val="#000000"/>
          <w:sz w:val="21"/>
          <w:lang w:val="en-US"/>
          <w:spacing w:val="-22"/>
          <w:w w:val="100"/>
          <w:strike w:val="false"/>
          <w:u w:val="single"/>
          <w:vertAlign w:val="baseline"/>
          <w:rFonts w:ascii="Times New Roman" w:hAnsi="Times New Roman"/>
        </w:rPr>
        <w:t xml:space="preserve">December 1. 2011	</w:t>
      </w:r>
      <w:r>
        <w:rPr>
          <w:color w:val="#000000"/>
          <w:sz w:val="21"/>
          <w:lang w:val="en-US"/>
          <w:spacing w:val="-22"/>
          <w:w w:val="100"/>
          <w:strike w:val="false"/>
          <w:u w:val="single"/>
          <w:vertAlign w:val="baseline"/>
          <w:rFonts w:ascii="Times New Roman" w:hAnsi="Times New Roman"/>
        </w:rPr>
        <w:t xml:space="preserve">Decembec</w:t>
      </w:r>
      <w:r>
        <w:rPr>
          <w:color w:val="#030138"/>
          <w:sz w:val="18"/>
          <w:lang w:val="en-US"/>
          <w:spacing w:val="-12"/>
          <w:w w:val="100"/>
          <w:strike w:val="false"/>
          <w:u w:val="single"/>
          <w:vertAlign w:val="baseline"/>
          <w:rFonts w:ascii="Times New Roman" w:hAnsi="Times New Roman"/>
        </w:rPr>
        <w:t xml:space="preserve"> 31.</w:t>
      </w:r>
      <w:r>
        <w:rPr>
          <w:color w:val="#000000"/>
          <w:sz w:val="21"/>
          <w:lang w:val="en-US"/>
          <w:spacing w:val="-22"/>
          <w:w w:val="100"/>
          <w:strike w:val="false"/>
          <w:u w:val="single"/>
          <w:vertAlign w:val="baseline"/>
          <w:rFonts w:ascii="Times New Roman" w:hAnsi="Times New Roman"/>
        </w:rPr>
        <w:t xml:space="preserve"> 2011	</w:t>
      </w:r>
      <w:r>
        <w:rPr>
          <w:color w:val="#000000"/>
          <w:sz w:val="21"/>
          <w:lang w:val="en-US"/>
          <w:spacing w:val="-14"/>
          <w:w w:val="100"/>
          <w:strike w:val="false"/>
          <w:u w:val="single"/>
          <w:vertAlign w:val="baseline"/>
          <w:rFonts w:ascii="Times New Roman" w:hAnsi="Times New Roman"/>
        </w:rPr>
        <w:t xml:space="preserve">December 91, 2011</w:t>
      </w:r>
    </w:p>
    <w:p>
      <w:pPr>
        <w:ind w:right="0" w:left="9360" w:firstLine="0"/>
        <w:spacing w:before="72" w:after="0" w:line="201" w:lineRule="auto"/>
        <w:jc w:val="lef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84.63</w:t>
      </w:r>
    </w:p>
    <w:p>
      <w:pPr>
        <w:sectPr>
          <w:pgSz w:w="20860" w:h="16040" w:orient="landscape"/>
          <w:type w:val="continuous"/>
          <w:textDirection w:val="lrTb"/>
          <w:cols w:sep="0" w:num="2" w:space="0" w:equalWidth="0">
            <w:col w:w="3920" w:space="1980"/>
            <w:col w:w="12060" w:space="0"/>
          </w:cols>
          <w:pgMar w:bottom="236" w:top="626" w:right="1240" w:left="1600" w:header="720" w:footer="720"/>
          <w:titlePg w:val="false"/>
        </w:sectPr>
      </w:pPr>
    </w:p>
    <w:p>
      <w:pPr>
        <w:ind w:right="0" w:left="0" w:firstLine="0"/>
        <w:spacing w:before="324" w:after="0" w:line="240" w:lineRule="auto"/>
        <w:jc w:val="left"/>
        <w:tabs>
          <w:tab w:val="right" w:leader="none" w:pos="15860"/>
        </w:tabs>
        <w:rPr>
          <w:color w:val="#000000"/>
          <w:sz w:val="26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Total	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$2,661.09</w:t>
      </w:r>
    </w:p>
    <w:p>
      <w:pPr>
        <w:ind w:right="0" w:left="0" w:firstLine="0"/>
        <w:spacing w:before="36" w:after="0" w:line="240" w:lineRule="auto"/>
        <w:jc w:val="left"/>
        <w:rPr>
          <w:i w:val="true"/>
          <w:color w:val="#000000"/>
          <w:sz w:val="22"/>
          <w:lang w:val="en-US"/>
          <w:spacing w:val="-16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22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All positions held in cash account unless indicated otherwise.</w:t>
      </w:r>
    </w:p>
    <w:p>
      <w:pPr>
        <w:ind w:right="0" w:left="0" w:firstLine="0"/>
        <w:spacing w:before="72" w:after="0" w:line="240" w:lineRule="auto"/>
        <w:jc w:val="left"/>
        <w:rPr>
          <w:i w:val="true"/>
          <w:color w:val="#030138"/>
          <w:sz w:val="22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30138"/>
          <w:sz w:val="22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u</w:t>
      </w:r>
      <w:r>
        <w:rPr>
          <w:i w:val="true"/>
          <w:color w:val="#000000"/>
          <w:sz w:val="22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 - This may not reflect</w:t>
      </w:r>
      <w:r>
        <w:rPr>
          <w:i w:val="true"/>
          <w:color w:val="#030138"/>
          <w:sz w:val="22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 all</w:t>
      </w:r>
      <w:r>
        <w:rPr>
          <w:i w:val="true"/>
          <w:color w:val="#000000"/>
          <w:sz w:val="22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 of your gainsRosses because of incomplete cost basis.</w:t>
      </w:r>
    </w:p>
    <w:p>
      <w:pPr>
        <w:ind w:right="0" w:left="0" w:firstLine="0"/>
        <w:spacing w:before="36" w:after="396" w:line="240" w:lineRule="auto"/>
        <w:jc w:val="left"/>
        <w:rPr>
          <w:i w:val="true"/>
          <w:color w:val="#000000"/>
          <w:sz w:val="22"/>
          <w:lang w:val="en-US"/>
          <w:spacing w:val="-16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22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Total Cost does not include the cost basis on </w:t>
      </w:r>
      <w:r>
        <w:rPr>
          <w:color w:val="#000000"/>
          <w:sz w:val="21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core, </w:t>
      </w:r>
      <w:r>
        <w:rPr>
          <w:i w:val="true"/>
          <w:color w:val="#000000"/>
          <w:sz w:val="22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money market or other positions where cost basis is unknown or not applicable.</w:t>
      </w:r>
    </w:p>
    <w:p>
      <w:pPr>
        <w:ind w:right="0" w:left="0" w:firstLine="0"/>
        <w:spacing w:before="26" w:after="360" w:line="240" w:lineRule="auto"/>
        <w:jc w:val="left"/>
        <w:tabs>
          <w:tab w:val="right" w:leader="none" w:pos="7360"/>
        </w:tabs>
        <w:pBdr>
          <w:top w:sz="20" w:space="2.3" w:color="#000000" w:val="single"/>
        </w:pBdr>
        <w:rPr>
          <w:color w:val="#000000"/>
          <w:sz w:val="35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5pt" strokecolor="#000000" from="0pt,40.85pt" to="909.05pt,40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5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Transaction Details	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(for holdings with activity</w:t>
      </w:r>
      <w:r>
        <w:rPr>
          <w:color w:val="#030138"/>
          <w:sz w:val="21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 this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 period)</w:t>
      </w:r>
    </w:p>
    <w:p>
      <w:pPr>
        <w:sectPr>
          <w:pgSz w:w="20860" w:h="16040" w:orient="landscape"/>
          <w:type w:val="continuous"/>
          <w:textDirection w:val="lrTb"/>
          <w:pgMar w:bottom="236" w:top="626" w:right="1070" w:left="155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Brokerage Activity</w:t>
      </w:r>
    </w:p>
    <w:p>
      <w:pPr>
        <w:ind w:right="0" w:left="0" w:firstLine="0"/>
        <w:spacing w:before="72" w:after="0" w:line="159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Settlement</w:t>
      </w:r>
    </w:p>
    <w:p>
      <w:pPr>
        <w:ind w:right="0" w:left="0" w:firstLine="0"/>
        <w:spacing w:before="0" w:after="0" w:line="206" w:lineRule="auto"/>
        <w:jc w:val="left"/>
        <w:tabs>
          <w:tab w:val="left" w:leader="none" w:pos="1950"/>
          <w:tab w:val="right" w:leader="none" w:pos="6980"/>
        </w:tabs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Dee	</w:t>
      </w:r>
      <w:r>
        <w:rPr>
          <w:color w:val="#000000"/>
          <w:sz w:val="21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Security	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Deecaption</w:t>
      </w:r>
    </w:p>
    <w:p>
      <w:pPr>
        <w:ind w:right="0" w:left="0" w:firstLine="0"/>
        <w:spacing w:before="36" w:after="0" w:line="201" w:lineRule="auto"/>
        <w:jc w:val="left"/>
        <w:tabs>
          <w:tab w:val="left" w:leader="none" w:pos="1950"/>
          <w:tab w:val="right" w:leader="none" w:pos="8000"/>
        </w:tabs>
        <w:rPr>
          <w:color w:val="#000000"/>
          <w:sz w:val="26"/>
          <w:lang w:val="en-US"/>
          <w:spacing w:val="-2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en-US"/>
          <w:spacing w:val="-28"/>
          <w:w w:val="100"/>
          <w:strike w:val="false"/>
          <w:vertAlign w:val="baseline"/>
          <w:rFonts w:ascii="Arial" w:hAnsi="Arial"/>
        </w:rPr>
        <w:t xml:space="preserve">12/19	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AMERICAN CAPITAL	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Dividend received</w:t>
      </w:r>
    </w:p>
    <w:p>
      <w:pPr>
        <w:ind w:right="0" w:left="2304" w:firstLine="0"/>
        <w:spacing w:before="0" w:after="0" w:line="201" w:lineRule="auto"/>
        <w:jc w:val="left"/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WORLD GRTH &amp; INC A</w:t>
      </w:r>
    </w:p>
    <w:p>
      <w:pPr>
        <w:ind w:right="0" w:left="0" w:firstLine="0"/>
        <w:spacing w:before="36" w:after="0" w:line="201" w:lineRule="auto"/>
        <w:jc w:val="left"/>
        <w:tabs>
          <w:tab w:val="left" w:leader="none" w:pos="1950"/>
          <w:tab w:val="right" w:leader="none" w:pos="8000"/>
        </w:tabs>
        <w:rPr>
          <w:color w:val="#000000"/>
          <w:sz w:val="26"/>
          <w:lang w:val="en-US"/>
          <w:spacing w:val="-2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en-US"/>
          <w:spacing w:val="-28"/>
          <w:w w:val="100"/>
          <w:strike w:val="false"/>
          <w:vertAlign w:val="baseline"/>
          <w:rFonts w:ascii="Arial" w:hAnsi="Arial"/>
        </w:rPr>
        <w:t xml:space="preserve">12/28	</w:t>
      </w: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AMERICAN SMALL CAP	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Dividend received</w:t>
      </w:r>
    </w:p>
    <w:p>
      <w:pPr>
        <w:ind w:right="0" w:left="2304" w:firstLine="0"/>
        <w:spacing w:before="0" w:after="360" w:line="201" w:lineRule="auto"/>
        <w:jc w:val="left"/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pict>
          <v:line strokeweight="1.5pt" strokecolor="#000000" from="0pt,27.5pt" to="433.55pt,27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WORLD CLASS A </w:t>
      </w:r>
      <w:r>
        <w:rPr>
          <w:color w:val="#000000"/>
          <w:sz w:val="21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Quantity	</w:t>
      </w:r>
      <w:r>
        <w:rPr>
          <w:color w:val="#000000"/>
          <w:sz w:val="21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Price per Unit	</w:t>
      </w:r>
      <w:r>
        <w:rPr>
          <w:color w:val="#000000"/>
          <w:sz w:val="21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Transaction 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Amount</w:t>
      </w:r>
    </w:p>
    <w:p>
      <w:pPr>
        <w:ind w:right="36" w:left="0" w:firstLine="0"/>
        <w:spacing w:before="72" w:after="0" w:line="211" w:lineRule="auto"/>
        <w:jc w:val="righ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$16.54</w:t>
      </w:r>
    </w:p>
    <w:p>
      <w:pPr>
        <w:ind w:right="36" w:left="0" w:firstLine="0"/>
        <w:spacing w:before="216" w:after="576" w:line="201" w:lineRule="auto"/>
        <w:jc w:val="right"/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line strokeweight="1.5pt" strokecolor="#000000" from="0pt,51.7pt" to="433.55pt,51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1.44</w:t>
      </w:r>
    </w:p>
    <w:p>
      <w:pPr>
        <w:sectPr>
          <w:pgSz w:w="20860" w:h="16040" w:orient="landscape"/>
          <w:type w:val="continuous"/>
          <w:textDirection w:val="lrTb"/>
          <w:cols w:sep="0" w:num="2" w:space="0" w:equalWidth="0">
            <w:col w:w="8670" w:space="840"/>
            <w:col w:w="8670" w:space="0"/>
          </w:cols>
          <w:pgMar w:bottom="236" w:top="626" w:right="1070" w:left="1550" w:header="720" w:footer="720"/>
          <w:titlePg w:val="false"/>
        </w:sectPr>
      </w:pPr>
    </w:p>
    <w:p>
      <w:pPr>
        <w:ind w:right="0" w:left="576" w:firstLine="0"/>
        <w:spacing w:before="0" w:after="0" w:line="240" w:lineRule="auto"/>
        <w:jc w:val="left"/>
        <w:rPr>
          <w:color w:val="#000000"/>
          <w:sz w:val="26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936pt;height:14.65pt;z-index:-1000;margin-left:0pt;margin-top:293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76" w:firstLine="0"/>
                    <w:spacing w:before="0" w:after="0" w:line="235" w:lineRule="auto"/>
                    <w:jc w:val="left"/>
                    <w:framePr w:hAnchor="text" w:vAnchor="text" w:y="5866" w:w="18720" w:h="293" w:hSpace="0" w:vSpace="0" w:wrap="3"/>
                    <w:tabs>
                      <w:tab w:val="left" w:leader="none" w:pos="4896"/>
                      <w:tab w:val="left" w:leader="none" w:pos="8676"/>
                      <w:tab w:val="right" w:leader="none" w:pos="17300"/>
                    </w:tabs>
                    <w:rPr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0001</w:t>
                  </w:r>
                  <w:r>
                    <w:rPr>
                      <w:color w:val="#420106"/>
                      <w:sz w:val="21"/>
                      <w:lang w:val="en-US"/>
                      <w:spacing w:val="6"/>
                      <w:w w:val="11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color w:val="#420106"/>
                      <w:sz w:val="21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  <w:t xml:space="preserve">111230</w:t>
                  </w:r>
                  <w:r>
                    <w:rPr>
                      <w:color w:val="#030138"/>
                      <w:sz w:val="21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0001</w:t>
                  </w:r>
                  <w:r>
                    <w:rPr>
                      <w:color w:val="#000000"/>
                      <w:sz w:val="21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920180619</w:t>
                  </w:r>
                  <w:r>
                    <w:rPr>
                      <w:color w:val="#420106"/>
                      <w:sz w:val="21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color w:val="#420106"/>
                      <w:sz w:val="21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  <w:t xml:space="preserve">04</w:t>
                  </w:r>
                  <w:r>
                    <w:rPr>
                      <w:color w:val="#000000"/>
                      <w:sz w:val="21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18</w:t>
                  </w:r>
                  <w:r>
                    <w:rPr>
                      <w:color w:val="#030138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000</w:t>
                  </w:r>
                  <w:r>
                    <w:rPr>
                      <w:color w:val="#000000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2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Page 2 of 5</w:t>
                  </w:r>
                </w:p>
              </w:txbxContent>
            </v:textbox>
          </v:shape>
        </w:pict>
      </w:r>
      <w:r>
        <w:rPr>
          <w:color w:val="#000000"/>
          <w:sz w:val="26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Core Account </w:t>
      </w:r>
      <w:r>
        <w:rPr>
          <w:i w:val="true"/>
          <w:color w:val="#000000"/>
          <w:sz w:val="6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- </w:t>
      </w:r>
      <w:r>
        <w:rPr>
          <w:i w:val="true"/>
          <w:color w:val="#000000"/>
          <w:sz w:val="27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Fidelity Cash Reserves</w:t>
      </w:r>
    </w:p>
    <w:p>
      <w:pPr>
        <w:ind w:right="0" w:left="576" w:firstLine="0"/>
        <w:spacing w:before="72" w:after="0" w:line="213" w:lineRule="auto"/>
        <w:jc w:val="left"/>
        <w:tabs>
          <w:tab w:val="right" w:leader="none" w:pos="7040"/>
          <w:tab w:val="right" w:leader="none" w:pos="9190"/>
          <w:tab w:val="left" w:leader="none" w:pos="10070"/>
          <w:tab w:val="left" w:leader="none" w:pos="15940"/>
          <w:tab w:val="right" w:leader="none" w:pos="18680"/>
        </w:tabs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Tahoma" w:hAnsi="Tahoma"/>
        </w:rPr>
        <w:t xml:space="preserve">Descronon	</w:t>
      </w:r>
      <w:r>
        <w:rPr>
          <w:color w:val="#000000"/>
          <w:sz w:val="21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Amount	</w:t>
      </w:r>
      <w:r>
        <w:rPr>
          <w:color w:val="#000000"/>
          <w:sz w:val="21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Balance	</w:t>
      </w: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Deealptico	</w:t>
      </w:r>
      <w:r>
        <w:rPr>
          <w:color w:val="#000000"/>
          <w:sz w:val="21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Amount	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Balance</w:t>
      </w:r>
    </w:p>
    <w:p>
      <w:pPr>
        <w:ind w:right="0" w:left="576" w:firstLine="0"/>
        <w:spacing w:before="0" w:after="0" w:line="240" w:lineRule="auto"/>
        <w:jc w:val="left"/>
        <w:tabs>
          <w:tab w:val="right" w:leader="none" w:pos="9190"/>
          <w:tab w:val="left" w:leader="none" w:pos="10070"/>
          <w:tab w:val="right" w:leader="none" w:pos="18680"/>
        </w:tabs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Beginning	</w:t>
      </w: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Arial" w:hAnsi="Arial"/>
        </w:rPr>
        <w:t xml:space="preserve">$66.65	</w:t>
      </w: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Ending	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$84.63</w:t>
      </w:r>
    </w:p>
    <w:p>
      <w:pPr>
        <w:ind w:right="0" w:left="576" w:firstLine="0"/>
        <w:spacing w:before="36" w:after="0" w:line="211" w:lineRule="auto"/>
        <w:jc w:val="left"/>
        <w:tabs>
          <w:tab w:val="right" w:leader="none" w:pos="7040"/>
        </w:tabs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Income	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$17.98</w:t>
      </w:r>
    </w:p>
    <w:p>
      <w:pPr>
        <w:ind w:right="0" w:left="576" w:firstLine="0"/>
        <w:spacing w:before="324" w:after="0" w:line="240" w:lineRule="auto"/>
        <w:jc w:val="left"/>
        <w:rPr>
          <w:i w:val="true"/>
          <w:color w:val="#000000"/>
          <w:sz w:val="27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27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Daily Addirions and Subtractions Fidelity Cash Reserves @ Si per share (the following is provided to you in accordance with industry regulations)</w:t>
      </w:r>
    </w:p>
    <w:p>
      <w:pPr>
        <w:ind w:right="0" w:left="576" w:firstLine="0"/>
        <w:spacing w:before="432" w:after="0" w:line="201" w:lineRule="auto"/>
        <w:jc w:val="left"/>
        <w:tabs>
          <w:tab w:val="right" w:leader="none" w:pos="4250"/>
          <w:tab w:val="right" w:leader="none" w:pos="6330"/>
          <w:tab w:val="right" w:leader="none" w:pos="7040"/>
          <w:tab w:val="left" w:leader="none" w:pos="9860"/>
          <w:tab w:val="left" w:leader="none" w:pos="11890"/>
          <w:tab w:val="left" w:leader="none" w:pos="12990"/>
          <w:tab w:val="left" w:leader="none" w:pos="16070"/>
          <w:tab w:val="right" w:leader="none" w:pos="18680"/>
        </w:tabs>
        <w:rPr>
          <w:color w:val="#000000"/>
          <w:sz w:val="21"/>
          <w:lang w:val="en-US"/>
          <w:spacing w:val="-26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26"/>
          <w:w w:val="100"/>
          <w:strike w:val="false"/>
          <w:u w:val="single"/>
          <w:vertAlign w:val="baseline"/>
          <w:rFonts w:ascii="Times New Roman" w:hAnsi="Times New Roman"/>
        </w:rPr>
        <w:t xml:space="preserve">Date	</w:t>
      </w:r>
      <w:r>
        <w:rPr>
          <w:color w:val="#000000"/>
          <w:sz w:val="21"/>
          <w:lang w:val="en-US"/>
          <w:spacing w:val="-16"/>
          <w:w w:val="100"/>
          <w:strike w:val="false"/>
          <w:u w:val="single"/>
          <w:vertAlign w:val="baseline"/>
          <w:rFonts w:ascii="Times New Roman" w:hAnsi="Times New Roman"/>
        </w:rPr>
        <w:t xml:space="preserve">Amount	</w:t>
      </w:r>
      <w:r>
        <w:rPr>
          <w:color w:val="#000000"/>
          <w:sz w:val="18"/>
          <w:lang w:val="en-US"/>
          <w:spacing w:val="-10"/>
          <w:w w:val="100"/>
          <w:strike w:val="false"/>
          <w:u w:val="single"/>
          <w:vertAlign w:val="baseline"/>
          <w:rFonts w:ascii="Tahoma" w:hAnsi="Tahoma"/>
        </w:rPr>
        <w:t xml:space="preserve">Balance	</w:t>
      </w:r>
      <w:r>
        <w:rPr>
          <w:color w:val="#000000"/>
          <w:sz w:val="18"/>
          <w:lang w:val="en-US"/>
          <w:spacing w:val="-10"/>
          <w:w w:val="100"/>
          <w:strike w:val="false"/>
          <w:u w:val="single"/>
          <w:vertAlign w:val="baseline"/>
          <w:rFonts w:ascii="Tahoma" w:hAnsi="Tahoma"/>
        </w:rPr>
        <w:t xml:space="preserve">Date	</w:t>
      </w:r>
      <w:r>
        <w:rPr>
          <w:color w:val="#000000"/>
          <w:sz w:val="21"/>
          <w:lang w:val="en-US"/>
          <w:spacing w:val="-16"/>
          <w:w w:val="100"/>
          <w:strike w:val="false"/>
          <w:u w:val="single"/>
          <w:vertAlign w:val="baseline"/>
          <w:rFonts w:ascii="Times New Roman" w:hAnsi="Times New Roman"/>
        </w:rPr>
        <w:t xml:space="preserve">Amount	</w:t>
      </w:r>
      <w:r>
        <w:rPr>
          <w:color w:val="#000000"/>
          <w:sz w:val="21"/>
          <w:lang w:val="en-US"/>
          <w:spacing w:val="-16"/>
          <w:w w:val="100"/>
          <w:strike w:val="false"/>
          <w:u w:val="single"/>
          <w:vertAlign w:val="baseline"/>
          <w:rFonts w:ascii="Times New Roman" w:hAnsi="Times New Roman"/>
        </w:rPr>
        <w:t xml:space="preserve">Balance</w:t>
      </w:r>
      <w:r>
        <w:rPr>
          <w:color w:val="#000000"/>
          <w:sz w:val="18"/>
          <w:lang w:val="en-US"/>
          <w:spacing w:val="-16"/>
          <w:w w:val="100"/>
          <w:strike w:val="false"/>
          <w:u w:val="single"/>
          <w:vertAlign w:val="baseline"/>
          <w:rFonts w:ascii="Tahoma" w:hAnsi="Tahoma"/>
        </w:rPr>
        <w:tab/>
      </w:r>
      <w:r>
        <w:rPr>
          <w:color w:val="#000000"/>
          <w:sz w:val="18"/>
          <w:lang w:val="en-US"/>
          <w:spacing w:val="-14"/>
          <w:w w:val="100"/>
          <w:strike w:val="false"/>
          <w:u w:val="single"/>
          <w:vertAlign w:val="baseline"/>
          <w:rFonts w:ascii="Tahoma" w:hAnsi="Tahoma"/>
        </w:rPr>
        <w:t xml:space="preserve">Date	</w:t>
      </w:r>
      <w:r>
        <w:rPr>
          <w:color w:val="#000000"/>
          <w:sz w:val="18"/>
          <w:lang w:val="en-US"/>
          <w:spacing w:val="-10"/>
          <w:w w:val="100"/>
          <w:strike w:val="false"/>
          <w:u w:val="single"/>
          <w:vertAlign w:val="baseline"/>
          <w:rFonts w:ascii="Tahoma" w:hAnsi="Tahoma"/>
        </w:rPr>
        <w:t xml:space="preserve">Amount	</w:t>
      </w:r>
      <w:r>
        <w:rPr>
          <w:color w:val="#000000"/>
          <w:sz w:val="21"/>
          <w:lang w:val="en-US"/>
          <w:spacing w:val="-10"/>
          <w:w w:val="100"/>
          <w:strike w:val="false"/>
          <w:u w:val="single"/>
          <w:vertAlign w:val="baseline"/>
          <w:rFonts w:ascii="Times New Roman" w:hAnsi="Times New Roman"/>
        </w:rPr>
        <w:t xml:space="preserve">Balance</w:t>
      </w:r>
    </w:p>
    <w:p>
      <w:pPr>
        <w:ind w:right="0" w:left="576" w:firstLine="0"/>
        <w:spacing w:before="72" w:after="0" w:line="211" w:lineRule="auto"/>
        <w:jc w:val="left"/>
        <w:tabs>
          <w:tab w:val="right" w:leader="none" w:pos="4250"/>
          <w:tab w:val="right" w:leader="none" w:pos="6330"/>
          <w:tab w:val="left" w:leader="none" w:pos="6760"/>
          <w:tab w:val="left" w:leader="none" w:pos="10070"/>
          <w:tab w:val="right" w:leader="none" w:pos="12500"/>
        </w:tabs>
        <w:rPr>
          <w:color w:val="#420106"/>
          <w:sz w:val="25"/>
          <w:lang w:val="en-US"/>
          <w:spacing w:val="-24"/>
          <w:w w:val="110"/>
          <w:strike w:val="false"/>
          <w:vertAlign w:val="baseline"/>
          <w:rFonts w:ascii="Arial" w:hAnsi="Arial"/>
        </w:rPr>
      </w:pPr>
      <w:r>
        <w:rPr>
          <w:color w:val="#420106"/>
          <w:sz w:val="25"/>
          <w:lang w:val="en-US"/>
          <w:spacing w:val="-24"/>
          <w:w w:val="110"/>
          <w:strike w:val="false"/>
          <w:vertAlign w:val="baseline"/>
          <w:rFonts w:ascii="Arial" w:hAnsi="Arial"/>
        </w:rPr>
        <w:t xml:space="preserve">12119</w:t>
      </w:r>
      <w:r>
        <w:rPr>
          <w:color w:val="#000000"/>
          <w:sz w:val="26"/>
          <w:lang w:val="en-US"/>
          <w:spacing w:val="-14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$16.54	</w:t>
      </w:r>
      <w:r>
        <w:rPr>
          <w:color w:val="#000000"/>
          <w:sz w:val="26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583.19	</w:t>
      </w:r>
      <w:r>
        <w:rPr>
          <w:color w:val="#000000"/>
          <w:sz w:val="26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12128	</w:t>
      </w:r>
      <w:r>
        <w:rPr>
          <w:color w:val="#000000"/>
          <w:sz w:val="26"/>
          <w:lang w:val="en-US"/>
          <w:spacing w:val="-24"/>
          <w:w w:val="100"/>
          <w:strike w:val="false"/>
          <w:vertAlign w:val="baseline"/>
          <w:rFonts w:ascii="Arial" w:hAnsi="Arial"/>
        </w:rPr>
        <w:t xml:space="preserve">1.44	</w:t>
      </w:r>
      <w:r>
        <w:rPr>
          <w:color w:val="#000000"/>
          <w:sz w:val="2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84.63</w:t>
      </w:r>
    </w:p>
    <w:p>
      <w:pPr>
        <w:ind w:right="0" w:left="576" w:firstLine="0"/>
        <w:spacing w:before="900" w:after="0" w:line="240" w:lineRule="auto"/>
        <w:jc w:val="left"/>
        <w:rPr>
          <w:color w:val="#000000"/>
          <w:sz w:val="35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5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Additional Information About Your Investment Report</w:t>
      </w:r>
    </w:p>
    <w:p>
      <w:pPr>
        <w:ind w:right="1008" w:left="576" w:firstLine="-504"/>
        <w:spacing w:before="180" w:after="0" w:line="240" w:lineRule="auto"/>
        <w:jc w:val="left"/>
        <w:rPr>
          <w:i w:val="true"/>
          <w:color w:val="#000000"/>
          <w:sz w:val="45"/>
          <w:lang w:val="en-US"/>
          <w:spacing w:val="-15"/>
          <w:w w:val="95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45"/>
          <w:lang w:val="en-US"/>
          <w:spacing w:val="-15"/>
          <w:w w:val="95"/>
          <w:strike w:val="false"/>
          <w:vertAlign w:val="baseline"/>
          <w:rFonts w:ascii="Arial" w:hAnsi="Arial"/>
        </w:rPr>
        <w:t xml:space="preserve">■ </w:t>
      </w:r>
      <w:r>
        <w:rPr>
          <w:i w:val="true"/>
          <w:color w:val="#000000"/>
          <w:sz w:val="27"/>
          <w:lang w:val="en-US"/>
          <w:spacing w:val="-15"/>
          <w:w w:val="100"/>
          <w:strike w:val="false"/>
          <w:vertAlign w:val="baseline"/>
          <w:rFonts w:ascii="Arial" w:hAnsi="Arial"/>
        </w:rPr>
        <w:t xml:space="preserve">Electronic Funds Transfer Notice - The following notice is required by the Federal Reserve Board's Regulation E and it applies to Electronic Funds Transfer ("EFT") </w:t>
      </w:r>
      <w:r>
        <w:rPr>
          <w:i w:val="true"/>
          <w:color w:val="#000000"/>
          <w:sz w:val="27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made by consumers. However, it does not apply to all EFT's. Generally, EFT's in non-retirement accounts, excepting those made for the purchase or sale of securities, are subject to the regulation ("Covered Transfer").</w:t>
      </w:r>
    </w:p>
    <w:sectPr>
      <w:pgSz w:w="20860" w:h="16040" w:orient="landscape"/>
      <w:type w:val="continuous"/>
      <w:textDirection w:val="lrTb"/>
      <w:pgMar w:bottom="236" w:top="626" w:right="1070" w:left="101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