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rId0" 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body>
    <w:p>
      <w:pPr>
        <w:spacing w:before="14" w:after="0" w:line="20" w:lineRule="exact"/>
      </w:pPr>
    </w:p>
    <w:tbl>
      <w:tblPr>
        <w:jc w:val="left"/>
        <w:tblInd w:w="18" w:type="dxa"/>
        <w:tblLayout w:type="fixed"/>
        <w:tblCellMar>
          <w:left w:w="0" w:type="dxa"/>
          <w:right w:w="0" w:type="dxa"/>
        </w:tblCellMar>
      </w:tblPr>
      <w:tblGrid>
        <w:gridCol w:w="4890"/>
        <w:gridCol w:w="1680"/>
        <w:gridCol w:w="3978"/>
      </w:tblGrid>
      <w:tr>
        <w:trPr>
          <w:trHeight w:val="930" w:hRule="exact"/>
        </w:trPr>
        <w:tc>
          <w:tcPr>
            <w:gridSpan w:val="1"/>
            <w:tcBorders>
              <w:top w:val="single" w:sz="7" w:color="#000000"/>
              <w:bottom w:val="single" w:sz="7" w:color="#000000"/>
              <w:left w:val="single" w:sz="7" w:color="#000000"/>
              <w:right w:val="single" w:sz="7" w:color="#000000"/>
            </w:tcBorders>
            <w:tcW w:w="4908" w:type="auto"/>
            <w:textDirection w:val="lrTb"/>
            <w:vAlign w:val="top"/>
          </w:tcPr>
          <w:p>
            <w:pPr>
              <w:ind w:right="0" w:left="132" w:firstLine="0"/>
              <w:spacing w:before="0" w:after="0" w:line="240" w:lineRule="auto"/>
              <w:jc w:val="left"/>
              <w:rPr>
                <w:color w:val="#000000"/>
                <w:sz w:val="28"/>
                <w:lang w:val="en-US"/>
                <w:spacing w:val="-6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8"/>
                <w:lang w:val="en-US"/>
                <w:spacing w:val="-6"/>
                <w:w w:val="100"/>
                <w:strike w:val="false"/>
                <w:vertAlign w:val="baseline"/>
                <w:rFonts w:ascii="Times New Roman" w:hAnsi="Times New Roman"/>
              </w:rPr>
              <w:t xml:space="preserve">Large Cap Fund</w:t>
            </w:r>
          </w:p>
        </w:tc>
        <w:tc>
          <w:tcPr>
            <w:gridSpan w:val="1"/>
            <w:tcBorders>
              <w:top w:val="single" w:sz="7" w:color="#000000"/>
              <w:bottom w:val="single" w:sz="7" w:color="#000000"/>
              <w:left w:val="single" w:sz="7" w:color="#000000"/>
              <w:right w:val="single" w:sz="7" w:color="#000000"/>
            </w:tcBorders>
            <w:tcW w:w="6588" w:type="auto"/>
            <w:textDirection w:val="lrTb"/>
            <w:vAlign w:val="top"/>
          </w:tcPr>
          <w:p>
            <w:pPr>
              <w:ind w:right="144" w:left="108" w:firstLine="0"/>
              <w:spacing w:before="0" w:after="0" w:line="223" w:lineRule="auto"/>
              <w:jc w:val="left"/>
              <w:rPr>
                <w:color w:val="#000000"/>
                <w:sz w:val="28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8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Fees </w:t>
            </w:r>
            <w:r>
              <w:rPr>
                <w:color w:val="#000000"/>
                <w:sz w:val="26"/>
                <w:lang w:val="en-US"/>
                <w:spacing w:val="0"/>
                <w:w w:val="105"/>
                <w:strike w:val="false"/>
                <w:vertAlign w:val="baseline"/>
                <w:rFonts w:ascii="Times New Roman" w:hAnsi="Times New Roman"/>
              </w:rPr>
              <w:t xml:space="preserve">&amp; </w:t>
            </w:r>
            <w:r>
              <w:rPr>
                <w:color w:val="#000000"/>
                <w:sz w:val="28"/>
                <w:lang w:val="en-US"/>
                <w:spacing w:val="-13"/>
                <w:w w:val="100"/>
                <w:strike w:val="false"/>
                <w:vertAlign w:val="baseline"/>
                <w:rFonts w:ascii="Times New Roman" w:hAnsi="Times New Roman"/>
              </w:rPr>
              <w:t xml:space="preserve">Commissions </w:t>
            </w:r>
            <w:r>
              <w:rPr>
                <w:color w:val="#000000"/>
                <w:sz w:val="28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10 Years</w:t>
            </w:r>
          </w:p>
        </w:tc>
        <w:tc>
          <w:tcPr>
            <w:gridSpan w:val="1"/>
            <w:tcBorders>
              <w:top w:val="single" w:sz="7" w:color="#000000"/>
              <w:bottom w:val="single" w:sz="7" w:color="#000000"/>
              <w:left w:val="single" w:sz="7" w:color="#000000"/>
              <w:right w:val="single" w:sz="7" w:color="#000000"/>
            </w:tcBorders>
            <w:tcW w:w="10566" w:type="auto"/>
            <w:textDirection w:val="lrTb"/>
            <w:vAlign w:val="top"/>
          </w:tcPr>
          <w:p>
            <w:pPr>
              <w:ind w:right="720" w:left="108" w:firstLine="0"/>
              <w:spacing w:before="0" w:after="0" w:line="240" w:lineRule="auto"/>
              <w:jc w:val="left"/>
              <w:rPr>
                <w:color w:val="#000000"/>
                <w:sz w:val="28"/>
                <w:lang w:val="en-US"/>
                <w:spacing w:val="-12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8"/>
                <w:lang w:val="en-US"/>
                <w:spacing w:val="-12"/>
                <w:w w:val="100"/>
                <w:strike w:val="false"/>
                <w:vertAlign w:val="baseline"/>
                <w:rFonts w:ascii="Times New Roman" w:hAnsi="Times New Roman"/>
              </w:rPr>
              <w:t xml:space="preserve">Redeemed Fund Value Minus </w:t>
            </w:r>
            <w:r>
              <w:rPr>
                <w:color w:val="#000000"/>
                <w:sz w:val="28"/>
                <w:lang w:val="en-US"/>
                <w:spacing w:val="-6"/>
                <w:w w:val="100"/>
                <w:strike w:val="false"/>
                <w:vertAlign w:val="baseline"/>
                <w:rFonts w:ascii="Times New Roman" w:hAnsi="Times New Roman"/>
              </w:rPr>
              <w:t xml:space="preserve">Expenses After 10 Years</w:t>
            </w:r>
          </w:p>
        </w:tc>
      </w:tr>
      <w:tr>
        <w:trPr>
          <w:trHeight w:val="540" w:hRule="exact"/>
        </w:trPr>
        <w:tc>
          <w:tcPr>
            <w:gridSpan w:val="1"/>
            <w:tcBorders>
              <w:top w:val="single" w:sz="7" w:color="#000000"/>
              <w:bottom w:val="single" w:sz="7" w:color="#000000"/>
              <w:left w:val="single" w:sz="7" w:color="#000000"/>
              <w:right w:val="single" w:sz="7" w:color="#000000"/>
            </w:tcBorders>
            <w:tcW w:w="4908" w:type="auto"/>
            <w:textDirection w:val="lrTb"/>
            <w:vAlign w:val="top"/>
          </w:tcPr>
          <w:p>
            <w:pPr>
              <w:ind w:right="612" w:left="108" w:firstLine="0"/>
              <w:spacing w:before="0" w:after="0" w:line="240" w:lineRule="auto"/>
              <w:jc w:val="left"/>
              <w:rPr>
                <w:b w:val="true"/>
                <w:color w:val="#000000"/>
                <w:sz w:val="23"/>
                <w:lang w:val="en-US"/>
                <w:spacing w:val="-9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23"/>
                <w:lang w:val="en-US"/>
                <w:spacing w:val="-9"/>
                <w:w w:val="100"/>
                <w:strike w:val="false"/>
                <w:vertAlign w:val="baseline"/>
                <w:rFonts w:ascii="Arial" w:hAnsi="Arial"/>
              </w:rPr>
              <w:t xml:space="preserve">Vanguard 500 Index Fund Admiral </w:t>
            </w:r>
            <w:r>
              <w:rPr>
                <w:color w:val="#000000"/>
                <w:sz w:val="23"/>
                <w:lang w:val="en-US"/>
                <w:spacing w:val="-19"/>
                <w:w w:val="105"/>
                <w:strike w:val="false"/>
                <w:vertAlign w:val="baseline"/>
                <w:rFonts w:ascii="Arial" w:hAnsi="Arial"/>
              </w:rPr>
              <w:t xml:space="preserve">Class </w:t>
            </w:r>
            <w:r>
              <w:rPr>
                <w:b w:val="true"/>
                <w:color w:val="#000000"/>
                <w:sz w:val="23"/>
                <w:lang w:val="en-US"/>
                <w:spacing w:val="-4"/>
                <w:w w:val="100"/>
                <w:strike w:val="false"/>
                <w:vertAlign w:val="baseline"/>
                <w:rFonts w:ascii="Arial" w:hAnsi="Arial"/>
              </w:rPr>
              <w:t xml:space="preserve">[VFIAX] (No Load)</w:t>
            </w:r>
          </w:p>
        </w:tc>
        <w:tc>
          <w:tcPr>
            <w:gridSpan w:val="1"/>
            <w:tcBorders>
              <w:top w:val="single" w:sz="7" w:color="#000000"/>
              <w:bottom w:val="single" w:sz="7" w:color="#000000"/>
              <w:left w:val="single" w:sz="7" w:color="#000000"/>
              <w:right w:val="single" w:sz="7" w:color="#000000"/>
            </w:tcBorders>
            <w:tcW w:w="6588" w:type="auto"/>
            <w:textDirection w:val="lrTb"/>
            <w:vAlign w:val="top"/>
          </w:tcPr>
          <w:p>
            <w:pPr>
              <w:ind w:right="0" w:left="126" w:firstLine="0"/>
              <w:spacing w:before="0" w:after="0" w:line="240" w:lineRule="auto"/>
              <w:jc w:val="left"/>
              <w:rPr>
                <w:color w:val="#000000"/>
                <w:sz w:val="28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8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$142.55</w:t>
            </w:r>
          </w:p>
        </w:tc>
        <w:tc>
          <w:tcPr>
            <w:gridSpan w:val="1"/>
            <w:tcBorders>
              <w:top w:val="single" w:sz="7" w:color="#000000"/>
              <w:bottom w:val="single" w:sz="7" w:color="#000000"/>
              <w:left w:val="single" w:sz="7" w:color="#000000"/>
              <w:right w:val="single" w:sz="7" w:color="#000000"/>
            </w:tcBorders>
            <w:tcW w:w="10566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005"/>
              </w:tabs>
              <w:rPr>
                <w:color w:val="#000000"/>
                <w:sz w:val="28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8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$39,146.82</w:t>
            </w:r>
          </w:p>
        </w:tc>
      </w:tr>
      <w:tr>
        <w:trPr>
          <w:trHeight w:val="540" w:hRule="exact"/>
        </w:trPr>
        <w:tc>
          <w:tcPr>
            <w:gridSpan w:val="1"/>
            <w:tcBorders>
              <w:top w:val="single" w:sz="7" w:color="#000000"/>
              <w:bottom w:val="single" w:sz="7" w:color="#000000"/>
              <w:left w:val="single" w:sz="7" w:color="#000000"/>
              <w:right w:val="single" w:sz="7" w:color="#000000"/>
            </w:tcBorders>
            <w:tcW w:w="4908" w:type="auto"/>
            <w:textDirection w:val="lrTb"/>
            <w:vAlign w:val="top"/>
            <w:shd w:val="clear" w:color="#F5EBE1" w:fill="#F5EBE1"/>
          </w:tcPr>
          <w:p>
            <w:pPr>
              <w:ind w:right="288" w:left="144" w:firstLine="0"/>
              <w:spacing w:before="0" w:after="0" w:line="240" w:lineRule="auto"/>
              <w:jc w:val="left"/>
              <w:rPr>
                <w:b w:val="true"/>
                <w:color w:val="#000000"/>
                <w:sz w:val="23"/>
                <w:lang w:val="en-US"/>
                <w:spacing w:val="-11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23"/>
                <w:lang w:val="en-US"/>
                <w:spacing w:val="-11"/>
                <w:w w:val="100"/>
                <w:strike w:val="false"/>
                <w:vertAlign w:val="baseline"/>
                <w:rFonts w:ascii="Arial" w:hAnsi="Arial"/>
              </w:rPr>
              <w:t xml:space="preserve">Rydex Series Trust Dynamic S&amp;P 500 Fund </w:t>
            </w:r>
            <w:r>
              <w:rPr>
                <w:color w:val="#000000"/>
                <w:sz w:val="23"/>
                <w:lang w:val="en-US"/>
                <w:spacing w:val="-12"/>
                <w:w w:val="105"/>
                <w:strike w:val="false"/>
                <w:vertAlign w:val="baseline"/>
                <w:rFonts w:ascii="Arial" w:hAnsi="Arial"/>
              </w:rPr>
              <w:t xml:space="preserve">Class </w:t>
            </w:r>
            <w:r>
              <w:rPr>
                <w:b w:val="true"/>
                <w:color w:val="#000000"/>
                <w:sz w:val="23"/>
                <w:lang w:val="en-US"/>
                <w:spacing w:val="-2"/>
                <w:w w:val="100"/>
                <w:strike w:val="false"/>
                <w:vertAlign w:val="baseline"/>
                <w:rFonts w:ascii="Arial" w:hAnsi="Arial"/>
              </w:rPr>
              <w:t xml:space="preserve">A [RYTTX] (Front Load)</w:t>
            </w:r>
          </w:p>
        </w:tc>
        <w:tc>
          <w:tcPr>
            <w:gridSpan w:val="1"/>
            <w:tcBorders>
              <w:top w:val="single" w:sz="7" w:color="#000000"/>
              <w:bottom w:val="single" w:sz="7" w:color="#000000"/>
              <w:left w:val="single" w:sz="7" w:color="#000000"/>
              <w:right w:val="single" w:sz="7" w:color="#000000"/>
            </w:tcBorders>
            <w:tcW w:w="6588" w:type="auto"/>
            <w:textDirection w:val="lrTb"/>
            <w:vAlign w:val="top"/>
          </w:tcPr>
          <w:p>
            <w:pPr>
              <w:ind w:right="0" w:left="126" w:firstLine="0"/>
              <w:spacing w:before="0" w:after="0" w:line="240" w:lineRule="auto"/>
              <w:jc w:val="left"/>
              <w:rPr>
                <w:color w:val="#000000"/>
                <w:sz w:val="28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8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$5,301.58</w:t>
            </w:r>
          </w:p>
        </w:tc>
        <w:tc>
          <w:tcPr>
            <w:gridSpan w:val="1"/>
            <w:tcBorders>
              <w:top w:val="single" w:sz="7" w:color="#000000"/>
              <w:bottom w:val="single" w:sz="7" w:color="#000000"/>
              <w:left w:val="single" w:sz="7" w:color="#000000"/>
              <w:right w:val="single" w:sz="7" w:color="#000000"/>
            </w:tcBorders>
            <w:tcW w:w="10566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005"/>
              </w:tabs>
              <w:rPr>
                <w:color w:val="#000000"/>
                <w:sz w:val="28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8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$31,426.95</w:t>
            </w:r>
          </w:p>
        </w:tc>
      </w:tr>
      <w:tr>
        <w:trPr>
          <w:trHeight w:val="546" w:hRule="exact"/>
        </w:trPr>
        <w:tc>
          <w:tcPr>
            <w:gridSpan w:val="1"/>
            <w:tcBorders>
              <w:top w:val="single" w:sz="7" w:color="#000000"/>
              <w:bottom w:val="single" w:sz="7" w:color="#000000"/>
              <w:left w:val="single" w:sz="7" w:color="#000000"/>
              <w:right w:val="single" w:sz="7" w:color="#000000"/>
            </w:tcBorders>
            <w:tcW w:w="4908" w:type="auto"/>
            <w:textDirection w:val="lrTb"/>
            <w:vAlign w:val="top"/>
            <w:shd w:val="clear" w:color="#F5EBE1" w:fill="#F5EBE1"/>
          </w:tcPr>
          <w:p>
            <w:pPr>
              <w:ind w:right="720" w:left="144" w:firstLine="0"/>
              <w:spacing w:before="0" w:after="0" w:line="240" w:lineRule="auto"/>
              <w:jc w:val="left"/>
              <w:rPr>
                <w:b w:val="true"/>
                <w:color w:val="#000000"/>
                <w:sz w:val="23"/>
                <w:lang w:val="en-US"/>
                <w:spacing w:val="-11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23"/>
                <w:lang w:val="en-US"/>
                <w:spacing w:val="-11"/>
                <w:w w:val="100"/>
                <w:strike w:val="false"/>
                <w:vertAlign w:val="baseline"/>
                <w:rFonts w:ascii="Arial" w:hAnsi="Arial"/>
              </w:rPr>
              <w:t xml:space="preserve">Prudential Large Cap Core Equity Fund </w:t>
            </w:r>
            <w:r>
              <w:rPr>
                <w:b w:val="true"/>
                <w:color w:val="#000000"/>
                <w:sz w:val="23"/>
                <w:lang w:val="en-US"/>
                <w:spacing w:val="-4"/>
                <w:w w:val="100"/>
                <w:strike w:val="false"/>
                <w:vertAlign w:val="baseline"/>
                <w:rFonts w:ascii="Arial" w:hAnsi="Arial"/>
              </w:rPr>
              <w:t xml:space="preserve">Class B [PTMBX] (Back Load)</w:t>
            </w:r>
          </w:p>
        </w:tc>
        <w:tc>
          <w:tcPr>
            <w:gridSpan w:val="1"/>
            <w:tcBorders>
              <w:top w:val="single" w:sz="7" w:color="#000000"/>
              <w:bottom w:val="single" w:sz="7" w:color="#000000"/>
              <w:left w:val="single" w:sz="7" w:color="#000000"/>
              <w:right w:val="single" w:sz="7" w:color="#000000"/>
            </w:tcBorders>
            <w:tcW w:w="6588" w:type="auto"/>
            <w:textDirection w:val="lrTb"/>
            <w:vAlign w:val="top"/>
          </w:tcPr>
          <w:p>
            <w:pPr>
              <w:ind w:right="0" w:left="126" w:firstLine="0"/>
              <w:spacing w:before="0" w:after="0" w:line="240" w:lineRule="auto"/>
              <w:jc w:val="left"/>
              <w:rPr>
                <w:color w:val="#000000"/>
                <w:sz w:val="28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8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$4,314.41</w:t>
            </w:r>
          </w:p>
        </w:tc>
        <w:tc>
          <w:tcPr>
            <w:gridSpan w:val="1"/>
            <w:tcBorders>
              <w:top w:val="single" w:sz="7" w:color="#000000"/>
              <w:bottom w:val="single" w:sz="7" w:color="#000000"/>
              <w:left w:val="single" w:sz="7" w:color="#000000"/>
              <w:right w:val="single" w:sz="7" w:color="#000000"/>
            </w:tcBorders>
            <w:tcW w:w="10566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005"/>
              </w:tabs>
              <w:rPr>
                <w:color w:val="#000000"/>
                <w:sz w:val="28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8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$33,109.84</w:t>
            </w:r>
          </w:p>
        </w:tc>
      </w:tr>
    </w:tbl>
    <w:sectPr>
      <w:pgSz w:w="11016" w:h="3216" w:orient="landscape"/>
      <w:type w:val="nextPage"/>
      <w:textDirection w:val="lrTb"/>
      <w:pgMar w:bottom="97" w:top="342" w:right="156" w:left="216" w:header="720" w:footer="720"/>
      <w:titlePg w:val="false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Times New Roman">
    <w:charset w:val="00"/>
    <w:pitch w:val="variable"/>
    <w:family w:val="roman"/>
    <w:panose1 w:val="02020603050405020304"/>
  </w:font>
  <w:font w:name="Arial">
    <w:charset w:val="00"/>
    <w:pitch w:val="variable"/>
    <w:family w:val="swiss"/>
    <w:panose1 w:val="02020603050405020304"/>
  </w:font>
</w:fonts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compat>
    <w:useFELayout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drId1" /><Relationship Type="http://schemas.openxmlformats.org/officeDocument/2006/relationships/styles" Target="/word/styles.xml" Id="drId0" /><Relationship Type="http://schemas.openxmlformats.org/wordprocessingml/2006/fontTable" Target="/word/fontTable.xml" Id="drId2" /></Relationships>
</file>