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B490" w14:textId="40DFC2DC" w:rsidR="00B43ABA" w:rsidRDefault="00B43ABA" w:rsidP="00B43ABA">
      <w:pPr>
        <w:pStyle w:val="Subtitle"/>
      </w:pPr>
      <w:r>
        <w:t xml:space="preserve">Project </w:t>
      </w:r>
      <w:r w:rsidR="00FE3FC5">
        <w:t>3</w:t>
      </w:r>
      <w:r>
        <w:t xml:space="preserve">  </w:t>
      </w:r>
    </w:p>
    <w:p w14:paraId="116DCB90" w14:textId="28AEB56A" w:rsidR="00B43ABA" w:rsidRDefault="00E27700" w:rsidP="00B43ABA">
      <w:pPr>
        <w:pStyle w:val="Title"/>
      </w:pPr>
      <w:r>
        <w:t>Loan Defaults</w:t>
      </w:r>
      <w:r w:rsidR="00B43ABA">
        <w:t xml:space="preserve"> </w:t>
      </w:r>
    </w:p>
    <w:p w14:paraId="3C26FF39" w14:textId="77777777" w:rsidR="00B43ABA" w:rsidRDefault="00B43ABA" w:rsidP="00B43ABA">
      <w:pPr>
        <w:pStyle w:val="Author"/>
      </w:pPr>
      <w:r>
        <w:t>Niklas Baldis</w:t>
      </w:r>
    </w:p>
    <w:p w14:paraId="4CC7A540" w14:textId="6D0519D4" w:rsidR="007615E3" w:rsidRPr="0084559F" w:rsidRDefault="00B43ABA" w:rsidP="0084559F">
      <w:pPr>
        <w:pStyle w:val="Heading1"/>
      </w:pPr>
      <w:r>
        <w:t xml:space="preserve">Executive Summary </w:t>
      </w:r>
    </w:p>
    <w:p w14:paraId="0773A6EA" w14:textId="77777777" w:rsidR="00EE4FE4" w:rsidRPr="00EE4FE4" w:rsidRDefault="00EE4FE4" w:rsidP="00EE4FE4"/>
    <w:p w14:paraId="616A3C84" w14:textId="77777777" w:rsidR="00B43ABA" w:rsidRDefault="00B43ABA" w:rsidP="00B43ABA">
      <w:pPr>
        <w:pStyle w:val="Heading2"/>
        <w:rPr>
          <w:sz w:val="38"/>
          <w:szCs w:val="38"/>
        </w:rPr>
      </w:pPr>
      <w:r w:rsidRPr="00F47910">
        <w:rPr>
          <w:sz w:val="38"/>
          <w:szCs w:val="38"/>
        </w:rPr>
        <w:t xml:space="preserve">Analysis </w:t>
      </w:r>
    </w:p>
    <w:p w14:paraId="4C8AED55" w14:textId="77777777" w:rsidR="00E83838" w:rsidRDefault="00E83838" w:rsidP="00E83838">
      <w:pPr>
        <w:spacing w:line="480" w:lineRule="auto"/>
      </w:pPr>
    </w:p>
    <w:p w14:paraId="23D163E8" w14:textId="6DE5860D" w:rsidR="0064695F" w:rsidRDefault="001B6363" w:rsidP="00E83838">
      <w:pPr>
        <w:spacing w:line="480" w:lineRule="auto"/>
        <w:rPr>
          <w:rFonts w:eastAsiaTheme="majorEastAsia"/>
        </w:rPr>
      </w:pPr>
      <w:r>
        <w:t>Five</w:t>
      </w:r>
      <w:r w:rsidR="00345AA4">
        <w:t xml:space="preserve"> total models were created to </w:t>
      </w:r>
      <w:r w:rsidR="00937BA5">
        <w:t>attempt to predict accounts that will default on their loan</w:t>
      </w:r>
      <w:r w:rsidR="00FE0602">
        <w:t>.</w:t>
      </w:r>
      <w:r w:rsidR="002D122A">
        <w:t xml:space="preserve">  </w:t>
      </w:r>
      <w:r w:rsidR="00A33BA3">
        <w:t xml:space="preserve">Exploratory Analysis of the dataset found that </w:t>
      </w:r>
      <w:r w:rsidR="00A33E48">
        <w:t>$5000 is usually the most fraudulent loan amount for accounts, with a frequency of about 400 of the nearly 3000 total accounts given that loan amount. Approximately $5000 is also the most commonly invested amount for fraudulent accounts, with a frequency of about 350 of the nearly 1750 accounts with that investment amount.</w:t>
      </w:r>
      <w:r w:rsidR="005F0D21" w:rsidRPr="005F0D21">
        <w:t xml:space="preserve"> </w:t>
      </w:r>
      <w:r w:rsidR="005F0D21">
        <w:t>Many numerical features also exhibit a right skew, indicating that lower-volume and newer accounts are usually more fraudulent.</w:t>
      </w:r>
      <w:r w:rsidR="000D47BE">
        <w:t xml:space="preserve">  </w:t>
      </w:r>
      <w:r w:rsidR="000A5CBA">
        <w:t xml:space="preserve">An optimized Gradient Boost model </w:t>
      </w:r>
      <w:r w:rsidR="009F2FE9">
        <w:t xml:space="preserve">produced </w:t>
      </w:r>
      <w:r w:rsidR="00447A7D">
        <w:t xml:space="preserve">a ROC of 0.8992, a precision of 0.7083, a </w:t>
      </w:r>
      <w:r w:rsidR="00720E52">
        <w:t xml:space="preserve">recall of </w:t>
      </w:r>
      <w:r w:rsidR="005B3EE4">
        <w:t xml:space="preserve">0.3666, and </w:t>
      </w:r>
      <w:r w:rsidR="0096560F">
        <w:t xml:space="preserve">an F1 score of </w:t>
      </w:r>
      <w:r w:rsidR="00CE3931">
        <w:t>0.4832.</w:t>
      </w:r>
      <w:r w:rsidR="00EF2374">
        <w:t xml:space="preserve">  </w:t>
      </w:r>
      <w:r w:rsidR="00EF2374" w:rsidRPr="000922CB">
        <w:t xml:space="preserve">ROC is one of the strongest metrics to evaluate models because it defines how well the model </w:t>
      </w:r>
      <w:r w:rsidR="00EF2374">
        <w:t>can</w:t>
      </w:r>
      <w:r w:rsidR="00EF2374" w:rsidRPr="000922CB">
        <w:t xml:space="preserve"> distinguish between the two categories of default accounts</w:t>
      </w:r>
      <w:r w:rsidR="00EF2374">
        <w:t xml:space="preserve"> and current accounts.  This ability to accurately separate the groups leads to a stronger predictive model</w:t>
      </w:r>
      <w:r w:rsidR="00784D47">
        <w:t xml:space="preserve"> on future datasets</w:t>
      </w:r>
      <w:r w:rsidR="00EF2374">
        <w:t>.</w:t>
      </w:r>
      <w:r w:rsidR="00102016">
        <w:t xml:space="preserve">  The precision-recall curve of the model </w:t>
      </w:r>
      <w:r w:rsidR="00D01476">
        <w:t>was a 0.64</w:t>
      </w:r>
      <w:r w:rsidR="00FB0DB7">
        <w:t xml:space="preserve">, indicating that </w:t>
      </w:r>
      <w:r w:rsidR="00B06941">
        <w:t xml:space="preserve">the model strongly </w:t>
      </w:r>
      <w:r w:rsidR="00D72A75">
        <w:t xml:space="preserve">finds the </w:t>
      </w:r>
      <w:r w:rsidR="003A546D">
        <w:t xml:space="preserve">defaulted accounts </w:t>
      </w:r>
      <w:r w:rsidR="000902B7">
        <w:t>among all accounts</w:t>
      </w:r>
      <w:r w:rsidR="006D3843">
        <w:t xml:space="preserve"> and </w:t>
      </w:r>
      <w:r w:rsidR="00DB3662">
        <w:t>among all defaulted accounts.</w:t>
      </w:r>
    </w:p>
    <w:p w14:paraId="5E5B19AB" w14:textId="77777777" w:rsidR="00744D8A" w:rsidRPr="00744D8A" w:rsidRDefault="00744D8A" w:rsidP="00E83838">
      <w:pPr>
        <w:spacing w:line="480" w:lineRule="auto"/>
        <w:rPr>
          <w:rFonts w:eastAsiaTheme="majorEastAsia"/>
        </w:rPr>
      </w:pPr>
    </w:p>
    <w:p w14:paraId="43A08911" w14:textId="77777777" w:rsidR="00B43ABA" w:rsidRDefault="00B43ABA" w:rsidP="00B43ABA">
      <w:pPr>
        <w:pStyle w:val="Heading2"/>
        <w:rPr>
          <w:sz w:val="38"/>
          <w:szCs w:val="38"/>
        </w:rPr>
      </w:pPr>
      <w:r w:rsidRPr="00F47910">
        <w:rPr>
          <w:sz w:val="38"/>
          <w:szCs w:val="38"/>
        </w:rPr>
        <w:lastRenderedPageBreak/>
        <w:t xml:space="preserve">Recommendations </w:t>
      </w:r>
    </w:p>
    <w:p w14:paraId="3A05033D" w14:textId="77777777" w:rsidR="009875A9" w:rsidRDefault="009875A9" w:rsidP="009875A9"/>
    <w:p w14:paraId="00B72759" w14:textId="6BBA58C5" w:rsidR="00B43ABA" w:rsidRPr="00176883" w:rsidRDefault="00521660" w:rsidP="00176883">
      <w:pPr>
        <w:spacing w:after="240" w:line="480" w:lineRule="auto"/>
      </w:pPr>
      <w:r>
        <w:t xml:space="preserve">I would not use </w:t>
      </w:r>
      <w:r w:rsidR="00497BA0">
        <w:t>credit</w:t>
      </w:r>
      <w:r>
        <w:t xml:space="preserve"> score as </w:t>
      </w:r>
      <w:r w:rsidR="00497BA0">
        <w:t>a predictor of fraud because</w:t>
      </w:r>
      <w:r w:rsidR="003A063A">
        <w:t xml:space="preserve"> the Gradient Boost model identified </w:t>
      </w:r>
      <w:r w:rsidR="00354C3C">
        <w:t>last payment amount as the most imp</w:t>
      </w:r>
      <w:r w:rsidR="0042313F">
        <w:t xml:space="preserve">ortant variable </w:t>
      </w:r>
      <w:r w:rsidR="005B000A">
        <w:t>to predicting fraud at nearly</w:t>
      </w:r>
      <w:r w:rsidR="00923497">
        <w:t xml:space="preserve"> 41% </w:t>
      </w:r>
      <w:r w:rsidR="006906E9">
        <w:t xml:space="preserve">of the model.  </w:t>
      </w:r>
      <w:r w:rsidR="00DE6C22">
        <w:t xml:space="preserve">Other variables like </w:t>
      </w:r>
      <w:r w:rsidR="008E0ECE">
        <w:t xml:space="preserve">interest rate and </w:t>
      </w:r>
      <w:r w:rsidR="0019241F">
        <w:t xml:space="preserve">the number of payments on the loan were also found to be more important.  </w:t>
      </w:r>
      <w:r w:rsidR="000F3EBC" w:rsidRPr="00080F7C">
        <w:t xml:space="preserve">Operating at a 5% false positive rate means that out of every 100 </w:t>
      </w:r>
      <w:r w:rsidR="000F3EBC">
        <w:t>accounts</w:t>
      </w:r>
      <w:r w:rsidR="000F3EBC" w:rsidRPr="00080F7C">
        <w:t xml:space="preserve"> flagged as </w:t>
      </w:r>
      <w:r w:rsidR="000F3EBC">
        <w:t xml:space="preserve">legitimate, 5 defaulted accounts </w:t>
      </w:r>
      <w:r w:rsidR="000F3EBC" w:rsidRPr="00080F7C">
        <w:t>are</w:t>
      </w:r>
      <w:r w:rsidR="000F3EBC">
        <w:t xml:space="preserve"> falsely labeled as legitimate</w:t>
      </w:r>
      <w:r w:rsidR="000F3EBC" w:rsidRPr="00080F7C">
        <w:t>.</w:t>
      </w:r>
      <w:r w:rsidR="000F3EBC">
        <w:t xml:space="preserve">  The 5% threshold for logistic regression correlates with a 100% true positive rate.</w:t>
      </w:r>
      <w:r w:rsidR="0046291B">
        <w:t xml:space="preserve">  </w:t>
      </w:r>
      <w:r w:rsidR="000F3EBC">
        <w:t xml:space="preserve">GBM calculates a TPR of </w:t>
      </w:r>
      <w:r w:rsidR="008A4A30">
        <w:t xml:space="preserve">about </w:t>
      </w:r>
      <w:r w:rsidR="000F3EBC">
        <w:t>50%</w:t>
      </w:r>
      <w:r w:rsidR="0046291B">
        <w:t xml:space="preserve">.  </w:t>
      </w:r>
      <w:r w:rsidR="000F3EBC">
        <w:t>Although there is a risk in allowing defaulted accounts to pass through the models</w:t>
      </w:r>
      <w:r w:rsidR="000F3EBC" w:rsidRPr="00080F7C">
        <w:t xml:space="preserve">, </w:t>
      </w:r>
      <w:r w:rsidR="000F3EBC">
        <w:t>the model correctly identifies both defaulted and legitimate accounts</w:t>
      </w:r>
      <w:r w:rsidR="000F3EBC" w:rsidRPr="00080F7C">
        <w:t xml:space="preserve"> </w:t>
      </w:r>
      <w:r w:rsidR="000F3EBC">
        <w:t>at</w:t>
      </w:r>
      <w:r w:rsidR="000F3EBC" w:rsidRPr="00080F7C">
        <w:t xml:space="preserve"> a 95% accuracy rate. However, the system still makes occasional mistakes, highlighting the need for fine-tuning to improve efficiency and customer experience. In this scenario, using a threshold </w:t>
      </w:r>
      <w:r w:rsidR="000F3EBC">
        <w:t xml:space="preserve">of </w:t>
      </w:r>
      <w:r w:rsidR="000F3EBC" w:rsidRPr="00080F7C">
        <w:t>0.</w:t>
      </w:r>
      <w:r w:rsidR="000F3EBC" w:rsidRPr="00D76D63">
        <w:t>389132</w:t>
      </w:r>
      <w:r w:rsidR="000F3EBC">
        <w:t xml:space="preserve"> for predicted probability</w:t>
      </w:r>
      <w:r w:rsidR="000F3EBC" w:rsidRPr="00080F7C">
        <w:t xml:space="preserve"> would capture </w:t>
      </w:r>
      <w:r w:rsidR="000F3EBC">
        <w:t>about 50</w:t>
      </w:r>
      <w:r w:rsidR="000F3EBC" w:rsidRPr="00080F7C">
        <w:t xml:space="preserve">% of all </w:t>
      </w:r>
      <w:r w:rsidR="000F3EBC">
        <w:t>defaulted accounts</w:t>
      </w:r>
      <w:r w:rsidR="000F3EBC" w:rsidRPr="00080F7C">
        <w:t xml:space="preserve"> with a precision of 95% while incorrectly flagging 5% of legitimate </w:t>
      </w:r>
      <w:r w:rsidR="000F3EBC">
        <w:t>accounts</w:t>
      </w:r>
      <w:r w:rsidR="000F3EBC" w:rsidRPr="00080F7C">
        <w:t xml:space="preserve"> as </w:t>
      </w:r>
      <w:r w:rsidR="000F3EBC">
        <w:t>defaulted</w:t>
      </w:r>
      <w:r w:rsidR="000F3EBC" w:rsidRPr="00080F7C">
        <w:t>.</w:t>
      </w:r>
    </w:p>
    <w:sectPr w:rsidR="00B43ABA" w:rsidRPr="00176883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81FD" w14:textId="77777777" w:rsidR="002A71E1" w:rsidRDefault="002A71E1">
      <w:r>
        <w:separator/>
      </w:r>
    </w:p>
    <w:p w14:paraId="74078446" w14:textId="77777777" w:rsidR="002A71E1" w:rsidRDefault="002A71E1"/>
    <w:p w14:paraId="5F6A6890" w14:textId="77777777" w:rsidR="002A71E1" w:rsidRDefault="002A71E1"/>
  </w:endnote>
  <w:endnote w:type="continuationSeparator" w:id="0">
    <w:p w14:paraId="28E8120B" w14:textId="77777777" w:rsidR="002A71E1" w:rsidRDefault="002A71E1">
      <w:r>
        <w:continuationSeparator/>
      </w:r>
    </w:p>
    <w:p w14:paraId="6A08EF02" w14:textId="77777777" w:rsidR="002A71E1" w:rsidRDefault="002A71E1"/>
    <w:p w14:paraId="73C616B6" w14:textId="77777777" w:rsidR="002A71E1" w:rsidRDefault="002A7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15165" w14:textId="77777777" w:rsidR="00C24536" w:rsidRDefault="00F331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EDB9" w14:textId="77777777" w:rsidR="002A71E1" w:rsidRDefault="002A71E1">
      <w:r>
        <w:separator/>
      </w:r>
    </w:p>
    <w:p w14:paraId="56828921" w14:textId="77777777" w:rsidR="002A71E1" w:rsidRDefault="002A71E1"/>
    <w:p w14:paraId="68D3964B" w14:textId="77777777" w:rsidR="002A71E1" w:rsidRDefault="002A71E1"/>
  </w:footnote>
  <w:footnote w:type="continuationSeparator" w:id="0">
    <w:p w14:paraId="7A1DF958" w14:textId="77777777" w:rsidR="002A71E1" w:rsidRDefault="002A71E1">
      <w:r>
        <w:continuationSeparator/>
      </w:r>
    </w:p>
    <w:p w14:paraId="6AF38E8A" w14:textId="77777777" w:rsidR="002A71E1" w:rsidRDefault="002A71E1"/>
    <w:p w14:paraId="1CB041CA" w14:textId="77777777" w:rsidR="002A71E1" w:rsidRDefault="002A71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B0718"/>
    <w:multiLevelType w:val="multilevel"/>
    <w:tmpl w:val="B544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725E4"/>
    <w:multiLevelType w:val="multilevel"/>
    <w:tmpl w:val="9CF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C0175"/>
    <w:multiLevelType w:val="multilevel"/>
    <w:tmpl w:val="12A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60F52"/>
    <w:multiLevelType w:val="multilevel"/>
    <w:tmpl w:val="C2EA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45B20"/>
    <w:multiLevelType w:val="hybridMultilevel"/>
    <w:tmpl w:val="2F202F58"/>
    <w:lvl w:ilvl="0" w:tplc="944A7B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5141C"/>
    <w:multiLevelType w:val="hybridMultilevel"/>
    <w:tmpl w:val="408C93BA"/>
    <w:lvl w:ilvl="0" w:tplc="944A7B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10C95"/>
    <w:multiLevelType w:val="multilevel"/>
    <w:tmpl w:val="A9A4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064DB"/>
    <w:multiLevelType w:val="multilevel"/>
    <w:tmpl w:val="CF80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A0397"/>
    <w:multiLevelType w:val="hybridMultilevel"/>
    <w:tmpl w:val="2BCC8816"/>
    <w:lvl w:ilvl="0" w:tplc="FFE0C0C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15768"/>
    <w:multiLevelType w:val="multilevel"/>
    <w:tmpl w:val="136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853D9"/>
    <w:multiLevelType w:val="hybridMultilevel"/>
    <w:tmpl w:val="A09879EC"/>
    <w:lvl w:ilvl="0" w:tplc="944A7B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34EED"/>
    <w:multiLevelType w:val="multilevel"/>
    <w:tmpl w:val="5F9C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EC22B8"/>
    <w:multiLevelType w:val="multilevel"/>
    <w:tmpl w:val="570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205505">
    <w:abstractNumId w:val="9"/>
  </w:num>
  <w:num w:numId="2" w16cid:durableId="322662304">
    <w:abstractNumId w:val="18"/>
  </w:num>
  <w:num w:numId="3" w16cid:durableId="1819567769">
    <w:abstractNumId w:val="22"/>
  </w:num>
  <w:num w:numId="4" w16cid:durableId="1824545562">
    <w:abstractNumId w:val="19"/>
  </w:num>
  <w:num w:numId="5" w16cid:durableId="302583743">
    <w:abstractNumId w:val="11"/>
  </w:num>
  <w:num w:numId="6" w16cid:durableId="192378154">
    <w:abstractNumId w:val="7"/>
  </w:num>
  <w:num w:numId="7" w16cid:durableId="1685088782">
    <w:abstractNumId w:val="6"/>
  </w:num>
  <w:num w:numId="8" w16cid:durableId="1180123501">
    <w:abstractNumId w:val="5"/>
  </w:num>
  <w:num w:numId="9" w16cid:durableId="47656421">
    <w:abstractNumId w:val="4"/>
  </w:num>
  <w:num w:numId="10" w16cid:durableId="364523716">
    <w:abstractNumId w:val="8"/>
  </w:num>
  <w:num w:numId="11" w16cid:durableId="1049381503">
    <w:abstractNumId w:val="3"/>
  </w:num>
  <w:num w:numId="12" w16cid:durableId="1684086321">
    <w:abstractNumId w:val="2"/>
  </w:num>
  <w:num w:numId="13" w16cid:durableId="845439681">
    <w:abstractNumId w:val="1"/>
  </w:num>
  <w:num w:numId="14" w16cid:durableId="931888757">
    <w:abstractNumId w:val="0"/>
  </w:num>
  <w:num w:numId="15" w16cid:durableId="1367102335">
    <w:abstractNumId w:val="20"/>
  </w:num>
  <w:num w:numId="16" w16cid:durableId="987904078">
    <w:abstractNumId w:val="26"/>
  </w:num>
  <w:num w:numId="17" w16cid:durableId="916673117">
    <w:abstractNumId w:val="23"/>
  </w:num>
  <w:num w:numId="18" w16cid:durableId="677390353">
    <w:abstractNumId w:val="27"/>
  </w:num>
  <w:num w:numId="19" w16cid:durableId="1574199652">
    <w:abstractNumId w:val="17"/>
  </w:num>
  <w:num w:numId="20" w16cid:durableId="2060011009">
    <w:abstractNumId w:val="10"/>
  </w:num>
  <w:num w:numId="21" w16cid:durableId="497237363">
    <w:abstractNumId w:val="21"/>
  </w:num>
  <w:num w:numId="22" w16cid:durableId="493909991">
    <w:abstractNumId w:val="14"/>
  </w:num>
  <w:num w:numId="23" w16cid:durableId="42677425">
    <w:abstractNumId w:val="24"/>
  </w:num>
  <w:num w:numId="24" w16cid:durableId="1288976623">
    <w:abstractNumId w:val="28"/>
  </w:num>
  <w:num w:numId="25" w16cid:durableId="418986213">
    <w:abstractNumId w:val="12"/>
  </w:num>
  <w:num w:numId="26" w16cid:durableId="283579672">
    <w:abstractNumId w:val="13"/>
  </w:num>
  <w:num w:numId="27" w16cid:durableId="1857571133">
    <w:abstractNumId w:val="25"/>
  </w:num>
  <w:num w:numId="28" w16cid:durableId="1779324658">
    <w:abstractNumId w:val="16"/>
  </w:num>
  <w:num w:numId="29" w16cid:durableId="16206439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21"/>
    <w:rsid w:val="0001027F"/>
    <w:rsid w:val="00011898"/>
    <w:rsid w:val="00023FEC"/>
    <w:rsid w:val="0003765D"/>
    <w:rsid w:val="00063D8A"/>
    <w:rsid w:val="00080F7C"/>
    <w:rsid w:val="00085861"/>
    <w:rsid w:val="000902B7"/>
    <w:rsid w:val="000A5CBA"/>
    <w:rsid w:val="000B5299"/>
    <w:rsid w:val="000C1430"/>
    <w:rsid w:val="000C1670"/>
    <w:rsid w:val="000C2A5B"/>
    <w:rsid w:val="000D47BE"/>
    <w:rsid w:val="000E23CF"/>
    <w:rsid w:val="000F3EBC"/>
    <w:rsid w:val="000F5015"/>
    <w:rsid w:val="00102016"/>
    <w:rsid w:val="00120221"/>
    <w:rsid w:val="001452F8"/>
    <w:rsid w:val="00160FAB"/>
    <w:rsid w:val="00176883"/>
    <w:rsid w:val="00180D7E"/>
    <w:rsid w:val="0019241F"/>
    <w:rsid w:val="001A1276"/>
    <w:rsid w:val="001B0741"/>
    <w:rsid w:val="001B6363"/>
    <w:rsid w:val="001C3E2A"/>
    <w:rsid w:val="001F09A2"/>
    <w:rsid w:val="001F428D"/>
    <w:rsid w:val="0025554B"/>
    <w:rsid w:val="00256B56"/>
    <w:rsid w:val="0027768B"/>
    <w:rsid w:val="00294046"/>
    <w:rsid w:val="002A71E1"/>
    <w:rsid w:val="002B538D"/>
    <w:rsid w:val="002D122A"/>
    <w:rsid w:val="002D732D"/>
    <w:rsid w:val="002E5982"/>
    <w:rsid w:val="002F018B"/>
    <w:rsid w:val="00300898"/>
    <w:rsid w:val="00326D3B"/>
    <w:rsid w:val="0033758C"/>
    <w:rsid w:val="00345AA4"/>
    <w:rsid w:val="00351D19"/>
    <w:rsid w:val="003537CC"/>
    <w:rsid w:val="00354C3C"/>
    <w:rsid w:val="003A063A"/>
    <w:rsid w:val="003A546D"/>
    <w:rsid w:val="003A77C4"/>
    <w:rsid w:val="003B5705"/>
    <w:rsid w:val="003D7BB7"/>
    <w:rsid w:val="003E14FD"/>
    <w:rsid w:val="00401788"/>
    <w:rsid w:val="00412830"/>
    <w:rsid w:val="0042313F"/>
    <w:rsid w:val="00431197"/>
    <w:rsid w:val="00444E8B"/>
    <w:rsid w:val="00447A7D"/>
    <w:rsid w:val="004529C8"/>
    <w:rsid w:val="0046291B"/>
    <w:rsid w:val="004810C1"/>
    <w:rsid w:val="00486B35"/>
    <w:rsid w:val="004961D5"/>
    <w:rsid w:val="00497BA0"/>
    <w:rsid w:val="004C6970"/>
    <w:rsid w:val="004E0672"/>
    <w:rsid w:val="00521660"/>
    <w:rsid w:val="005274B9"/>
    <w:rsid w:val="00533059"/>
    <w:rsid w:val="00554DDF"/>
    <w:rsid w:val="00561113"/>
    <w:rsid w:val="005B000A"/>
    <w:rsid w:val="005B3EE4"/>
    <w:rsid w:val="005B601B"/>
    <w:rsid w:val="005E127C"/>
    <w:rsid w:val="005E3018"/>
    <w:rsid w:val="005F0D21"/>
    <w:rsid w:val="006061A1"/>
    <w:rsid w:val="0064695F"/>
    <w:rsid w:val="006524CD"/>
    <w:rsid w:val="0066508B"/>
    <w:rsid w:val="006663E7"/>
    <w:rsid w:val="006906E9"/>
    <w:rsid w:val="006A6BFF"/>
    <w:rsid w:val="006C2A73"/>
    <w:rsid w:val="006D3843"/>
    <w:rsid w:val="006F771F"/>
    <w:rsid w:val="00720E52"/>
    <w:rsid w:val="007235E6"/>
    <w:rsid w:val="00744D8A"/>
    <w:rsid w:val="007615E3"/>
    <w:rsid w:val="00766A02"/>
    <w:rsid w:val="00784D47"/>
    <w:rsid w:val="00794C15"/>
    <w:rsid w:val="007A410E"/>
    <w:rsid w:val="007E6F2A"/>
    <w:rsid w:val="007F39C5"/>
    <w:rsid w:val="007F6365"/>
    <w:rsid w:val="00815421"/>
    <w:rsid w:val="0084559F"/>
    <w:rsid w:val="00870382"/>
    <w:rsid w:val="008769B3"/>
    <w:rsid w:val="00892318"/>
    <w:rsid w:val="00893635"/>
    <w:rsid w:val="008A4A30"/>
    <w:rsid w:val="008A66F4"/>
    <w:rsid w:val="008B0007"/>
    <w:rsid w:val="008C1C07"/>
    <w:rsid w:val="008C5F42"/>
    <w:rsid w:val="008C75E2"/>
    <w:rsid w:val="008D40D7"/>
    <w:rsid w:val="008E0ECE"/>
    <w:rsid w:val="008F4919"/>
    <w:rsid w:val="008F7B21"/>
    <w:rsid w:val="00923497"/>
    <w:rsid w:val="00930572"/>
    <w:rsid w:val="00937BA5"/>
    <w:rsid w:val="00941487"/>
    <w:rsid w:val="00942C8A"/>
    <w:rsid w:val="00945EA1"/>
    <w:rsid w:val="0096560F"/>
    <w:rsid w:val="009875A9"/>
    <w:rsid w:val="00996459"/>
    <w:rsid w:val="009C49AF"/>
    <w:rsid w:val="009D5242"/>
    <w:rsid w:val="009F11E0"/>
    <w:rsid w:val="009F2FE9"/>
    <w:rsid w:val="00A33BA3"/>
    <w:rsid w:val="00A33E48"/>
    <w:rsid w:val="00A51C7F"/>
    <w:rsid w:val="00A573F7"/>
    <w:rsid w:val="00B06941"/>
    <w:rsid w:val="00B24DD2"/>
    <w:rsid w:val="00B316CA"/>
    <w:rsid w:val="00B350FE"/>
    <w:rsid w:val="00B43ABA"/>
    <w:rsid w:val="00B451E1"/>
    <w:rsid w:val="00B45418"/>
    <w:rsid w:val="00B819FC"/>
    <w:rsid w:val="00B91BB7"/>
    <w:rsid w:val="00B95376"/>
    <w:rsid w:val="00BA420C"/>
    <w:rsid w:val="00BC604D"/>
    <w:rsid w:val="00BD72A1"/>
    <w:rsid w:val="00C167DB"/>
    <w:rsid w:val="00C24536"/>
    <w:rsid w:val="00C33C47"/>
    <w:rsid w:val="00C91744"/>
    <w:rsid w:val="00CA1EB3"/>
    <w:rsid w:val="00CC1775"/>
    <w:rsid w:val="00CC37F6"/>
    <w:rsid w:val="00CC42CC"/>
    <w:rsid w:val="00CE3931"/>
    <w:rsid w:val="00CE6F68"/>
    <w:rsid w:val="00CF346F"/>
    <w:rsid w:val="00D01476"/>
    <w:rsid w:val="00D03080"/>
    <w:rsid w:val="00D13217"/>
    <w:rsid w:val="00D214C1"/>
    <w:rsid w:val="00D64752"/>
    <w:rsid w:val="00D723D9"/>
    <w:rsid w:val="00D728E4"/>
    <w:rsid w:val="00D72A75"/>
    <w:rsid w:val="00D87342"/>
    <w:rsid w:val="00D90ABA"/>
    <w:rsid w:val="00D92BDF"/>
    <w:rsid w:val="00DB3662"/>
    <w:rsid w:val="00DC0740"/>
    <w:rsid w:val="00DD3513"/>
    <w:rsid w:val="00DE2C1E"/>
    <w:rsid w:val="00DE6C22"/>
    <w:rsid w:val="00E05CF9"/>
    <w:rsid w:val="00E27700"/>
    <w:rsid w:val="00E64589"/>
    <w:rsid w:val="00E73F08"/>
    <w:rsid w:val="00E83838"/>
    <w:rsid w:val="00ED49E6"/>
    <w:rsid w:val="00EE4FE4"/>
    <w:rsid w:val="00EF2374"/>
    <w:rsid w:val="00F01C04"/>
    <w:rsid w:val="00F02506"/>
    <w:rsid w:val="00F175A0"/>
    <w:rsid w:val="00F331E2"/>
    <w:rsid w:val="00F36207"/>
    <w:rsid w:val="00F525DF"/>
    <w:rsid w:val="00F55DA4"/>
    <w:rsid w:val="00F65ADD"/>
    <w:rsid w:val="00F75A0F"/>
    <w:rsid w:val="00F93DC8"/>
    <w:rsid w:val="00FA188C"/>
    <w:rsid w:val="00FB0DB7"/>
    <w:rsid w:val="00FB5809"/>
    <w:rsid w:val="00FE0602"/>
    <w:rsid w:val="00F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4192C"/>
  <w15:chartTrackingRefBased/>
  <w15:docId w15:val="{7F56C878-9A45-914F-9611-972273F4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C8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8F7B21"/>
    <w:pPr>
      <w:ind w:left="720"/>
      <w:contextualSpacing/>
    </w:pPr>
  </w:style>
  <w:style w:type="table" w:styleId="TableWeb2">
    <w:name w:val="Table Web 2"/>
    <w:basedOn w:val="TableNormal"/>
    <w:uiPriority w:val="99"/>
    <w:rsid w:val="008F7B2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-Accent1">
    <w:name w:val="Grid Table 3 Accent 1"/>
    <w:basedOn w:val="TableNormal"/>
    <w:uiPriority w:val="48"/>
    <w:rsid w:val="006663E7"/>
    <w:pPr>
      <w:spacing w:after="0" w:line="240" w:lineRule="auto"/>
    </w:pPr>
    <w:tblPr>
      <w:tblStyleRowBandSize w:val="1"/>
      <w:tblStyleColBandSize w:val="1"/>
      <w:tblBorders>
        <w:top w:val="single" w:sz="4" w:space="0" w:color="92B2B5" w:themeColor="accent1" w:themeTint="99"/>
        <w:left w:val="single" w:sz="4" w:space="0" w:color="92B2B5" w:themeColor="accent1" w:themeTint="99"/>
        <w:bottom w:val="single" w:sz="4" w:space="0" w:color="92B2B5" w:themeColor="accent1" w:themeTint="99"/>
        <w:right w:val="single" w:sz="4" w:space="0" w:color="92B2B5" w:themeColor="accent1" w:themeTint="99"/>
        <w:insideH w:val="single" w:sz="4" w:space="0" w:color="92B2B5" w:themeColor="accent1" w:themeTint="99"/>
        <w:insideV w:val="single" w:sz="4" w:space="0" w:color="92B2B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5E6" w:themeFill="accent1" w:themeFillTint="33"/>
      </w:tcPr>
    </w:tblStylePr>
    <w:tblStylePr w:type="band1Horz">
      <w:tblPr/>
      <w:tcPr>
        <w:shd w:val="clear" w:color="auto" w:fill="DAE5E6" w:themeFill="accent1" w:themeFillTint="33"/>
      </w:tcPr>
    </w:tblStylePr>
    <w:tblStylePr w:type="neCell">
      <w:tblPr/>
      <w:tcPr>
        <w:tcBorders>
          <w:bottom w:val="single" w:sz="4" w:space="0" w:color="92B2B5" w:themeColor="accent1" w:themeTint="99"/>
        </w:tcBorders>
      </w:tcPr>
    </w:tblStylePr>
    <w:tblStylePr w:type="nwCell">
      <w:tblPr/>
      <w:tcPr>
        <w:tcBorders>
          <w:bottom w:val="single" w:sz="4" w:space="0" w:color="92B2B5" w:themeColor="accent1" w:themeTint="99"/>
        </w:tcBorders>
      </w:tcPr>
    </w:tblStylePr>
    <w:tblStylePr w:type="seCell">
      <w:tblPr/>
      <w:tcPr>
        <w:tcBorders>
          <w:top w:val="single" w:sz="4" w:space="0" w:color="92B2B5" w:themeColor="accent1" w:themeTint="99"/>
        </w:tcBorders>
      </w:tcPr>
    </w:tblStylePr>
    <w:tblStylePr w:type="swCell">
      <w:tblPr/>
      <w:tcPr>
        <w:tcBorders>
          <w:top w:val="single" w:sz="4" w:space="0" w:color="92B2B5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663E7"/>
    <w:pPr>
      <w:spacing w:after="0" w:line="240" w:lineRule="auto"/>
    </w:pPr>
    <w:tblPr>
      <w:tblStyleRowBandSize w:val="1"/>
      <w:tblStyleColBandSize w:val="1"/>
      <w:tblBorders>
        <w:top w:val="single" w:sz="2" w:space="0" w:color="E89C8E" w:themeColor="accent4" w:themeTint="99"/>
        <w:bottom w:val="single" w:sz="2" w:space="0" w:color="E89C8E" w:themeColor="accent4" w:themeTint="99"/>
        <w:insideH w:val="single" w:sz="2" w:space="0" w:color="E89C8E" w:themeColor="accent4" w:themeTint="99"/>
        <w:insideV w:val="single" w:sz="2" w:space="0" w:color="E89C8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9C8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9C8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9" w:themeFill="accent4" w:themeFillTint="33"/>
      </w:tcPr>
    </w:tblStylePr>
    <w:tblStylePr w:type="band1Horz">
      <w:tblPr/>
      <w:tcPr>
        <w:shd w:val="clear" w:color="auto" w:fill="F7DDD9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4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ABA"/>
    <w:rPr>
      <w:rFonts w:ascii="Courier New" w:eastAsia="Times New Roman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377</Words>
  <Characters>2012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Baldis, Nik</cp:lastModifiedBy>
  <cp:revision>67</cp:revision>
  <dcterms:created xsi:type="dcterms:W3CDTF">2024-03-09T01:13:00Z</dcterms:created>
  <dcterms:modified xsi:type="dcterms:W3CDTF">2024-03-09T06:56:00Z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  <property fmtid="{D5CDD505-2E9C-101B-9397-08002B2CF9AE}" pid="3" name="GrammarlyDocumentId">
    <vt:lpwstr>622a1086482640c7152797b010e255dd9f79da8d399cd20a8064375e77cce22c</vt:lpwstr>
  </property>
</Properties>
</file>