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0.png" ContentType="image/png"/>
  <Override PartName="/word/media/rId27.png" ContentType="image/png"/>
  <Override PartName="/word/media/rId2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22" w:name="X09a3e0135293a359a8196a9e69237f3ca7d0e6c"/>
    <w:p>
      <w:pPr>
        <w:pStyle w:val="1"/>
      </w:pPr>
      <w:r>
        <w:t xml:space="preserve">1. Statistical analysis (этот раздел надо копировать полностью в статью)</w:t>
      </w:r>
    </w:p>
    <w:bookmarkStart w:id="20" w:name="sample-size."/>
    <w:p>
      <w:pPr>
        <w:pStyle w:val="2"/>
      </w:pPr>
      <w:r>
        <w:t xml:space="preserve">1.1 Sample size.</w:t>
      </w:r>
    </w:p>
    <w:p>
      <w:pPr>
        <w:pStyle w:val="FirstParagraph"/>
      </w:pPr>
      <w:r>
        <w:t xml:space="preserve">A power calculation was carried out to determine the sample size. The non-inferior margin mean difference in the VAS score between compression 1 level and 2 level was estimated to be 1 cm with a standard deviation of 2 cm (H0: mean of 1 level - mean of 2 level ≥ 1). It was required to include 100 patients (50 per group) for power = 80%, alpha = 5%. [Chow S, Shao J, Wang H. 2008. Sample Size Calculations in Clinical Research. 2nd Ed. Chapman &amp; Hall/CRC Biostatistics Series]</w:t>
      </w:r>
    </w:p>
    <w:bookmarkEnd w:id="20"/>
    <w:bookmarkStart w:id="21" w:name="data-analysis"/>
    <w:p>
      <w:pPr>
        <w:pStyle w:val="2"/>
      </w:pPr>
      <w:r>
        <w:t xml:space="preserve">1.2 Data analysis</w:t>
      </w:r>
    </w:p>
    <w:p>
      <w:pPr>
        <w:pStyle w:val="FirstParagraph"/>
      </w:pPr>
      <w:r>
        <w:t xml:space="preserve">Descriptive statistics, including means (standard deviation) for continuous variables and counts (percents) for categorical variables, were summarized data. Differences in proportions between groups were calculated using a Pearson’s chi-squared test of homogeneity, differences in means were calculated using a Welch’s t-test. For pairwise compares by time we used Cochran’s Q test and paired Welch’s t-test.</w:t>
      </w:r>
    </w:p>
    <w:p>
      <w:pPr>
        <w:pStyle w:val="BodyText"/>
      </w:pPr>
      <w:r>
        <w:br/>
      </w:r>
      <w:r>
        <w:t xml:space="preserve">Primary end point was estimated as mean difference (MD) using linear regression with adjusted interaction between compression and age and sex. Wald-type 95% confidence intervals (CI) were computed using heteroscedasticity-consistent robust standard errors (type HC3 sandwich estimators). Marginal effects are reported as adjusted means with 95% CI, derived using a balanced grid of all unique combinations of categorical covariates while holding numeric covariates at their means. It was tested with to the non-inferiority hypothesis (margin = 1). The null hypothesis was rejected when one-side p-value was lower than 0.05.</w:t>
      </w:r>
    </w:p>
    <w:p>
      <w:pPr>
        <w:pStyle w:val="BodyText"/>
      </w:pPr>
      <w:r>
        <w:br/>
      </w:r>
      <w:r>
        <w:t xml:space="preserve">Additional analysis. The sum levels of pain by VAS measured between compression levels (fixed effect) within each 14 postoperative day were represented as incidence rate ratio (IRR). The population-averaged generalized estimating equation (GEE) with Poisson log-linear link regression and autoregressive correlation structure was used to сalculate this estimate. Postoperative day was included as an variable specifying the ordering of repeated measurements on the same unit to account for reduction in levels of pain during time. IRR was estimated adjusted for between compression and interaction age and sex as variables that have an impact on outcome. The interaction between compression and time was also included. The delta method was used to calculate the uncertainty of the estimate, which is presented as 95% CI. Also approach estimated VCSS and CIVIQ-20 value.</w:t>
      </w:r>
    </w:p>
    <w:p>
      <w:pPr>
        <w:pStyle w:val="BodyText"/>
      </w:pPr>
      <w:r>
        <w:br/>
      </w:r>
      <w:r>
        <w:t xml:space="preserve">The subgroup analysis used a linear model from the primary analysis. Results represented as MD, 95% CI. We used analysis of variance (ANOVA) to estimate the heterogeneity of the main fixed effect in subgroups for a linear model where a subgroup variable was included as an interaction. A two-side p-value less then 0.05 was significant. Statistical analysis was performed using the open-source software R version 4.5.0 for Mac OS (The R Foundation, http://www.R-project.org) with the generation of a report via Quarto using the following packages: readxl, tidyverse, gtsummary, marginaleffects, flextable, geepack, ggplot2, patchwork.</w:t>
      </w:r>
    </w:p>
    <w:bookmarkEnd w:id="21"/>
    <w:bookmarkEnd w:id="22"/>
    <w:bookmarkStart w:id="43" w:name="results"/>
    <w:p>
      <w:pPr>
        <w:pStyle w:val="1"/>
      </w:pPr>
      <w:r>
        <w:t xml:space="preserve">2. Results</w:t>
      </w:r>
    </w:p>
    <w:bookmarkStart w:id="23" w:name="descriptive-statistics-at-sample"/>
    <w:p>
      <w:pPr>
        <w:pStyle w:val="2"/>
      </w:pPr>
      <w:r>
        <w:t xml:space="preserve">2.1 Descriptive statistics at sample</w:t>
      </w:r>
    </w:p>
    <w:p>
      <w:pPr>
        <w:pStyle w:val="FirstParagraph"/>
      </w:pPr>
      <w:r>
        <w:t xml:space="preserve">Table 1. Clinical parameters.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43"/>
        <w:gridCol w:w="2071"/>
        <w:gridCol w:w="2071"/>
        <w:gridCol w:w="2071"/>
        <w:gridCol w:w="1107"/>
      </w:tblGrid>
      <w:tr>
        <w:trPr>
          <w:trHeight w:val="555" w:hRule="auto"/>
          <w:tblHeader/>
        </w:trPr>
        header 1
        <w:tc>
          <w:tcPr>
            <w:vMerge w:val="restart"/>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Characteristic</w:t>
            </w:r>
          </w:p>
        </w:tc>
        <w:tc>
          <w:tcPr>
            <w:vMerge w:val="restart"/>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Overall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N = 100</w:t>
            </w:r>
          </w:p>
        </w:tc>
        <w:tc>
          <w:tcPr>
            <w:gridSpan w:val="2"/>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Compression</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
            </w:r>
          </w:p>
        </w:tc>
      </w:tr>
      <w:tr>
        <w:trPr>
          <w:trHeight w:val="555" w:hRule="auto"/>
          <w:tblHeader/>
        </w:trPr>
        header 2
        <w:tc>
          <w:tcPr>
            <w:vMerge/>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p>
        </w:tc>
        <w:tc>
          <w:tcPr>
            <w:vMerge/>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1 level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N = 50</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2 level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N = 50</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p-value</w:t>
            </w:r>
          </w:p>
        </w:tc>
      </w:tr>
      <w:tr>
        <w:trPr>
          <w:trHeight w:val="629" w:hRule="auto"/>
        </w:trPr>
        body 1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Age, years</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49.6 (15.2)</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48.9 (15.9)</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50.3 (14.7)</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0.639</w:t>
            </w:r>
          </w:p>
        </w:tc>
      </w:tr>
      <w:tr>
        <w:trPr>
          <w:trHeight w:val="577"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Sex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0.509</w:t>
            </w:r>
          </w:p>
        </w:tc>
      </w:tr>
      <w:tr>
        <w:trPr>
          <w:trHeight w:val="629"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Female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71 (71)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34 (68)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37 (74)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Male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29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16 (32)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13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581"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Side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0.688</w:t>
            </w:r>
          </w:p>
        </w:tc>
      </w:tr>
      <w:tr>
        <w:trPr>
          <w:trHeight w:val="629"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Left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46 (46)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24 (48)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22 (44)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Rigth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54 (54)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26 (52)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28 (56)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581"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CEAP class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0.815</w:t>
            </w:r>
          </w:p>
        </w:tc>
      </w:tr>
      <w:tr>
        <w:trPr>
          <w:trHeight w:val="629"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33 (33)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18 (36)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15 (30)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40 (40)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19 (38)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21 (42)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27 (27)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13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14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Ankle circumference, cm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23.3 (2.5)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23.6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23.0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0.252</w:t>
            </w:r>
          </w:p>
        </w:tc>
      </w:tr>
      <w:tr>
        <w:trPr>
          <w:trHeight w:val="629"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Stocking size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0.869</w:t>
            </w:r>
          </w:p>
        </w:tc>
      </w:tr>
      <w:tr>
        <w:trPr>
          <w:trHeight w:val="629"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 Norm Long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10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 (8)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 Norm Short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 (5)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 (8)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 (2)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 Plus Long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9 (9)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 (8)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 Plus Short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9 (9)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 (8)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M Norm Long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29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12 (24)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17 (34)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M Norm Short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11 (11)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M Plus Long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8 (8)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 (6)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M Plus Short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 (1)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 (2)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 Norm Long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13 (13)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7 (14)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body23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 Norm Short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 (5)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 (4)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 (6)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w:r>
          </w:p>
        </w:tc>
      </w:tr>
      <w:tr>
        <w:trPr>
          <w:trHeight w:val="629" w:hRule="auto"/>
        </w:trPr>
        body24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VCSS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6.1 (2.7)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5.6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6.5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0.116</w:t>
            </w:r>
          </w:p>
        </w:tc>
      </w:tr>
      <w:tr>
        <w:trPr>
          <w:trHeight w:val="629" w:hRule="auto"/>
        </w:trPr>
        body25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CIVIQ-20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35.0 (12.6)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32.9 (12.6)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37.0 (12.4)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0.108</w:t>
            </w:r>
          </w:p>
        </w:tc>
      </w:tr>
      <w:tr>
        <w:trPr>
          <w:trHeight w:val="629" w:hRule="auto"/>
        </w:trPr>
        body26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Aching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24.0 (23.7)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21.0 (24.5)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27.0 (22.8)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0.208</w:t>
            </w:r>
          </w:p>
        </w:tc>
      </w:tr>
      <w:tr>
        <w:trPr>
          <w:trHeight w:val="629" w:hRule="auto"/>
        </w:trPr>
        body27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Pulsation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17.0 (22.0)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14.0 (22.3)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20.0 (21.6)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0.175</w:t>
            </w:r>
          </w:p>
        </w:tc>
      </w:tr>
      <w:tr>
        <w:trPr>
          <w:trHeight w:val="629" w:hRule="auto"/>
        </w:trPr>
        body28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Shyness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16.8 (21.9)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15.6 (21.9)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18.0 (22.0)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0.586</w:t>
            </w:r>
          </w:p>
        </w:tc>
      </w:tr>
      <w:tr>
        <w:trPr>
          <w:trHeight w:val="629" w:hRule="auto"/>
        </w:trPr>
        body29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Severity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35.4 (27.7)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35.0 (28.4)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35.8 (27.3)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0.886</w:t>
            </w:r>
          </w:p>
        </w:tc>
      </w:tr>
      <w:tr>
        <w:trPr>
          <w:trHeight w:val="629" w:hRule="auto"/>
        </w:trPr>
        body30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Fatigue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30.8 (27.0)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30.8 (28.6)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30.8 (25.5)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&gt;0.999</w:t>
            </w:r>
          </w:p>
        </w:tc>
      </w:tr>
      <w:tr>
        <w:trPr>
          <w:trHeight w:val="629" w:hRule="auto"/>
        </w:trPr>
        body31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31.4 (28.1)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31.2 (28.3)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31.6 (28.1)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0.944</w:t>
            </w:r>
          </w:p>
        </w:tc>
      </w:tr>
      <w:tr>
        <w:trPr>
          <w:trHeight w:val="629" w:hRule="auto"/>
        </w:trPr>
        body32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Seizures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20.2 (25.7)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19.2 (25.1)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21.2 (26.5)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0.699</w:t>
            </w:r>
          </w:p>
        </w:tc>
      </w:tr>
      <w:tr>
        <w:trPr>
          <w:trHeight w:val="629" w:hRule="auto"/>
        </w:trPr>
        body33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Itching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13.3 (24.2)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7.8 (17.3)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18.8 (28.7)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0.023</w:t>
            </w:r>
          </w:p>
        </w:tc>
      </w:tr>
      <w:tr>
        <w:trPr>
          <w:trHeight w:val="629" w:hRule="auto"/>
        </w:trPr>
        body34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Anxiety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26.0 (25.5)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23.2 (24.0)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28.8 (26.9)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0.275</w:t>
            </w:r>
          </w:p>
        </w:tc>
      </w:tr>
      <w:tr>
        <w:trPr>
          <w:trHeight w:val="629" w:hRule="auto"/>
        </w:trPr>
        body35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Tingling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12.5 (18.4)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9.8 (16.0)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15.2 (20.4)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0.144</w:t>
            </w:r>
          </w:p>
        </w:tc>
      </w:tr>
      <w:tr>
        <w:trPr>
          <w:trHeight w:val="629" w:hRule="auto"/>
        </w:trPr>
        body36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Burning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17.0 (26.3)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14.8 (25.3)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19.2 (27.3)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0.405</w:t>
            </w:r>
          </w:p>
        </w:tc>
      </w:tr>
      <w:tr>
        <w:trPr>
          <w:trHeight w:val="629" w:hRule="auto"/>
        </w:trPr>
        body37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Power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6.7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6.8 (1.3)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6.6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0.428</w:t>
            </w:r>
          </w:p>
        </w:tc>
      </w:tr>
      <w:tr>
        <w:trPr>
          <w:trHeight w:val="629" w:hRule="auto"/>
        </w:trPr>
        body38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Energy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2,904.9 (1,029.4)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2,895.0 (1,010.8)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2,914.8 (1,057.9)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0.924</w:t>
            </w:r>
          </w:p>
        </w:tc>
      </w:tr>
      <w:tr>
        <w:trPr>
          <w:trHeight w:val="629" w:hRule="auto"/>
        </w:trPr>
        body39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66.2 (14.9)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64.8 (13.5)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67.5 (16.2)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0.379</w:t>
            </w:r>
          </w:p>
        </w:tc>
      </w:tr>
      <w:tr>
        <w:trPr>
          <w:trHeight w:val="629" w:hRule="auto"/>
        </w:trPr>
        body40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Diameter SFC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10.9 (3.0)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11.2 (3.2)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10.7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0.406</w:t>
            </w:r>
          </w:p>
        </w:tc>
      </w:tr>
      <w:tr>
        <w:trPr>
          <w:trHeight w:val="629" w:hRule="auto"/>
        </w:trPr>
        body41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Diameter LSV</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10.9 (3.7)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11.2 (3.8)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10.7 (3.7)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0.487</w:t>
            </w:r>
          </w:p>
        </w:tc>
      </w:tr>
      <w:tr>
        <w:trPr>
          <w:trHeight w:val="629" w:hRule="auto"/>
        </w:trPr>
        body42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Vein length</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44.8 (12.4)</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44.9 (12.1)</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44.8 (12.8)</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0.962</w:t>
            </w:r>
          </w:p>
        </w:tc>
      </w:tr>
    </w:tbl>
    <w:p>
      <w:pPr>
        <w:pStyle w:val="BodyText"/>
      </w:pPr>
      <w:r>
        <w:t xml:space="preserve">Presentation of variables: quantitative - mean (SD), qualitative - count (percent).</w:t>
      </w:r>
    </w:p>
    <w:p>
      <w:pPr>
        <w:pStyle w:val="BodyText"/>
      </w:pPr>
      <w:r>
        <w:br/>
      </w:r>
      <w:r>
        <w:t xml:space="preserve">We enrolled 100 patients. Baseline characteristics did not significantly differ among the randomized compression of 1 level and 2 level groups (Table 1), but mean itching significant less in 1 level (7.8 vs 18.8). Mean age was 49.6 years (SD 15.2), 29% patients were men, and 33% were of CEAP 2 class.</w:t>
      </w:r>
    </w:p>
    <w:bookmarkEnd w:id="23"/>
    <w:bookmarkStart w:id="36" w:name="primary-end-point"/>
    <w:p>
      <w:pPr>
        <w:pStyle w:val="2"/>
      </w:pPr>
      <w:r>
        <w:t xml:space="preserve">2.2 Primary end point</w:t>
      </w:r>
    </w:p>
    <w:p>
      <w:pPr>
        <w:pStyle w:val="FirstParagraph"/>
      </w:pPr>
      <w:r>
        <w:t xml:space="preserve">Table 2. Main result.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57"/>
        <w:gridCol w:w="2058"/>
        <w:gridCol w:w="1903"/>
        <w:gridCol w:w="1804"/>
        <w:gridCol w:w="1171"/>
      </w:tblGrid>
      <w:tr>
        <w:trPr>
          <w:trHeight w:val="836"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Compression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Adjusted means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(95% CI)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Difference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Adjusted MD</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(95% CI)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p-value</w:t>
            </w:r>
          </w:p>
        </w:tc>
      </w:tr>
      <w:tr>
        <w:trPr>
          <w:trHeight w:val="79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 level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(0.49, 1.23)</w:t>
            </w:r>
          </w:p>
        </w:tc>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 level - 2 level</w:t>
            </w:r>
          </w:p>
        </w:tc>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-0.22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(-0.8, 0.36)</w:t>
            </w:r>
          </w:p>
        </w:tc>
        <w:tc>
          <w:tcPr>
            <w:vMerge w:val="restart"/>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794"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 level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1.08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(0.63, 1.53)</w:t>
            </w:r>
          </w:p>
        </w:tc>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p>
        </w:tc>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p>
        </w:tc>
        <w:tc>
          <w:tcPr>
            <w:vMerge/>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p>
        </w:tc>
      </w:tr>
    </w:tbl>
    <w:p>
      <w:pPr>
        <w:pStyle w:val="BodyText"/>
      </w:pPr>
      <w:r>
        <w:t xml:space="preserve">p-value for non-inferiority (margin = 1).</w:t>
      </w:r>
    </w:p>
    <w:p>
      <w:pPr>
        <w:pStyle w:val="BodyText"/>
      </w:pPr>
      <w:r>
        <w:br/>
      </w:r>
      <w:r>
        <w:t xml:space="preserve">The adjusted averages for 1 and 2 levels were 0.86 and 1.08, adjusted mean difference was -0.22 (95% CI -0.80; 0.36) with p-value &lt; 0.001 for non-inferiority (table 2 and figure 1). 1 level of compression is significantly no inferior to 2 level.</w:t>
      </w:r>
    </w:p>
    <w:p>
      <w:pPr>
        <w:pStyle w:val="BodyText"/>
      </w:pPr>
      <w:r>
        <w:br/>
      </w:r>
      <w:r>
        <w:t xml:space="preserve">Figure 1. Marginal means for levels of compression.</w:t>
      </w:r>
    </w:p>
    <w:p>
      <w:pPr>
        <w:pStyle w:val="BodyText"/>
      </w:pPr>
      <w:r>
        <w:drawing>
          <wp:inline>
            <wp:extent cx="5930900" cy="3953933"/>
            <wp:effectExtent b="0" l="0" r="0" t="0"/>
            <wp:docPr descr="" title="" id="25" name="Picture"/>
            <a:graphic>
              <a:graphicData uri="http://schemas.openxmlformats.org/drawingml/2006/picture">
                <pic:pic>
                  <pic:nvPicPr>
                    <pic:cNvPr descr="Results_new_files/figure-docx/Plot%20of%20model-1.png" id="26" name="Picture"/>
                    <pic:cNvPicPr>
                      <a:picLocks noChangeArrowheads="1" noChangeAspect="1"/>
                    </pic:cNvPicPr>
                  </pic:nvPicPr>
                  <pic:blipFill>
                    <a:blip r:embed="rId24"/>
                    <a:stretch>
                      <a:fillRect/>
                    </a:stretch>
                  </pic:blipFill>
                  <pic:spPr bwMode="auto">
                    <a:xfrm>
                      <a:off x="0" y="0"/>
                      <a:ext cx="5930900" cy="3953933"/>
                    </a:xfrm>
                    <a:prstGeom prst="rect">
                      <a:avLst/>
                    </a:prstGeom>
                    <a:noFill/>
                    <a:ln w="9525">
                      <a:noFill/>
                      <a:headEnd/>
                      <a:tailEnd/>
                    </a:ln>
                  </pic:spPr>
                </pic:pic>
              </a:graphicData>
            </a:graphic>
          </wp:inline>
        </w:drawing>
      </w:r>
    </w:p>
    <w:p>
      <w:pPr>
        <w:pStyle w:val="BodyText"/>
      </w:pPr>
      <w:r>
        <w:t xml:space="preserve">VAS - Visual Analogue Scale, point - marginal means, range - 95% confidence interval.</w:t>
      </w:r>
    </w:p>
    <w:p>
      <w:pPr>
        <w:pStyle w:val="BodyText"/>
      </w:pPr>
      <w:r>
        <w:br/>
      </w:r>
      <w:r>
        <w:t xml:space="preserve">Table 3. Additional result.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70"/>
        <w:gridCol w:w="1591"/>
        <w:gridCol w:w="1171"/>
      </w:tblGrid>
      <w:tr>
        <w:trPr>
          <w:trHeight w:val="780"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Compression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IRR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(95% CI)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p-value</w:t>
            </w:r>
          </w:p>
        </w:tc>
      </w:tr>
      <w:tr>
        <w:trPr>
          <w:trHeight w:val="79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IR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vertAlign w:val="subscript"/>
                <w:sz w:val="24"/>
                <w:szCs w:val="24"/>
                <w:color w:val="000000"/>
              </w:rPr>
              <w:t xml:space="preserve">1 level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/IR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vertAlign w:val="subscript"/>
                <w:sz w:val="24"/>
                <w:szCs w:val="24"/>
                <w:color w:val="000000"/>
              </w:rPr>
              <w:t xml:space="preserve">2 level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(0.57, 1.29)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0.469</w:t>
            </w:r>
          </w:p>
        </w:tc>
      </w:tr>
    </w:tbl>
    <w:p>
      <w:pPr>
        <w:pStyle w:val="BodyText"/>
      </w:pPr>
      <w:r>
        <w:t xml:space="preserve">IR - incidence rate (for each level of compression), IRR - incidence rate ratio, CI - confidence interval.</w:t>
      </w:r>
    </w:p>
    <w:p>
      <w:pPr>
        <w:pStyle w:val="BodyText"/>
      </w:pPr>
      <w:r>
        <w:br/>
      </w:r>
      <w:r>
        <w:t xml:space="preserve">The 1 level of compression has an average reduction pain rate/density of 14% less during 14 postoperative days, but the result is not statistically significant (table 3 and figure 2).</w:t>
      </w:r>
    </w:p>
    <w:p>
      <w:pPr>
        <w:pStyle w:val="BodyText"/>
      </w:pPr>
      <w:r>
        <w:br/>
      </w:r>
      <w:r>
        <w:t xml:space="preserve">Figure 2. Conditional average value VAS between groups by postoperative day.</w:t>
      </w:r>
    </w:p>
    <w:p>
      <w:pPr>
        <w:pStyle w:val="BodyText"/>
      </w:pPr>
      <w:r>
        <w:drawing>
          <wp:inline>
            <wp:extent cx="5930900" cy="4942416"/>
            <wp:effectExtent b="0" l="0" r="0" t="0"/>
            <wp:docPr descr="" title="" id="28" name="Picture"/>
            <a:graphic>
              <a:graphicData uri="http://schemas.openxmlformats.org/drawingml/2006/picture">
                <pic:pic>
                  <pic:nvPicPr>
                    <pic:cNvPr descr="Results_new_files/figure-docx/Plot%20of%20model%20by%20time-1.png" id="29" name="Picture"/>
                    <pic:cNvPicPr>
                      <a:picLocks noChangeArrowheads="1" noChangeAspect="1"/>
                    </pic:cNvPicPr>
                  </pic:nvPicPr>
                  <pic:blipFill>
                    <a:blip r:embed="rId27"/>
                    <a:stretch>
                      <a:fillRect/>
                    </a:stretch>
                  </pic:blipFill>
                  <pic:spPr bwMode="auto">
                    <a:xfrm>
                      <a:off x="0" y="0"/>
                      <a:ext cx="5930900" cy="4942416"/>
                    </a:xfrm>
                    <a:prstGeom prst="rect">
                      <a:avLst/>
                    </a:prstGeom>
                    <a:noFill/>
                    <a:ln w="9525">
                      <a:noFill/>
                      <a:headEnd/>
                      <a:tailEnd/>
                    </a:ln>
                  </pic:spPr>
                </pic:pic>
              </a:graphicData>
            </a:graphic>
          </wp:inline>
        </w:drawing>
      </w:r>
    </w:p>
    <w:p>
      <w:pPr>
        <w:pStyle w:val="BodyText"/>
      </w:pPr>
      <w:r>
        <w:t xml:space="preserve">POD - postoperative day, VAS - Visual Analogue Scale. Lines - average values for groups, ribbon area - 95% confidence interval.</w:t>
      </w:r>
    </w:p>
    <w:p>
      <w:pPr>
        <w:pStyle w:val="BodyText"/>
      </w:pPr>
      <w:r>
        <w:br/>
      </w:r>
      <w:r>
        <w:t xml:space="preserve">Figure 2.5.1. Conditional average VCSS value between groups by postoperative day.</w:t>
      </w:r>
    </w:p>
    <w:p>
      <w:pPr>
        <w:pStyle w:val="BodyText"/>
      </w:pPr>
      <w:r>
        <w:drawing>
          <wp:inline>
            <wp:extent cx="5930900" cy="4942416"/>
            <wp:effectExtent b="0" l="0" r="0" t="0"/>
            <wp:docPr descr="" title="" id="31" name="Picture"/>
            <a:graphic>
              <a:graphicData uri="http://schemas.openxmlformats.org/drawingml/2006/picture">
                <pic:pic>
                  <pic:nvPicPr>
                    <pic:cNvPr descr="Results_new_files/figure-docx/Plot%20of%20VCSS%20model%20by%20time-1.png" id="32" name="Picture"/>
                    <pic:cNvPicPr>
                      <a:picLocks noChangeArrowheads="1" noChangeAspect="1"/>
                    </pic:cNvPicPr>
                  </pic:nvPicPr>
                  <pic:blipFill>
                    <a:blip r:embed="rId30"/>
                    <a:stretch>
                      <a:fillRect/>
                    </a:stretch>
                  </pic:blipFill>
                  <pic:spPr bwMode="auto">
                    <a:xfrm>
                      <a:off x="0" y="0"/>
                      <a:ext cx="5930900" cy="4942416"/>
                    </a:xfrm>
                    <a:prstGeom prst="rect">
                      <a:avLst/>
                    </a:prstGeom>
                    <a:noFill/>
                    <a:ln w="9525">
                      <a:noFill/>
                      <a:headEnd/>
                      <a:tailEnd/>
                    </a:ln>
                  </pic:spPr>
                </pic:pic>
              </a:graphicData>
            </a:graphic>
          </wp:inline>
        </w:drawing>
      </w:r>
    </w:p>
    <w:p>
      <w:pPr>
        <w:pStyle w:val="BodyText"/>
      </w:pPr>
      <w:r>
        <w:t xml:space="preserve">POD - postoperative day, VCSS - Venous Clinical Severity Score. Lines - average values for groups, ribbon area - 95% confidence interval.</w:t>
      </w:r>
    </w:p>
    <w:p>
      <w:pPr>
        <w:pStyle w:val="BodyText"/>
      </w:pPr>
      <w:r>
        <w:br/>
      </w:r>
      <w:r>
        <w:t xml:space="preserve">Table 3.5.1. Additional result fo VCSS.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70"/>
        <w:gridCol w:w="1591"/>
        <w:gridCol w:w="1171"/>
      </w:tblGrid>
      <w:tr>
        <w:trPr>
          <w:trHeight w:val="780"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Compression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IRR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(95% CI)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p-value</w:t>
            </w:r>
          </w:p>
        </w:tc>
      </w:tr>
      <w:tr>
        <w:trPr>
          <w:trHeight w:val="79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IR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vertAlign w:val="subscript"/>
                <w:sz w:val="24"/>
                <w:szCs w:val="24"/>
                <w:color w:val="000000"/>
              </w:rPr>
              <w:t xml:space="preserve">1 level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/IR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vertAlign w:val="subscript"/>
                <w:sz w:val="24"/>
                <w:szCs w:val="24"/>
                <w:color w:val="000000"/>
              </w:rPr>
              <w:t xml:space="preserve">2 level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0.78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(0.56, 1.08)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0.138</w:t>
            </w:r>
          </w:p>
        </w:tc>
      </w:tr>
    </w:tbl>
    <w:p>
      <w:pPr>
        <w:pStyle w:val="BodyText"/>
      </w:pPr>
      <w:r>
        <w:t xml:space="preserve">IR - incidence rate (for each level of compression), IRR - incidence rate ratio, CI - confidence interval.</w:t>
      </w:r>
    </w:p>
    <w:p>
      <w:pPr>
        <w:pStyle w:val="BodyText"/>
      </w:pPr>
      <w:r>
        <w:br/>
      </w:r>
      <w:r>
        <w:t xml:space="preserve">Figure 2.5.2. Conditional average CIVIQ-20 value between groups by postoperative day.</w:t>
      </w:r>
    </w:p>
    <w:p>
      <w:pPr>
        <w:pStyle w:val="BodyText"/>
      </w:pPr>
      <w:r>
        <w:drawing>
          <wp:inline>
            <wp:extent cx="5930900" cy="4942416"/>
            <wp:effectExtent b="0" l="0" r="0" t="0"/>
            <wp:docPr descr="" title="" id="34" name="Picture"/>
            <a:graphic>
              <a:graphicData uri="http://schemas.openxmlformats.org/drawingml/2006/picture">
                <pic:pic>
                  <pic:nvPicPr>
                    <pic:cNvPr descr="Results_new_files/figure-docx/Plot%20of%20CIVIQ-20%20model%20by%20time-1.png" id="35" name="Picture"/>
                    <pic:cNvPicPr>
                      <a:picLocks noChangeArrowheads="1" noChangeAspect="1"/>
                    </pic:cNvPicPr>
                  </pic:nvPicPr>
                  <pic:blipFill>
                    <a:blip r:embed="rId33"/>
                    <a:stretch>
                      <a:fillRect/>
                    </a:stretch>
                  </pic:blipFill>
                  <pic:spPr bwMode="auto">
                    <a:xfrm>
                      <a:off x="0" y="0"/>
                      <a:ext cx="5930900" cy="4942416"/>
                    </a:xfrm>
                    <a:prstGeom prst="rect">
                      <a:avLst/>
                    </a:prstGeom>
                    <a:noFill/>
                    <a:ln w="9525">
                      <a:noFill/>
                      <a:headEnd/>
                      <a:tailEnd/>
                    </a:ln>
                  </pic:spPr>
                </pic:pic>
              </a:graphicData>
            </a:graphic>
          </wp:inline>
        </w:drawing>
      </w:r>
    </w:p>
    <w:p>
      <w:pPr>
        <w:pStyle w:val="BodyText"/>
      </w:pPr>
      <w:r>
        <w:t xml:space="preserve">POD - postoperative day, CIVIQ - ChronIc Venous Insuficiency quality of life Questionnaire. Lines - average values for groups, ribbon area - 95% confidence interval.</w:t>
      </w:r>
    </w:p>
    <w:p>
      <w:pPr>
        <w:pStyle w:val="BodyText"/>
      </w:pPr>
      <w:r>
        <w:br/>
      </w:r>
      <w:r>
        <w:t xml:space="preserve">Table 3.5.2. Additional result fo CIVIQ-20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70"/>
        <w:gridCol w:w="1591"/>
        <w:gridCol w:w="1171"/>
      </w:tblGrid>
      <w:tr>
        <w:trPr>
          <w:trHeight w:val="780"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Compression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IRR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(95% CI)</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4"/>
                <w:szCs w:val="24"/>
                <w:color w:val="000000"/>
              </w:rPr>
              <w:t xml:space="preserve">p-value</w:t>
            </w:r>
          </w:p>
        </w:tc>
      </w:tr>
      <w:tr>
        <w:trPr>
          <w:trHeight w:val="794"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IR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vertAlign w:val="subscript"/>
                <w:sz w:val="24"/>
                <w:szCs w:val="24"/>
                <w:color w:val="000000"/>
              </w:rPr>
              <w:t xml:space="preserve">1 level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/IR</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vertAlign w:val="subscript"/>
                <w:sz w:val="24"/>
                <w:szCs w:val="24"/>
                <w:color w:val="000000"/>
              </w:rPr>
              <w:t xml:space="preserve">2 level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0.93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 (0.85, 1.02)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0.112</w:t>
            </w:r>
          </w:p>
        </w:tc>
      </w:tr>
    </w:tbl>
    <w:p>
      <w:pPr>
        <w:pStyle w:val="BodyText"/>
      </w:pPr>
      <w:r>
        <w:t xml:space="preserve">IR - incidence rate (for each level of compression), IRR - incidence rate ratio, CI - confidence interval.</w:t>
      </w:r>
    </w:p>
    <w:p>
      <w:pPr>
        <w:pStyle w:val="BodyText"/>
      </w:pPr>
      <w:r>
        <w:br/>
      </w:r>
      <w:r>
        <w:t xml:space="preserve">The 1 level of compression has an average reduction VCSS value density to 22%, CIVIQ-20 value to 7% during 14 postoperative days, but the results is not statistically significant.</w:t>
      </w:r>
    </w:p>
    <w:p>
      <w:pPr>
        <w:pStyle w:val="BodyText"/>
      </w:pPr>
      <w:r>
        <w:br/>
      </w:r>
      <w:r>
        <w:t xml:space="preserve">Common level of compliance was 97.7 (1.2)% (as mean(SD)), in group</w:t>
      </w:r>
      <w:r>
        <w:t xml:space="preserve"> </w:t>
      </w:r>
      <w:r>
        <w:t xml:space="preserve">“1 level”</w:t>
      </w:r>
      <w:r>
        <w:t xml:space="preserve"> </w:t>
      </w:r>
      <w:r>
        <w:t xml:space="preserve">- 96.8 (1.2)% and</w:t>
      </w:r>
      <w:r>
        <w:t xml:space="preserve"> </w:t>
      </w:r>
      <w:r>
        <w:t xml:space="preserve">“2 level”</w:t>
      </w:r>
      <w:r>
        <w:t xml:space="preserve"> </w:t>
      </w:r>
      <w:r>
        <w:t xml:space="preserve">- 98.7 (1.1)%, difference non-significant (p=0.549).</w:t>
      </w:r>
    </w:p>
    <w:bookmarkEnd w:id="36"/>
    <w:bookmarkStart w:id="37" w:name="vein-specific-symptoms"/>
    <w:p>
      <w:pPr>
        <w:pStyle w:val="2"/>
      </w:pPr>
      <w:r>
        <w:t xml:space="preserve">2.3 Vein-specific symptoms</w:t>
      </w:r>
    </w:p>
    <w:p>
      <w:pPr>
        <w:pStyle w:val="FirstParagraph"/>
      </w:pPr>
      <w:r>
        <w:t xml:space="preserve">Table 4. Characteristic of vein-specific symptoms by visits.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96"/>
        <w:gridCol w:w="1238"/>
        <w:gridCol w:w="1238"/>
        <w:gridCol w:w="1238"/>
        <w:gridCol w:w="1238"/>
        <w:gridCol w:w="1238"/>
        <w:gridCol w:w="1238"/>
      </w:tblGrid>
      <w:tr>
        <w:trPr>
          <w:trHeight w:val="424" w:hRule="auto"/>
          <w:tblHeader/>
        </w:trPr>
        header 1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 </w:t>
            </w:r>
          </w:p>
        </w:tc>
        <w:tc>
          <w:tcPr>
            <w:gridSpan w:val="2"/>
            <w:tcBorders>
              <w:bottom w:val="single" w:sz="8" w:space="0" w:color="000000"/>
              <w:top w:val="single" w:sz="8" w:space="0" w:color="000000"/>
              <w:left w:val="single" w:sz="6" w:space="0" w:color="666666"/>
              <w:right w:val="single" w:sz="12"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Baseline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(preoperative)</w:t>
            </w:r>
          </w:p>
        </w:tc>
        <w:tc>
          <w:tcPr>
            <w:gridSpan w:val="2"/>
            <w:tcBorders>
              <w:bottom w:val="single" w:sz="8" w:space="0" w:color="000000"/>
              <w:top w:val="single" w:sz="8" w:space="0" w:color="000000"/>
              <w:left w:val="single" w:sz="12" w:space="0" w:color="000000"/>
              <w:right w:val="single" w:sz="12"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Visit 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(15 day)</w:t>
            </w:r>
          </w:p>
        </w:tc>
        <w:tc>
          <w:tcPr>
            <w:gridSpan w:val="2"/>
            <w:tcBorders>
              <w:bottom w:val="single" w:sz="8" w:space="0" w:color="000000"/>
              <w:top w:val="single" w:sz="8" w:space="0" w:color="000000"/>
              <w:left w:val="single" w:sz="12" w:space="0" w:color="000000"/>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Visit 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(30 day)</w:t>
            </w:r>
          </w:p>
        </w:tc>
      </w:tr>
      <w:tr>
        <w:trPr>
          <w:trHeight w:val="245" w:hRule="auto"/>
          <w:tblHeader/>
        </w:trPr>
        header 2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Characteristic</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1 level</w:t>
            </w:r>
          </w:p>
        </w:tc>
        <w:tc>
          <w:tcPr>
            <w:tcBorders>
              <w:bottom w:val="single" w:sz="8" w:space="0" w:color="000000"/>
              <w:top w:val="single" w:sz="8" w:space="0" w:color="000000"/>
              <w:left w:val="single" w:sz="6" w:space="0" w:color="666666"/>
              <w:right w:val="single" w:sz="12"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2 level</w:t>
            </w:r>
          </w:p>
        </w:tc>
        <w:tc>
          <w:tcPr>
            <w:tcBorders>
              <w:bottom w:val="single" w:sz="8" w:space="0" w:color="000000"/>
              <w:top w:val="single" w:sz="8" w:space="0" w:color="000000"/>
              <w:left w:val="single" w:sz="12" w:space="0" w:color="000000"/>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1 level</w:t>
            </w:r>
          </w:p>
        </w:tc>
        <w:tc>
          <w:tcPr>
            <w:tcBorders>
              <w:bottom w:val="single" w:sz="8" w:space="0" w:color="000000"/>
              <w:top w:val="single" w:sz="8" w:space="0" w:color="000000"/>
              <w:left w:val="single" w:sz="6" w:space="0" w:color="666666"/>
              <w:right w:val="single" w:sz="12"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2 level</w:t>
            </w:r>
          </w:p>
        </w:tc>
        <w:tc>
          <w:tcPr>
            <w:tcBorders>
              <w:bottom w:val="single" w:sz="8" w:space="0" w:color="000000"/>
              <w:top w:val="single" w:sz="8" w:space="0" w:color="000000"/>
              <w:left w:val="single" w:sz="12" w:space="0" w:color="000000"/>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1 level</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2 level</w:t>
            </w:r>
          </w:p>
        </w:tc>
      </w:tr>
      <w:tr>
        <w:trPr>
          <w:trHeight w:val="423" w:hRule="auto"/>
        </w:trPr>
        body 1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CEAP class</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r>
      <w:tr>
        <w:trPr>
          <w:trHeight w:val="466"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 (2)</w:t>
            </w:r>
          </w:p>
        </w:tc>
      </w:tr>
      <w:tr>
        <w:trPr>
          <w:trHeight w:val="466"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27 (54)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 (40)</w:t>
            </w:r>
          </w:p>
        </w:tc>
      </w:tr>
      <w:tr>
        <w:trPr>
          <w:trHeight w:val="466"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18 (36)</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15 (30)</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 (2)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 (2)</w:t>
            </w:r>
          </w:p>
        </w:tc>
      </w:tr>
      <w:tr>
        <w:trPr>
          <w:trHeight w:val="466"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 (38)</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21 (42)</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10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13 (28)</w:t>
            </w:r>
          </w:p>
        </w:tc>
      </w:tr>
      <w:tr>
        <w:trPr>
          <w:trHeight w:val="466"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13 (26)</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 (28)</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12 (24)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13 (28)</w:t>
            </w:r>
          </w:p>
        </w:tc>
      </w:tr>
      <w:tr>
        <w:trPr>
          <w:trHeight w:val="466"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Ankle circumference, cm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23.6 (2.0)</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23.0 (2.9)</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23.2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22.6 (2.7)</w:t>
            </w:r>
          </w:p>
        </w:tc>
      </w:tr>
      <w:tr>
        <w:trPr>
          <w:trHeight w:val="466"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VCSS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5.6 (2.6)</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6.5 (2.8)</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2.7 (2.4)</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3.0 (2.5)</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 (2.3)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 (2.2)</w:t>
            </w:r>
          </w:p>
        </w:tc>
      </w:tr>
      <w:tr>
        <w:trPr>
          <w:trHeight w:val="466"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CIVIQ-20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32.9 (12.6)</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37.0 (12.4)</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26.8 (9.2)</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27.9 (7.0)</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22.4 (4.5)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23.0 (4.4)</w:t>
            </w:r>
          </w:p>
        </w:tc>
      </w:tr>
      <w:tr>
        <w:trPr>
          <w:trHeight w:val="467"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Aching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21.0 (24.5)</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27.0 (22.8)</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11.2 (13.5)</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14.6 (17.0)</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4.2 (10.9)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5.3 (9.7)</w:t>
            </w:r>
          </w:p>
        </w:tc>
      </w:tr>
      <w:tr>
        <w:trPr>
          <w:trHeight w:val="466"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Pulsation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14.0 (22.3)</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20.0 (21.6)</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5.2 (9.7)</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7.2 (12.1)</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1.2 (5.2)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2.8 (7.4)</w:t>
            </w:r>
          </w:p>
        </w:tc>
      </w:tr>
      <w:tr>
        <w:trPr>
          <w:trHeight w:val="467"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Shyness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15.6 (21.9)</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18.0 (22.0)</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4.6 (9.7)</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6.2 (9.9)</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 (4.0)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4.3 (9.5)</w:t>
            </w:r>
          </w:p>
        </w:tc>
      </w:tr>
      <w:tr>
        <w:trPr>
          <w:trHeight w:val="467"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Severity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35.0 (28.4)</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35.8 (27.3)</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5.6 (11.6)</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6.8 (11.0)</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4.0 (7.3)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4.9 (9.5)</w:t>
            </w:r>
          </w:p>
        </w:tc>
      </w:tr>
      <w:tr>
        <w:trPr>
          <w:trHeight w:val="467"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Fatigue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30.8 (28.6)</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30.8 (25.5)</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6.4 (12.7)</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5.8 (13.0)</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3.8 (8.8)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5.7 (12.6)</w:t>
            </w:r>
          </w:p>
        </w:tc>
      </w:tr>
      <w:tr>
        <w:trPr>
          <w:trHeight w:val="466"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31.2 (28.3)</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31.6 (28.1)</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7.6 (14.2)</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8.6 (12.9)</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4.2 (7.8)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4.9 (9.3)</w:t>
            </w:r>
          </w:p>
        </w:tc>
      </w:tr>
      <w:tr>
        <w:trPr>
          <w:trHeight w:val="466"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Seizures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19.2 (25.1)</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21.2 (26.5)</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1.0 (3.6)</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 (6.4)</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 (5.0)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0.2 (1.5)</w:t>
            </w:r>
          </w:p>
        </w:tc>
      </w:tr>
      <w:tr>
        <w:trPr>
          <w:trHeight w:val="467"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Itching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7.8 (17.3)</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18.8 (28.7)</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4.8 (11.1)</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9.6 (15.4)</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2.0 (5.3)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6.4 (12.9)</w:t>
            </w:r>
          </w:p>
        </w:tc>
      </w:tr>
      <w:tr>
        <w:trPr>
          <w:trHeight w:val="467" w:hRule="auto"/>
        </w:trPr>
        body18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Anxiety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23.2 (24.0)</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28.8 (26.9)</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6.4 (12.7)</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6.6 (12.4)</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2.6 (6.0)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4.3 (10.8)</w:t>
            </w:r>
          </w:p>
        </w:tc>
      </w:tr>
      <w:tr>
        <w:trPr>
          <w:trHeight w:val="467" w:hRule="auto"/>
        </w:trPr>
        body19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Tingling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9.8 (16.0)</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15.2 (20.4)</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7.0 (13.9)</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7.6 (15.5)</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3.0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2.8 (5.4)</w:t>
            </w:r>
          </w:p>
        </w:tc>
      </w:tr>
      <w:tr>
        <w:trPr>
          <w:trHeight w:val="467" w:hRule="auto"/>
        </w:trPr>
        body20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Burning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14.8 (25.3)</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19.2 (27.3)</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 (4.0)</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4.6 (9.1)</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2.0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2.1 (6.9)</w:t>
            </w:r>
          </w:p>
        </w:tc>
      </w:tr>
      <w:tr>
        <w:trPr>
          <w:trHeight w:val="466" w:hRule="auto"/>
        </w:trPr>
        body21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Comfort knitwear,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85.8 (21.5)</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89.2 (19.9)</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88.4 (19.9)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91.7 (15.5)</w:t>
            </w:r>
          </w:p>
        </w:tc>
      </w:tr>
      <w:tr>
        <w:trPr>
          <w:trHeight w:val="467" w:hRule="auto"/>
        </w:trPr>
        body22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Difficulty putting,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23.2 (27.4)</w:t>
            </w:r>
          </w:p>
        </w:tc>
        <w:tc>
          <w:tcPr>
            <w:tcBorders>
              <w:bottom w:val="single" w:sz="6" w:space="0" w:color="666666"/>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27.0 (26.6)</w:t>
            </w:r>
          </w:p>
        </w:tc>
        <w:tc>
          <w:tcPr>
            <w:tcBorders>
              <w:bottom w:val="single" w:sz="6" w:space="0" w:color="666666"/>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19.6 (25.4)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29.4 (32.1)</w:t>
            </w:r>
          </w:p>
        </w:tc>
      </w:tr>
      <w:tr>
        <w:trPr>
          <w:trHeight w:val="467" w:hRule="auto"/>
        </w:trPr>
        body23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Ecchymoses</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8" w:space="0" w:color="000000"/>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8" w:space="0" w:color="000000"/>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37.4 (30.2)</w:t>
            </w:r>
          </w:p>
        </w:tc>
        <w:tc>
          <w:tcPr>
            <w:tcBorders>
              <w:bottom w:val="single" w:sz="8" w:space="0" w:color="000000"/>
              <w:top w:val="single" w:sz="6" w:space="0" w:color="666666"/>
              <w:left w:val="single" w:sz="6" w:space="0" w:color="666666"/>
              <w:right w:val="single" w:sz="12"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51.8 (58.6)</w:t>
            </w:r>
          </w:p>
        </w:tc>
        <w:tc>
          <w:tcPr>
            <w:tcBorders>
              <w:bottom w:val="single" w:sz="8" w:space="0" w:color="000000"/>
              <w:top w:val="single" w:sz="6" w:space="0" w:color="666666"/>
              <w:left w:val="single" w:sz="12" w:space="0" w:color="000000"/>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r>
    </w:tbl>
    <w:p>
      <w:pPr>
        <w:pStyle w:val="BodyText"/>
      </w:pPr>
      <w:r>
        <w:t xml:space="preserve">Presentation of variables: quantitative - mean (SD), qualitative - count (percent).</w:t>
      </w:r>
    </w:p>
    <w:p>
      <w:pPr>
        <w:pStyle w:val="BodyText"/>
      </w:pPr>
      <w:r>
        <w:br/>
      </w:r>
      <w:r>
        <w:t xml:space="preserve">The Table 4 shows results of veno-specific symptoms at the follow-up visit (on the 15th and 30th day after surgery). No significant clinical or statistical differences were found between the groups.</w:t>
      </w:r>
    </w:p>
    <w:bookmarkEnd w:id="37"/>
    <w:bookmarkStart w:id="38" w:name="X3947f515140d68133d3eeae0f89980e44cfc3ef"/>
    <w:p>
      <w:pPr>
        <w:pStyle w:val="2"/>
      </w:pPr>
      <w:r>
        <w:t xml:space="preserve">2.4 Pairwise compare vein-specific symptoms by times</w:t>
      </w:r>
    </w:p>
    <w:p>
      <w:pPr>
        <w:pStyle w:val="FirstParagraph"/>
      </w:pPr>
      <w:r>
        <w:t xml:space="preserve">Table 5. Compare vein-specific symptoms between baseline and 15 postoperative day.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55"/>
        <w:gridCol w:w="1755"/>
        <w:gridCol w:w="1471"/>
        <w:gridCol w:w="1107"/>
        <w:gridCol w:w="1755"/>
        <w:gridCol w:w="1471"/>
        <w:gridCol w:w="1107"/>
      </w:tblGrid>
      <w:tr>
        <w:trPr>
          <w:trHeight w:val="402" w:hRule="auto"/>
          <w:tblHeader/>
        </w:trPr>
        header 1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 </w:t>
            </w:r>
          </w:p>
        </w:tc>
        <w:tc>
          <w:tcPr>
            <w:gridSpan w:val="3"/>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1 level</w:t>
            </w:r>
          </w:p>
        </w:tc>
        <w:tc>
          <w:tcPr>
            <w:gridSpan w:val="3"/>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2 level</w:t>
            </w:r>
          </w:p>
        </w:tc>
      </w:tr>
      <w:tr>
        <w:trPr>
          <w:trHeight w:val="600" w:hRule="auto"/>
          <w:tblHeader/>
        </w:trPr>
        header 2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Characteristic</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Baseline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(preoperative)</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Visit 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(15 day)</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p-value</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Baseline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(preoperative)</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Visit 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(15 day)</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2"/>
                <w:szCs w:val="22"/>
                <w:color w:val="000000"/>
              </w:rPr>
              <w:t xml:space="preserve">p-value</w:t>
            </w:r>
          </w:p>
        </w:tc>
      </w:tr>
      <w:tr>
        <w:trPr>
          <w:trHeight w:val="629" w:hRule="auto"/>
        </w:trPr>
        body 1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VCSS</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5.6 (2.6)</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2.7 (2.4)</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6.5 (2.8)</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3.0 (2.5)</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CIVIQ-20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32.9 (12.6)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26.8 (9.2)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37.0 (12.4)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27.9 (7.0)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Aching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21.0 (24.5)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11.2 (13.5)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0.004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27.0 (22.8)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14.6 (17.0)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Pulsation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14.0 (22.3)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5.2 (9.7)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20.0 (21.6)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7.2 (12.1)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Shyness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15.6 (21.9)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4.6 (9.7)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18.0 (22.0)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6.2 (9.9)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Severity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35.0 (28.4)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5.6 (11.6)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35.8 (27.3)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6.8 (11.0)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Fatigue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30.8 (28.6)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6.4 (12.7)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30.8 (25.5)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5.8 (13.0)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31.2 (28.3)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7.6 (14.2)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31.6 (28.1)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8.6 (12.9)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Seizures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19.2 (25.1)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1.0 (3.6)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21.2 (26.5)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1.4 (6.4)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Itching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7.8 (17.3)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4.8 (11.1)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0.264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18.8 (28.7)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9.6 (15.4)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0.053</w:t>
            </w:r>
          </w:p>
        </w:tc>
      </w:tr>
      <w:tr>
        <w:trPr>
          <w:trHeight w:val="629"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Anxiety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23.2 (24.0)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6.4 (12.7)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28.8 (26.9)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6.6 (12.4)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r>
        <w:trPr>
          <w:trHeight w:val="629"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Tingling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9.8 (16.0)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7.0 (13.9)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15.2 (20.4)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7.6 (15.5)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0.027</w:t>
            </w:r>
          </w:p>
        </w:tc>
      </w:tr>
      <w:tr>
        <w:trPr>
          <w:trHeight w:val="629" w:hRule="auto"/>
        </w:trPr>
        body13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Burning</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14.8 (25.3)</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1.4 (4.0)</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19.2 (27.3)</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4.6 (9.1)</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4"/>
                <w:szCs w:val="24"/>
                <w:color w:val="000000"/>
              </w:rPr>
              <w:t xml:space="preserve">&lt;0.001</w:t>
            </w:r>
          </w:p>
        </w:tc>
      </w:tr>
    </w:tbl>
    <w:p>
      <w:pPr>
        <w:pStyle w:val="BodyText"/>
      </w:pPr>
      <w:r>
        <w:br/>
      </w:r>
      <w:r>
        <w:t xml:space="preserve">Table 6. Compare vein-specific symptoms between baseline and 30 postoperative day.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96"/>
        <w:gridCol w:w="1488"/>
        <w:gridCol w:w="1128"/>
        <w:gridCol w:w="900"/>
        <w:gridCol w:w="1488"/>
        <w:gridCol w:w="1128"/>
        <w:gridCol w:w="900"/>
      </w:tblGrid>
      <w:tr>
        <w:trPr>
          <w:trHeight w:val="245" w:hRule="auto"/>
          <w:tblHeader/>
        </w:trPr>
        header 1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 </w:t>
            </w:r>
          </w:p>
        </w:tc>
        <w:tc>
          <w:tcPr>
            <w:gridSpan w:val="3"/>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1 level</w:t>
            </w:r>
          </w:p>
        </w:tc>
        <w:tc>
          <w:tcPr>
            <w:gridSpan w:val="3"/>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2 level</w:t>
            </w:r>
          </w:p>
        </w:tc>
      </w:tr>
      <w:tr>
        <w:trPr>
          <w:trHeight w:val="424" w:hRule="auto"/>
          <w:tblHeader/>
        </w:trPr>
        header 2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Characteristic</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Baseline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(preoperative)</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Visit 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(30 day)</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p-value</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Baseline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(preoperative)</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Visit 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(30 day)</w:t>
            </w:r>
          </w:p>
        </w:tc>
        <w:tc>
          <w:tcPr>
            <w:tcBorders>
              <w:bottom w:val="single" w:sz="8" w:space="0" w:color="000000"/>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trike w:val="false"/>
                <w:sz w:val="20"/>
                <w:szCs w:val="20"/>
                <w:color w:val="000000"/>
              </w:rPr>
              <w:t xml:space="preserve">p-value</w:t>
            </w:r>
          </w:p>
        </w:tc>
      </w:tr>
      <w:tr>
        <w:trPr>
          <w:trHeight w:val="423" w:hRule="auto"/>
        </w:trPr>
        body 1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CEAP class</w:t>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8" w:space="0" w:color="000000"/>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6"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 (2)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r>
      <w:tr>
        <w:trPr>
          <w:trHeight w:val="466"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27 (54)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 (0)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 (40)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r>
      <w:tr>
        <w:trPr>
          <w:trHeight w:val="466"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18 (36)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 (2)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15 (30)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 (2)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r>
      <w:tr>
        <w:trPr>
          <w:trHeight w:val="466"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 (38)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10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21 (42)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13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r>
      <w:tr>
        <w:trPr>
          <w:trHeight w:val="466"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13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12 (24)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13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
            </w:r>
          </w:p>
        </w:tc>
      </w:tr>
      <w:tr>
        <w:trPr>
          <w:trHeight w:val="466"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Ankle circumference, cm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23.6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23.2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23.0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22.6 (2.7)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0.015</w:t>
            </w:r>
          </w:p>
        </w:tc>
      </w:tr>
      <w:tr>
        <w:trPr>
          <w:trHeight w:val="466"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VCSS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5.6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 (2.3)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6.5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6"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CIVIQ-20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32.9 (12.6)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22.4 (4.5)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37.0 (12.4)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23.0 (4.4)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7"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Aching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21.0 (24.5)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4.2 (10.9)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27.0 (22.8)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5.3 (9.7)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6"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Pulsation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14.0 (22.3)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1.2 (5.2)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20.0 (21.6)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2.8 (7.4)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7"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Shyness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15.6 (21.9)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 (4.0)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18.0 (22.0)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4.3 (9.5)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7" w:hRule="auto"/>
        </w:trPr>
        body13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Severity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35.0 (28.4)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4.0 (7.3)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35.8 (27.3)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4.9 (9.5)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7" w:hRule="auto"/>
        </w:trPr>
        body14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Fatigue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30.8 (28.6)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3.8 (8.8)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30.8 (25.5)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5.7 (12.6)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6" w:hRule="auto"/>
        </w:trPr>
        body15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31.2 (28.3)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4.2 (7.8)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31.6 (28.1)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4.9 (9.3)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6" w:hRule="auto"/>
        </w:trPr>
        body16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Seizures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19.2 (25.1)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 (5.0)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21.2 (26.5)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0.2 (1.5)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7" w:hRule="auto"/>
        </w:trPr>
        body17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Itching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7.8 (17.3)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2.0 (5.3)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18.8 (28.7)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6.4 (12.9)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0.006</w:t>
            </w:r>
          </w:p>
        </w:tc>
      </w:tr>
      <w:tr>
        <w:trPr>
          <w:trHeight w:val="467" w:hRule="auto"/>
        </w:trPr>
        body18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Anxiety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23.2 (24.0)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2.6 (6.0)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28.8 (26.9)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4.3 (10.8)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7" w:hRule="auto"/>
        </w:trPr>
        body19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Tingling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9.8 (16.0)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3.0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15.2 (20.4)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2.8 (5.4)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r>
        <w:trPr>
          <w:trHeight w:val="467" w:hRule="auto"/>
        </w:trPr>
        body20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Burning</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14.8 (25.3)</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2.0 (6.1)</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0.001</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19.2 (27.3)</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2.1 (6.9)</w:t>
            </w:r>
          </w:p>
        </w:tc>
        <w:tc>
          <w:tcPr>
            <w:tcBorders>
              <w:bottom w:val="single" w:sz="8" w:space="0" w:color="000000"/>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trike w:val="false"/>
                <w:sz w:val="22"/>
                <w:szCs w:val="22"/>
                <w:color w:val="000000"/>
              </w:rPr>
              <w:t xml:space="preserve">&lt;0.001</w:t>
            </w:r>
          </w:p>
        </w:tc>
      </w:tr>
    </w:tbl>
    <w:p>
      <w:pPr>
        <w:pStyle w:val="BodyText"/>
      </w:pPr>
      <w:r>
        <w:br/>
      </w:r>
      <w:r>
        <w:t xml:space="preserve">Significant differences were found in all variables for compression level 1 except itching and tingling between baseline and 15 postoperative day (table 5). And it is same in the 2 level, but not for itching. All differences are significant compared to day 30 (table 6).</w:t>
      </w:r>
    </w:p>
    <w:bookmarkEnd w:id="38"/>
    <w:bookmarkStart w:id="42" w:name="subgroup-analysis"/>
    <w:p>
      <w:pPr>
        <w:pStyle w:val="2"/>
      </w:pPr>
      <w:r>
        <w:t xml:space="preserve">2.5 Subgroup analysis</w:t>
      </w:r>
    </w:p>
    <w:p>
      <w:pPr>
        <w:pStyle w:val="FirstParagraph"/>
      </w:pPr>
      <w:r>
        <w:t xml:space="preserve">Figure 3. Mean difference for primary end point in selected subgroups.</w:t>
      </w:r>
    </w:p>
    <w:p>
      <w:pPr>
        <w:pStyle w:val="BodyText"/>
      </w:pPr>
      <w:r>
        <w:drawing>
          <wp:inline>
            <wp:extent cx="5930900" cy="3812721"/>
            <wp:effectExtent b="0" l="0" r="0" t="0"/>
            <wp:docPr descr="" title="" id="40" name="Picture"/>
            <a:graphic>
              <a:graphicData uri="http://schemas.openxmlformats.org/drawingml/2006/picture">
                <pic:pic>
                  <pic:nvPicPr>
                    <pic:cNvPr descr="Results_new_files/figure-docx/Subgroup%20analysis-1.png" id="41" name="Picture"/>
                    <pic:cNvPicPr>
                      <a:picLocks noChangeArrowheads="1" noChangeAspect="1"/>
                    </pic:cNvPicPr>
                  </pic:nvPicPr>
                  <pic:blipFill>
                    <a:blip r:embed="rId39"/>
                    <a:stretch>
                      <a:fillRect/>
                    </a:stretch>
                  </pic:blipFill>
                  <pic:spPr bwMode="auto">
                    <a:xfrm>
                      <a:off x="0" y="0"/>
                      <a:ext cx="5930900" cy="3812721"/>
                    </a:xfrm>
                    <a:prstGeom prst="rect">
                      <a:avLst/>
                    </a:prstGeom>
                    <a:noFill/>
                    <a:ln w="9525">
                      <a:noFill/>
                      <a:headEnd/>
                      <a:tailEnd/>
                    </a:ln>
                  </pic:spPr>
                </pic:pic>
              </a:graphicData>
            </a:graphic>
          </wp:inline>
        </w:drawing>
      </w:r>
    </w:p>
    <w:p>
      <w:pPr>
        <w:pStyle w:val="BodyText"/>
      </w:pPr>
      <w:r>
        <w:t xml:space="preserve">MD - mean difference, CI - confidence interval. Dashed line - overall effect (MD = -0.22), p-value for interaction.</w:t>
      </w:r>
    </w:p>
    <w:p>
      <w:pPr>
        <w:pStyle w:val="BodyText"/>
      </w:pPr>
      <w:r>
        <w:br/>
      </w:r>
      <w:r>
        <w:t xml:space="preserve">A subgroup analysis (Figure 3) showed that in the 45-59 age group, the pain level significantly decreased by 0.89, but the p-value for the interaction between subgroup and main group was not significant. The subgroup with non-full compliance has a small confidence interval because the small number of observations (7 patients) and participants in 1 level group (2). No difference was found in other subgroups.</w:t>
      </w:r>
    </w:p>
    <w:bookmarkEnd w:id="42"/>
    <w:bookmarkEnd w:id="43"/>
    <w:sectPr w:rsidR="00BF2FD3" w:rsidRPr="009467A8" w:rsidSect="00BF293B">
      <w:pgSz w:h="16840" w:w="11900"/>
      <w:pgMar w:bottom="1134" w:footer="708" w:gutter="0" w:header="708" w:left="1701" w:right="850"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4435ED2"/>
    <w:multiLevelType w:val="multilevel"/>
    <w:tmpl w:val="041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
    <w:nsid w:val="62EF2E43"/>
    <w:multiLevelType w:val="multilevel"/>
    <w:tmpl w:val="041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
    <w:nsid w:val="6FBE2C45"/>
    <w:multiLevelType w:val="multilevel"/>
    <w:tmpl w:val="041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128037089" w:numId="1">
    <w:abstractNumId w:val="0"/>
  </w:num>
  <w:num w16cid:durableId="499585639" w:numId="2">
    <w:abstractNumId w:val="2"/>
  </w:num>
  <w:num w16cid:durableId="1809665996" w:numId="3">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4"/>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EA9"/>
    <w:rsid w:val="00181BB8"/>
    <w:rsid w:val="00481281"/>
    <w:rsid w:val="004E4E34"/>
    <w:rsid w:val="00853EA9"/>
    <w:rsid w:val="00BF2388"/>
    <w:rsid w:val="00BF2FD3"/>
    <w:rsid w:val="00F4392D"/>
  </w:rsids>
  <w:themeFontLang w:val="ru-RU"/>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ru-RU"/>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aliases w:val="Normal"/>
    <w:qFormat/>
    <w:rsid w:val="00481281"/>
    <w:pPr>
      <w:suppressAutoHyphens/>
      <w:spacing w:line="276" w:lineRule="auto"/>
      <w:jc w:val="both"/>
    </w:pPr>
    <w:rPr>
      <w:rFonts w:ascii="Times New Roman" w:hAnsi="Times New Roman"/>
      <w:color w:themeColor="text1" w:val="000000"/>
    </w:rPr>
  </w:style>
  <w:style w:styleId="1" w:type="paragraph">
    <w:name w:val="heading 1"/>
    <w:aliases w:val="Title"/>
    <w:basedOn w:val="a"/>
    <w:next w:val="a"/>
    <w:link w:val="10"/>
    <w:uiPriority w:val="9"/>
    <w:qFormat/>
    <w:rsid w:val="00235289"/>
    <w:pPr>
      <w:keepNext/>
      <w:keepLines/>
      <w:spacing w:after="240" w:before="240" w:line="360" w:lineRule="auto"/>
      <w:jc w:val="center"/>
      <w:outlineLvl w:val="0"/>
    </w:pPr>
    <w:rPr>
      <w:rFonts w:cstheme="majorBidi" w:eastAsiaTheme="majorEastAsia"/>
      <w:b/>
      <w:sz w:val="32"/>
      <w:szCs w:val="32"/>
    </w:rPr>
  </w:style>
  <w:style w:styleId="2" w:type="paragraph">
    <w:name w:val="heading 2"/>
    <w:basedOn w:val="a"/>
    <w:next w:val="a"/>
    <w:link w:val="20"/>
    <w:uiPriority w:val="9"/>
    <w:unhideWhenUsed/>
    <w:qFormat/>
    <w:rsid w:val="00235289"/>
    <w:pPr>
      <w:keepNext/>
      <w:keepLines/>
      <w:spacing w:after="120" w:before="160"/>
      <w:ind w:left="708"/>
      <w:outlineLvl w:val="1"/>
    </w:pPr>
    <w:rPr>
      <w:rFonts w:cstheme="majorBidi" w:eastAsiaTheme="majorEastAsia"/>
      <w:b/>
      <w:color w:val="auto"/>
      <w:sz w:val="28"/>
      <w:szCs w:val="26"/>
    </w:rPr>
  </w:style>
  <w:style w:styleId="3" w:type="paragraph">
    <w:name w:val="heading 3"/>
    <w:basedOn w:val="a"/>
    <w:next w:val="a"/>
    <w:link w:val="30"/>
    <w:uiPriority w:val="9"/>
    <w:unhideWhenUsed/>
    <w:qFormat/>
    <w:rsid w:val="00BF2388"/>
    <w:pPr>
      <w:keepNext/>
      <w:keepLines/>
      <w:spacing w:after="40" w:before="120"/>
      <w:ind w:left="709"/>
      <w:outlineLvl w:val="2"/>
    </w:pPr>
    <w:rPr>
      <w:rFonts w:cstheme="majorBidi" w:eastAsiaTheme="majorEastAsia"/>
      <w:b/>
      <w:color w:val="auto"/>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table">
    <w:name w:val="Table Grid"/>
    <w:basedOn w:val="a1"/>
    <w:uiPriority w:val="39"/>
    <w:rsid w:val="009467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character">
    <w:name w:val="Заголовок 1 Знак"/>
    <w:aliases w:val="Title Знак"/>
    <w:basedOn w:val="a0"/>
    <w:link w:val="1"/>
    <w:uiPriority w:val="9"/>
    <w:rsid w:val="00235289"/>
    <w:rPr>
      <w:rFonts w:ascii="Times New Roman" w:cstheme="majorBidi" w:eastAsiaTheme="majorEastAsia" w:hAnsi="Times New Roman"/>
      <w:b/>
      <w:color w:themeColor="text1" w:val="000000"/>
      <w:sz w:val="32"/>
      <w:szCs w:val="32"/>
    </w:rPr>
  </w:style>
  <w:style w:customStyle="1" w:styleId="Table" w:type="table">
    <w:name w:val="Table"/>
    <w:basedOn w:val="a3"/>
    <w:uiPriority w:val="99"/>
    <w:rsid w:val="00481281"/>
    <w:pPr>
      <w:spacing w:line="276" w:lineRule="auto"/>
      <w:jc w:val="center"/>
    </w:pPr>
    <w:rPr>
      <w:rFonts w:ascii="Times New Roman" w:hAnsi="Times New Roman"/>
      <w:color w:themeColor="text1" w:val="000000"/>
    </w:rPr>
    <w:tblPr>
      <w:jc w:val="center"/>
    </w:tblPr>
    <w:trPr>
      <w:jc w:val="center"/>
    </w:trPr>
    <w:tcPr>
      <w:vAlign w:val="center"/>
    </w:tcPr>
    <w:tblStylePr w:type="firstRow">
      <w:rPr>
        <w:rFonts w:ascii="Times New Roman" w:hAnsi="Times New Roman"/>
        <w:b/>
      </w:rPr>
    </w:tblStylePr>
    <w:tblStylePr w:type="firstCol">
      <w:rPr>
        <w:rFonts w:ascii="Times New Roman" w:hAnsi="Times New Roman"/>
        <w:b/>
      </w:rPr>
    </w:tblStylePr>
  </w:style>
  <w:style w:styleId="a4" w:type="table">
    <w:name w:val="Grid Table Light"/>
    <w:basedOn w:val="a1"/>
    <w:uiPriority w:val="40"/>
    <w:rsid w:val="009467A8"/>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a5" w:type="paragraph">
    <w:name w:val="Salutation"/>
    <w:basedOn w:val="a"/>
    <w:next w:val="a"/>
    <w:link w:val="a6"/>
    <w:uiPriority w:val="99"/>
    <w:semiHidden/>
    <w:unhideWhenUsed/>
    <w:rsid w:val="009467A8"/>
  </w:style>
  <w:style w:customStyle="1" w:styleId="a6" w:type="character">
    <w:name w:val="Приветствие Знак"/>
    <w:basedOn w:val="a0"/>
    <w:link w:val="a5"/>
    <w:uiPriority w:val="99"/>
    <w:semiHidden/>
    <w:rsid w:val="009467A8"/>
    <w:rPr>
      <w:rFonts w:ascii="Times New Roman" w:hAnsi="Times New Roman"/>
      <w:color w:themeColor="text1" w:val="000000"/>
    </w:rPr>
  </w:style>
  <w:style w:customStyle="1" w:styleId="20" w:type="character">
    <w:name w:val="Заголовок 2 Знак"/>
    <w:basedOn w:val="a0"/>
    <w:link w:val="2"/>
    <w:uiPriority w:val="9"/>
    <w:rsid w:val="00235289"/>
    <w:rPr>
      <w:rFonts w:ascii="Times New Roman" w:cstheme="majorBidi" w:eastAsiaTheme="majorEastAsia" w:hAnsi="Times New Roman"/>
      <w:b/>
      <w:sz w:val="28"/>
      <w:szCs w:val="26"/>
    </w:rPr>
  </w:style>
  <w:style w:customStyle="1" w:styleId="30" w:type="character">
    <w:name w:val="Заголовок 3 Знак"/>
    <w:basedOn w:val="a0"/>
    <w:link w:val="3"/>
    <w:uiPriority w:val="9"/>
    <w:rsid w:val="00BF2388"/>
    <w:rPr>
      <w:rFonts w:ascii="Times New Roman" w:cstheme="majorBidi" w:eastAsiaTheme="majorEastAsia" w:hAnsi="Times New Roman"/>
      <w: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18</Words>
  <Characters>109</Characters>
  <Application>Microsoft Office Word</Application>
  <DocSecurity>0</DocSecurity>
  <Lines>1</Lines>
  <Paragraphs>1</Paragraphs>
  <ScaleCrop>false</ScaleCrop>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2025-11-21T09:51:23Z</dcterms:created>
  <dcterms:modified xsi:type="dcterms:W3CDTF">2025-11-21T09:51:23Z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message">
    <vt:lpwstr>False</vt:lpwstr>
  </property>
  <property fmtid="{D5CDD505-2E9C-101B-9397-08002B2CF9AE}" pid="9" name="toc-title">
    <vt:lpwstr>Contents</vt:lpwstr>
  </property>
</Properties>
</file>