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935B4" w14:textId="77777777" w:rsidR="00A44835" w:rsidRPr="00A44835" w:rsidRDefault="00A44835" w:rsidP="00A448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4835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26DE0D7D" w14:textId="09F44179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 xml:space="preserve">Наименование детали: Рабочее колесо центробежного циркуляционного насоса (аналог серии </w:t>
      </w:r>
      <w:proofErr w:type="spellStart"/>
      <w:r w:rsidRPr="00A44835">
        <w:rPr>
          <w:rFonts w:ascii="Times New Roman" w:hAnsi="Times New Roman" w:cs="Times New Roman"/>
          <w:sz w:val="24"/>
          <w:szCs w:val="24"/>
        </w:rPr>
        <w:t>Wilo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>)</w:t>
      </w:r>
    </w:p>
    <w:p w14:paraId="2FB838BF" w14:textId="77777777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Метод производства: Аддитивное производство (FDM / FFF)</w:t>
      </w:r>
    </w:p>
    <w:p w14:paraId="4965C40A" w14:textId="77777777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Среда эксплуатации: Промышленный контур охлаждения штамповочного оборудования. Перекачиваемая среда — теплоноситель на основе воды и гликоля с щелочными ингибиторами коррозии.</w:t>
      </w:r>
    </w:p>
    <w:p w14:paraId="601E8680" w14:textId="77777777" w:rsidR="00A44835" w:rsidRPr="00A44835" w:rsidRDefault="00A44835" w:rsidP="00A4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835">
        <w:rPr>
          <w:rFonts w:ascii="Times New Roman" w:hAnsi="Times New Roman" w:cs="Times New Roman"/>
          <w:b/>
          <w:bCs/>
          <w:sz w:val="28"/>
          <w:szCs w:val="28"/>
        </w:rPr>
        <w:t>1. Описание назначения и проблематики</w:t>
      </w:r>
    </w:p>
    <w:p w14:paraId="0E1AD8A9" w14:textId="77777777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Насос работает в замкнутом контуре охлаждения, перекачивая слабоагрессивный теплоноситель.</w:t>
      </w:r>
    </w:p>
    <w:p w14:paraId="36F67E0C" w14:textId="77777777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 xml:space="preserve">Проблема: Оригинальные латунные колеса подвергаются гальванической коррозии при контакте с алюминиевым корпусом насоса и ингибиторами. Латунь выкрашивается, появляется </w:t>
      </w:r>
      <w:proofErr w:type="spellStart"/>
      <w:r w:rsidRPr="00A44835">
        <w:rPr>
          <w:rFonts w:ascii="Times New Roman" w:hAnsi="Times New Roman" w:cs="Times New Roman"/>
          <w:sz w:val="24"/>
          <w:szCs w:val="24"/>
        </w:rPr>
        <w:t>кавитационная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 xml:space="preserve"> эрозия, падает КПД, растут энергозатраты.</w:t>
      </w:r>
    </w:p>
    <w:p w14:paraId="3F63402B" w14:textId="0AA211E0" w:rsidR="00A44835" w:rsidRPr="00A44835" w:rsidRDefault="00A44835" w:rsidP="00A4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835">
        <w:rPr>
          <w:rFonts w:ascii="Times New Roman" w:hAnsi="Times New Roman" w:cs="Times New Roman"/>
          <w:b/>
          <w:bCs/>
          <w:sz w:val="28"/>
          <w:szCs w:val="28"/>
        </w:rPr>
        <w:t>2. Условия эксплуатации</w:t>
      </w:r>
    </w:p>
    <w:p w14:paraId="5DA17BB9" w14:textId="77777777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Кинематика:</w:t>
      </w:r>
    </w:p>
    <w:p w14:paraId="17145AB3" w14:textId="77777777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Скорость вращения вала: 2900 об/мин (синхронная частота 2-полюсного электродвигателя).</w:t>
      </w:r>
    </w:p>
    <w:p w14:paraId="02E84D7D" w14:textId="77777777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Окружная скорость на периферии колеса: ~24 м/с.</w:t>
      </w:r>
    </w:p>
    <w:p w14:paraId="0AA5EDE7" w14:textId="4E00E665" w:rsidR="00A44835" w:rsidRPr="00F1748A" w:rsidRDefault="00A44835" w:rsidP="00A448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4835">
        <w:rPr>
          <w:rFonts w:ascii="Times New Roman" w:hAnsi="Times New Roman" w:cs="Times New Roman"/>
          <w:sz w:val="24"/>
          <w:szCs w:val="24"/>
        </w:rPr>
        <w:t>Гидродинамика: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A44835">
        <w:rPr>
          <w:rFonts w:ascii="Times New Roman" w:hAnsi="Times New Roman" w:cs="Times New Roman"/>
          <w:sz w:val="24"/>
          <w:szCs w:val="24"/>
        </w:rPr>
        <w:t>роизводительность 25 м³/ч</w:t>
      </w:r>
      <w:r>
        <w:rPr>
          <w:rFonts w:ascii="Times New Roman" w:hAnsi="Times New Roman" w:cs="Times New Roman"/>
          <w:sz w:val="24"/>
          <w:szCs w:val="24"/>
        </w:rPr>
        <w:t>, н</w:t>
      </w:r>
      <w:r w:rsidRPr="00A44835">
        <w:rPr>
          <w:rFonts w:ascii="Times New Roman" w:hAnsi="Times New Roman" w:cs="Times New Roman"/>
          <w:sz w:val="24"/>
          <w:szCs w:val="24"/>
        </w:rPr>
        <w:t>апор до 32 м (рабочее давление в корпусе до 16 бар).</w:t>
      </w:r>
    </w:p>
    <w:p w14:paraId="1AA45EA2" w14:textId="77777777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Температурный режим среды: +75°</w:t>
      </w:r>
      <w:proofErr w:type="gramStart"/>
      <w:r w:rsidRPr="00A44835">
        <w:rPr>
          <w:rFonts w:ascii="Times New Roman" w:hAnsi="Times New Roman" w:cs="Times New Roman"/>
          <w:sz w:val="24"/>
          <w:szCs w:val="24"/>
        </w:rPr>
        <w:t>C...</w:t>
      </w:r>
      <w:proofErr w:type="gramEnd"/>
      <w:r w:rsidRPr="00A44835">
        <w:rPr>
          <w:rFonts w:ascii="Times New Roman" w:hAnsi="Times New Roman" w:cs="Times New Roman"/>
          <w:sz w:val="24"/>
          <w:szCs w:val="24"/>
        </w:rPr>
        <w:t>+85°C (постоянно).</w:t>
      </w:r>
    </w:p>
    <w:p w14:paraId="54A39832" w14:textId="30864706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Химический состав среды: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Pr="00A44835">
        <w:rPr>
          <w:rFonts w:ascii="Times New Roman" w:hAnsi="Times New Roman" w:cs="Times New Roman"/>
          <w:sz w:val="24"/>
          <w:szCs w:val="24"/>
        </w:rPr>
        <w:t>одно-гликолевая смесь.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835">
        <w:rPr>
          <w:rFonts w:ascii="Times New Roman" w:hAnsi="Times New Roman" w:cs="Times New Roman"/>
          <w:sz w:val="24"/>
          <w:szCs w:val="24"/>
        </w:rPr>
        <w:t xml:space="preserve">Уровень </w:t>
      </w:r>
      <w:proofErr w:type="spellStart"/>
      <w:r w:rsidRPr="00A44835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>: 9.5–10.5 (слабощелочная среда).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835">
        <w:rPr>
          <w:rFonts w:ascii="Times New Roman" w:hAnsi="Times New Roman" w:cs="Times New Roman"/>
          <w:sz w:val="24"/>
          <w:szCs w:val="24"/>
        </w:rPr>
        <w:t>Ингибиторы коррозии на основе солей органических кислот.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835">
        <w:rPr>
          <w:rFonts w:ascii="Times New Roman" w:hAnsi="Times New Roman" w:cs="Times New Roman"/>
          <w:sz w:val="24"/>
          <w:szCs w:val="24"/>
        </w:rPr>
        <w:t>Микрочастицы окалины (до 50 мкм) из сварных швов трубопровода.</w:t>
      </w:r>
    </w:p>
    <w:p w14:paraId="2312A3F0" w14:textId="77777777" w:rsidR="00A44835" w:rsidRPr="00A44835" w:rsidRDefault="00A44835" w:rsidP="00A44835">
      <w:pPr>
        <w:jc w:val="both"/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Режим работы: Непрерывный (S1), 8000 часов в год.</w:t>
      </w:r>
    </w:p>
    <w:p w14:paraId="1D27E5A3" w14:textId="77777777" w:rsidR="00A44835" w:rsidRPr="00F1748A" w:rsidRDefault="00A44835" w:rsidP="00A4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48A">
        <w:rPr>
          <w:rFonts w:ascii="Times New Roman" w:hAnsi="Times New Roman" w:cs="Times New Roman"/>
          <w:b/>
          <w:bCs/>
          <w:sz w:val="28"/>
          <w:szCs w:val="28"/>
        </w:rPr>
        <w:t>3. Геометрические ограничения и допуски</w:t>
      </w:r>
    </w:p>
    <w:p w14:paraId="2DB8916E" w14:textId="2420DAEE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 xml:space="preserve">Шпоночный паз передает крутящий момент 12 </w:t>
      </w:r>
      <w:proofErr w:type="spellStart"/>
      <w:r w:rsidRPr="00A44835">
        <w:rPr>
          <w:rFonts w:ascii="Times New Roman" w:hAnsi="Times New Roman" w:cs="Times New Roman"/>
          <w:sz w:val="24"/>
          <w:szCs w:val="24"/>
        </w:rPr>
        <w:t>Н·м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>. Материал в зоне паза не должен разбиваться под циклической нагрузкой и «ползти» при нагреве.</w:t>
      </w:r>
    </w:p>
    <w:p w14:paraId="2617F347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 xml:space="preserve">Остаточный дисбаланс не должен превышать 6.3 </w:t>
      </w:r>
      <w:proofErr w:type="spellStart"/>
      <w:r w:rsidRPr="00A44835">
        <w:rPr>
          <w:rFonts w:ascii="Times New Roman" w:hAnsi="Times New Roman" w:cs="Times New Roman"/>
          <w:sz w:val="24"/>
          <w:szCs w:val="24"/>
        </w:rPr>
        <w:t>г·мм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 xml:space="preserve"> (класс точности G2.5 по ISO 1940).</w:t>
      </w:r>
    </w:p>
    <w:p w14:paraId="7FDCB39F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4835">
        <w:rPr>
          <w:rFonts w:ascii="Times New Roman" w:hAnsi="Times New Roman" w:cs="Times New Roman"/>
          <w:sz w:val="24"/>
          <w:szCs w:val="24"/>
        </w:rPr>
        <w:t>Разностенность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 xml:space="preserve"> лопастей более 0.3 мм приведет к биению и разрушению торцевого уплотнения.</w:t>
      </w:r>
    </w:p>
    <w:p w14:paraId="50E3C9E1" w14:textId="77777777" w:rsidR="00A44835" w:rsidRPr="00F1748A" w:rsidRDefault="00A44835" w:rsidP="00A4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48A">
        <w:rPr>
          <w:rFonts w:ascii="Times New Roman" w:hAnsi="Times New Roman" w:cs="Times New Roman"/>
          <w:b/>
          <w:bCs/>
          <w:sz w:val="28"/>
          <w:szCs w:val="28"/>
        </w:rPr>
        <w:t>4. Ключевые требования к материалу (Критерии выбора)</w:t>
      </w:r>
    </w:p>
    <w:p w14:paraId="79957615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 xml:space="preserve">Материал не должен разбухать, размягчаться или терять прочность при постоянном контакте со средой с </w:t>
      </w:r>
      <w:proofErr w:type="spellStart"/>
      <w:r w:rsidRPr="00A44835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 xml:space="preserve"> 9.5–10.5 при температуре +85°C.</w:t>
      </w:r>
    </w:p>
    <w:p w14:paraId="75DFF36B" w14:textId="1B7BA36C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4835">
        <w:rPr>
          <w:rFonts w:ascii="Times New Roman" w:hAnsi="Times New Roman" w:cs="Times New Roman"/>
          <w:sz w:val="24"/>
          <w:szCs w:val="24"/>
        </w:rPr>
        <w:t>Водопоглощение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 xml:space="preserve"> за 24 часа погружения должно составлять не более 0.05%. </w:t>
      </w:r>
    </w:p>
    <w:p w14:paraId="743A3A21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Модуль упругости при растяжении: не менее 4500 МПа (для сохранения геометрии лопастей под центробежной нагрузкой).</w:t>
      </w:r>
    </w:p>
    <w:p w14:paraId="78D4FA39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lastRenderedPageBreak/>
        <w:t>Предел прочности при растяжении: не менее 50 МПа.</w:t>
      </w:r>
    </w:p>
    <w:p w14:paraId="1D904ED3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Относительное удлинение при разрыве: не менее 2.5% (чтобы избежать хрупкого разрушения при гидроударе).</w:t>
      </w:r>
    </w:p>
    <w:p w14:paraId="442CC0B4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Термостойкость:</w:t>
      </w:r>
    </w:p>
    <w:p w14:paraId="03E9A13F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Температура размягчения по Вика (метод B, 50 Н): не ниже +130°C.</w:t>
      </w:r>
    </w:p>
    <w:p w14:paraId="34DB97EC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Материал не должен «ползти» (проявлять ползучесть) под постоянной нагрузкой при +85°C.</w:t>
      </w:r>
    </w:p>
    <w:p w14:paraId="67600EC0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Плотность</w:t>
      </w:r>
      <w:proofErr w:type="gramStart"/>
      <w:r w:rsidRPr="00A44835">
        <w:rPr>
          <w:rFonts w:ascii="Times New Roman" w:hAnsi="Times New Roman" w:cs="Times New Roman"/>
          <w:sz w:val="24"/>
          <w:szCs w:val="24"/>
        </w:rPr>
        <w:t>: Не</w:t>
      </w:r>
      <w:proofErr w:type="gramEnd"/>
      <w:r w:rsidRPr="00A44835">
        <w:rPr>
          <w:rFonts w:ascii="Times New Roman" w:hAnsi="Times New Roman" w:cs="Times New Roman"/>
          <w:sz w:val="24"/>
          <w:szCs w:val="24"/>
        </w:rPr>
        <w:t xml:space="preserve"> более 1.2 г/см³. Использование металлов или тяжелых наполнителей (металлический порошок, барит) недопустимо — масса вращающихся частей критична для ресурса подшипников.</w:t>
      </w:r>
    </w:p>
    <w:p w14:paraId="6B22C9AB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Устойчивость к кавитации:</w:t>
      </w:r>
    </w:p>
    <w:p w14:paraId="309F90DF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 xml:space="preserve">Поверхность лопастей должна быть достаточно жесткой, чтобы противостоять </w:t>
      </w:r>
      <w:proofErr w:type="spellStart"/>
      <w:r w:rsidRPr="00A44835">
        <w:rPr>
          <w:rFonts w:ascii="Times New Roman" w:hAnsi="Times New Roman" w:cs="Times New Roman"/>
          <w:sz w:val="24"/>
          <w:szCs w:val="24"/>
        </w:rPr>
        <w:t>микроударам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 xml:space="preserve"> схлопывающихся </w:t>
      </w:r>
      <w:proofErr w:type="spellStart"/>
      <w:r w:rsidRPr="00A44835">
        <w:rPr>
          <w:rFonts w:ascii="Times New Roman" w:hAnsi="Times New Roman" w:cs="Times New Roman"/>
          <w:sz w:val="24"/>
          <w:szCs w:val="24"/>
        </w:rPr>
        <w:t>кавитационных</w:t>
      </w:r>
      <w:proofErr w:type="spellEnd"/>
      <w:r w:rsidRPr="00A44835">
        <w:rPr>
          <w:rFonts w:ascii="Times New Roman" w:hAnsi="Times New Roman" w:cs="Times New Roman"/>
          <w:sz w:val="24"/>
          <w:szCs w:val="24"/>
        </w:rPr>
        <w:t xml:space="preserve"> пузырьков.</w:t>
      </w:r>
    </w:p>
    <w:p w14:paraId="74857647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Отсутствие гальванической коррозии:</w:t>
      </w:r>
    </w:p>
    <w:p w14:paraId="3F1775A2" w14:textId="77777777" w:rsidR="00A44835" w:rsidRPr="00A44835" w:rsidRDefault="00A44835" w:rsidP="00A44835">
      <w:pPr>
        <w:rPr>
          <w:rFonts w:ascii="Times New Roman" w:hAnsi="Times New Roman" w:cs="Times New Roman"/>
          <w:sz w:val="24"/>
          <w:szCs w:val="24"/>
        </w:rPr>
      </w:pPr>
      <w:r w:rsidRPr="00A44835">
        <w:rPr>
          <w:rFonts w:ascii="Times New Roman" w:hAnsi="Times New Roman" w:cs="Times New Roman"/>
          <w:sz w:val="24"/>
          <w:szCs w:val="24"/>
        </w:rPr>
        <w:t>Материал должен быть диэлектриком или химически инертным полимером. Использование металлических композитов или токопроводящих наполнителей (графит, углеволокно в высокой концентрации) нежелательно из-за риска электрохимической пары с алюминиевым корпусом.</w:t>
      </w:r>
    </w:p>
    <w:sectPr w:rsidR="00A44835" w:rsidRPr="00A44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17"/>
    <w:rsid w:val="001E12E3"/>
    <w:rsid w:val="00327C17"/>
    <w:rsid w:val="00A44835"/>
    <w:rsid w:val="00F1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7CE75"/>
  <w15:chartTrackingRefBased/>
  <w15:docId w15:val="{DDEDD614-5F56-49F5-ADEB-E808782E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Ольховик Глеб</dc:creator>
  <cp:keywords/>
  <dc:description/>
  <cp:lastModifiedBy>Ольховик Глеб</cp:lastModifiedBy>
  <cp:revision>3</cp:revision>
  <dcterms:created xsi:type="dcterms:W3CDTF">2026-10-21T09:55:00Z</dcterms:created>
  <dcterms:modified xsi:type="dcterms:W3CDTF">2026-10-21T11:02:00Z</dcterms:modified>
</cp:coreProperties>
</file>